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8F1724" w14:paraId="27977F7D" w14:textId="77777777" w:rsidTr="00056D9A">
        <w:trPr>
          <w:cantSplit/>
          <w:trHeight w:hRule="exact" w:val="1417"/>
        </w:trPr>
        <w:tc>
          <w:tcPr>
            <w:tcW w:w="10031" w:type="dxa"/>
            <w:gridSpan w:val="2"/>
            <w:tcMar>
              <w:left w:w="0" w:type="dxa"/>
              <w:right w:w="0" w:type="dxa"/>
            </w:tcMar>
            <w:vAlign w:val="center"/>
          </w:tcPr>
          <w:p w14:paraId="26125018" w14:textId="77777777" w:rsidR="008F1724" w:rsidRPr="00D96B4B" w:rsidRDefault="008F1724" w:rsidP="00056D9A">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9404101" wp14:editId="410AA3B9">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8F1724" w:rsidRPr="00617BE4" w14:paraId="5197ACA2" w14:textId="77777777" w:rsidTr="00056D9A">
        <w:trPr>
          <w:cantSplit/>
          <w:trHeight w:val="283"/>
        </w:trPr>
        <w:tc>
          <w:tcPr>
            <w:tcW w:w="10031" w:type="dxa"/>
            <w:gridSpan w:val="2"/>
            <w:tcBorders>
              <w:bottom w:val="single" w:sz="12" w:space="0" w:color="71716F"/>
            </w:tcBorders>
          </w:tcPr>
          <w:p w14:paraId="7A029EEC" w14:textId="77777777" w:rsidR="008F1724" w:rsidRPr="00D96B4B" w:rsidRDefault="008F1724" w:rsidP="00056D9A">
            <w:pPr>
              <w:spacing w:before="0"/>
              <w:rPr>
                <w:rFonts w:cstheme="minorHAnsi"/>
                <w:szCs w:val="24"/>
              </w:rPr>
            </w:pPr>
            <w:bookmarkStart w:id="0" w:name="ditulogo"/>
            <w:bookmarkStart w:id="1" w:name="dhead"/>
            <w:bookmarkEnd w:id="0"/>
          </w:p>
        </w:tc>
      </w:tr>
      <w:tr w:rsidR="008F1724" w:rsidRPr="00C324A8" w14:paraId="3C52203A" w14:textId="77777777" w:rsidTr="00056D9A">
        <w:trPr>
          <w:cantSplit/>
          <w:trHeight w:val="255"/>
        </w:trPr>
        <w:tc>
          <w:tcPr>
            <w:tcW w:w="7230" w:type="dxa"/>
            <w:tcBorders>
              <w:top w:val="single" w:sz="12" w:space="0" w:color="71716F"/>
            </w:tcBorders>
          </w:tcPr>
          <w:p w14:paraId="42C6A814" w14:textId="77777777" w:rsidR="008F1724" w:rsidRPr="00D96B4B" w:rsidRDefault="008F1724" w:rsidP="00056D9A">
            <w:pPr>
              <w:spacing w:before="0"/>
              <w:rPr>
                <w:rFonts w:cstheme="minorHAnsi"/>
                <w:b/>
                <w:smallCaps/>
                <w:sz w:val="20"/>
              </w:rPr>
            </w:pPr>
          </w:p>
        </w:tc>
        <w:tc>
          <w:tcPr>
            <w:tcW w:w="2801" w:type="dxa"/>
            <w:tcBorders>
              <w:top w:val="single" w:sz="12" w:space="0" w:color="71716F"/>
            </w:tcBorders>
            <w:tcMar>
              <w:right w:w="0" w:type="dxa"/>
            </w:tcMar>
          </w:tcPr>
          <w:p w14:paraId="5A2AF050" w14:textId="77777777" w:rsidR="008F1724" w:rsidRPr="00D96B4B" w:rsidRDefault="008F1724" w:rsidP="00056D9A">
            <w:pPr>
              <w:spacing w:before="0"/>
              <w:rPr>
                <w:rFonts w:cstheme="minorHAnsi"/>
                <w:sz w:val="20"/>
              </w:rPr>
            </w:pPr>
          </w:p>
        </w:tc>
      </w:tr>
      <w:tr w:rsidR="008F1724" w:rsidRPr="00C324A8" w14:paraId="7852BAA5" w14:textId="77777777" w:rsidTr="00056D9A">
        <w:trPr>
          <w:cantSplit/>
          <w:trHeight w:val="23"/>
        </w:trPr>
        <w:tc>
          <w:tcPr>
            <w:tcW w:w="7230" w:type="dxa"/>
          </w:tcPr>
          <w:p w14:paraId="35AB31E1" w14:textId="77777777" w:rsidR="008F1724" w:rsidRPr="00D96B4B" w:rsidRDefault="008F1724" w:rsidP="00056D9A">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3A5524B" w14:textId="77777777" w:rsidR="008F1724" w:rsidRPr="00F44B1A" w:rsidRDefault="008F1724" w:rsidP="00056D9A">
            <w:pPr>
              <w:pStyle w:val="Data"/>
              <w:framePr w:hSpace="0" w:wrap="auto" w:hAnchor="text" w:xAlign="left" w:yAlign="inline"/>
            </w:pPr>
            <w:r>
              <w:t>Document 66-E</w:t>
            </w:r>
          </w:p>
        </w:tc>
      </w:tr>
      <w:tr w:rsidR="008F1724" w:rsidRPr="00C324A8" w14:paraId="60DCF8E1" w14:textId="77777777" w:rsidTr="00056D9A">
        <w:trPr>
          <w:cantSplit/>
          <w:trHeight w:val="23"/>
        </w:trPr>
        <w:tc>
          <w:tcPr>
            <w:tcW w:w="7230" w:type="dxa"/>
          </w:tcPr>
          <w:p w14:paraId="18CF3D03" w14:textId="77777777" w:rsidR="008F1724" w:rsidRPr="00841AB4" w:rsidRDefault="008F1724" w:rsidP="00056D9A">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164534F" w14:textId="3DF08C68" w:rsidR="008F1724" w:rsidRPr="00D96B4B" w:rsidRDefault="00F95377" w:rsidP="00056D9A">
            <w:pPr>
              <w:pStyle w:val="Data"/>
              <w:framePr w:hSpace="0" w:wrap="auto" w:hAnchor="text" w:xAlign="left" w:yAlign="inline"/>
            </w:pPr>
            <w:r>
              <w:t>7</w:t>
            </w:r>
            <w:r w:rsidR="008F1724">
              <w:t xml:space="preserve"> October 2026</w:t>
            </w:r>
          </w:p>
        </w:tc>
      </w:tr>
      <w:tr w:rsidR="008F1724" w:rsidRPr="00C324A8" w14:paraId="1D46AB87" w14:textId="77777777" w:rsidTr="00056D9A">
        <w:trPr>
          <w:cantSplit/>
          <w:trHeight w:val="23"/>
        </w:trPr>
        <w:tc>
          <w:tcPr>
            <w:tcW w:w="7230" w:type="dxa"/>
          </w:tcPr>
          <w:p w14:paraId="1844C142" w14:textId="77777777" w:rsidR="008F1724" w:rsidRPr="00D96B4B" w:rsidRDefault="008F1724" w:rsidP="00056D9A">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0B6BB93" w14:textId="77777777" w:rsidR="008F1724" w:rsidRPr="00D96B4B" w:rsidRDefault="008F1724" w:rsidP="00056D9A">
            <w:pPr>
              <w:pStyle w:val="Data"/>
              <w:framePr w:hSpace="0" w:wrap="auto" w:hAnchor="text" w:xAlign="left" w:yAlign="inline"/>
            </w:pPr>
            <w:r>
              <w:t>Original: English</w:t>
            </w:r>
          </w:p>
        </w:tc>
      </w:tr>
      <w:tr w:rsidR="008F1724" w:rsidRPr="00C324A8" w14:paraId="1BA72522" w14:textId="77777777" w:rsidTr="00056D9A">
        <w:trPr>
          <w:cantSplit/>
          <w:trHeight w:val="23"/>
        </w:trPr>
        <w:tc>
          <w:tcPr>
            <w:tcW w:w="10031" w:type="dxa"/>
            <w:gridSpan w:val="2"/>
          </w:tcPr>
          <w:p w14:paraId="3B2F2B91" w14:textId="77777777" w:rsidR="008F1724" w:rsidRPr="00D96B4B" w:rsidRDefault="008F1724" w:rsidP="00056D9A">
            <w:pPr>
              <w:tabs>
                <w:tab w:val="left" w:pos="993"/>
              </w:tabs>
              <w:rPr>
                <w:rFonts w:ascii="Verdana" w:hAnsi="Verdana"/>
                <w:b/>
                <w:szCs w:val="24"/>
              </w:rPr>
            </w:pPr>
          </w:p>
        </w:tc>
      </w:tr>
      <w:tr w:rsidR="008F1724" w:rsidRPr="00C324A8" w14:paraId="4BD10882" w14:textId="77777777" w:rsidTr="00056D9A">
        <w:trPr>
          <w:cantSplit/>
          <w:trHeight w:val="23"/>
        </w:trPr>
        <w:tc>
          <w:tcPr>
            <w:tcW w:w="10031" w:type="dxa"/>
            <w:gridSpan w:val="2"/>
          </w:tcPr>
          <w:p w14:paraId="76483974" w14:textId="77777777" w:rsidR="008F1724" w:rsidRDefault="008F1724" w:rsidP="00056D9A">
            <w:pPr>
              <w:pStyle w:val="Source"/>
            </w:pPr>
            <w:r w:rsidRPr="00497224">
              <w:t>Report by the Secretary-General</w:t>
            </w:r>
          </w:p>
        </w:tc>
      </w:tr>
      <w:tr w:rsidR="008F1724" w:rsidRPr="00C324A8" w14:paraId="1370D27D" w14:textId="77777777" w:rsidTr="00056D9A">
        <w:trPr>
          <w:cantSplit/>
          <w:trHeight w:val="23"/>
        </w:trPr>
        <w:tc>
          <w:tcPr>
            <w:tcW w:w="10031" w:type="dxa"/>
            <w:gridSpan w:val="2"/>
          </w:tcPr>
          <w:p w14:paraId="2D403653" w14:textId="77777777" w:rsidR="008F1724" w:rsidRDefault="008F1724" w:rsidP="00056D9A">
            <w:pPr>
              <w:pStyle w:val="Title1"/>
            </w:pPr>
            <w:r>
              <w:rPr>
                <w:caps w:val="0"/>
              </w:rPr>
              <w:t>ESTABLISHMENT PLAN FOR ITU OFFICE IN THE PACIFIC</w:t>
            </w:r>
          </w:p>
        </w:tc>
      </w:tr>
      <w:bookmarkEnd w:id="6"/>
      <w:bookmarkEnd w:id="7"/>
    </w:tbl>
    <w:p w14:paraId="40EEBC2C" w14:textId="77777777" w:rsidR="002A0970" w:rsidRDefault="002A0970" w:rsidP="002A0970"/>
    <w:tbl>
      <w:tblPr>
        <w:tblStyle w:val="TableGrid"/>
        <w:tblW w:w="0" w:type="auto"/>
        <w:jc w:val="center"/>
        <w:tblLook w:val="04A0" w:firstRow="1" w:lastRow="0" w:firstColumn="1" w:lastColumn="0" w:noHBand="0" w:noVBand="1"/>
      </w:tblPr>
      <w:tblGrid>
        <w:gridCol w:w="7937"/>
      </w:tblGrid>
      <w:tr w:rsidR="002A0970" w:rsidRPr="00F26FE2" w14:paraId="08D3D3B2" w14:textId="77777777" w:rsidTr="6B845DB4">
        <w:trPr>
          <w:cantSplit/>
          <w:jc w:val="center"/>
        </w:trPr>
        <w:tc>
          <w:tcPr>
            <w:tcW w:w="7937" w:type="dxa"/>
          </w:tcPr>
          <w:p w14:paraId="226BE207" w14:textId="77777777" w:rsidR="002A0970" w:rsidRPr="00F26FE2" w:rsidRDefault="002A0970">
            <w:pPr>
              <w:pStyle w:val="Headingb"/>
            </w:pPr>
            <w:r w:rsidRPr="00F26FE2">
              <w:br w:type="page"/>
              <w:t>Summary</w:t>
            </w:r>
          </w:p>
          <w:p w14:paraId="1FCAFD63" w14:textId="4B75310D" w:rsidR="002A0970" w:rsidRPr="00F26FE2" w:rsidRDefault="037DC946" w:rsidP="00FB3329">
            <w:pPr>
              <w:spacing w:line="259" w:lineRule="auto"/>
              <w:jc w:val="both"/>
            </w:pPr>
            <w:r>
              <w:t xml:space="preserve">The 2026 Council session approved in principle the establishment of ITU Area Office for the Pacific on 28 April 2026 and </w:t>
            </w:r>
            <w:r w:rsidR="087EA984">
              <w:t xml:space="preserve">requested </w:t>
            </w:r>
            <w:r>
              <w:t xml:space="preserve">the </w:t>
            </w:r>
            <w:r w:rsidR="14E1AF6C">
              <w:t>secretariat</w:t>
            </w:r>
            <w:r>
              <w:t xml:space="preserve"> to develop a detailed establishment plan of the new Area Office</w:t>
            </w:r>
            <w:r w:rsidR="7A0B79CE">
              <w:t xml:space="preserve"> and present it to </w:t>
            </w:r>
            <w:r w:rsidR="00ED4EC0">
              <w:t>the Plenipotentiary Conference (</w:t>
            </w:r>
            <w:r w:rsidR="7A0B79CE">
              <w:t>PP</w:t>
            </w:r>
            <w:r w:rsidR="00796EB5">
              <w:t>-</w:t>
            </w:r>
            <w:r w:rsidR="7A0B79CE">
              <w:t>26</w:t>
            </w:r>
            <w:r w:rsidR="00ED4EC0">
              <w:t>)</w:t>
            </w:r>
            <w:r w:rsidR="7A0B79CE">
              <w:t xml:space="preserve"> for consideration</w:t>
            </w:r>
            <w:r>
              <w:t>. This document provides the background and methodology used to develop the establishment plan with proposed staffing, financial analysis and logistical considerations.</w:t>
            </w:r>
          </w:p>
          <w:p w14:paraId="49678672" w14:textId="77777777" w:rsidR="002A0970" w:rsidRPr="00F26FE2" w:rsidRDefault="002A0970">
            <w:pPr>
              <w:pStyle w:val="Headingb"/>
            </w:pPr>
            <w:r w:rsidRPr="00F26FE2">
              <w:t>Action required</w:t>
            </w:r>
          </w:p>
          <w:p w14:paraId="239DA832" w14:textId="47C0E6B7" w:rsidR="002A0970" w:rsidRPr="00F26FE2" w:rsidRDefault="037DC946">
            <w:pPr>
              <w:spacing w:line="259" w:lineRule="auto"/>
              <w:jc w:val="both"/>
            </w:pPr>
            <w:r>
              <w:t xml:space="preserve">The Plenipotentiary Conference is invited to </w:t>
            </w:r>
            <w:r w:rsidR="3B270A99" w:rsidRPr="00FB3329">
              <w:rPr>
                <w:b/>
                <w:bCs/>
              </w:rPr>
              <w:t>consider</w:t>
            </w:r>
            <w:r w:rsidR="481550AC" w:rsidRPr="01A7BABC">
              <w:rPr>
                <w:b/>
                <w:bCs/>
              </w:rPr>
              <w:t xml:space="preserve"> </w:t>
            </w:r>
            <w:r>
              <w:t xml:space="preserve">this </w:t>
            </w:r>
            <w:r w:rsidR="3B270A99">
              <w:t>report.</w:t>
            </w:r>
          </w:p>
          <w:p w14:paraId="724A4567" w14:textId="77777777" w:rsidR="002A0970" w:rsidRPr="00516A95" w:rsidRDefault="002A0970">
            <w:pPr>
              <w:spacing w:before="160"/>
              <w:rPr>
                <w:b/>
                <w:bCs/>
              </w:rPr>
            </w:pPr>
            <w:r w:rsidRPr="17ED7D2A">
              <w:rPr>
                <w:b/>
                <w:bCs/>
              </w:rPr>
              <w:t>Relevant link(s) with the Strategic Plan</w:t>
            </w:r>
          </w:p>
          <w:p w14:paraId="265565F3" w14:textId="391EE573" w:rsidR="002A0970" w:rsidRPr="002076E6" w:rsidRDefault="002A0970" w:rsidP="00F774D1">
            <w:pPr>
              <w:jc w:val="both"/>
            </w:pPr>
            <w:r w:rsidRPr="6ABD5D7C">
              <w:rPr>
                <w:rFonts w:asciiTheme="minorHAnsi" w:hAnsiTheme="minorHAnsi" w:cstheme="minorBidi"/>
              </w:rPr>
              <w:t xml:space="preserve">Regional presence </w:t>
            </w:r>
            <w:r w:rsidR="00F774D1">
              <w:rPr>
                <w:rFonts w:asciiTheme="minorHAnsi" w:hAnsiTheme="minorHAnsi" w:cstheme="minorHAnsi"/>
              </w:rPr>
              <w:t>§</w:t>
            </w:r>
            <w:r w:rsidR="00F774D1">
              <w:rPr>
                <w:rFonts w:asciiTheme="minorHAnsi" w:hAnsiTheme="minorHAnsi" w:cstheme="minorBidi"/>
              </w:rPr>
              <w:t> </w:t>
            </w:r>
            <w:r w:rsidRPr="6ABD5D7C">
              <w:rPr>
                <w:rFonts w:asciiTheme="minorHAnsi" w:hAnsiTheme="minorHAnsi" w:cstheme="minorBidi"/>
              </w:rPr>
              <w:t>66 of the S</w:t>
            </w:r>
            <w:r w:rsidRPr="6ABD5D7C">
              <w:rPr>
                <w:rFonts w:eastAsia="Calibri" w:cs="Calibri"/>
                <w:szCs w:val="24"/>
              </w:rPr>
              <w:t>trategic plan for the Union for 2024-2027</w:t>
            </w:r>
            <w:r w:rsidR="00F774D1">
              <w:rPr>
                <w:rFonts w:eastAsia="Calibri" w:cs="Calibri"/>
                <w:szCs w:val="24"/>
              </w:rPr>
              <w:t>.</w:t>
            </w:r>
          </w:p>
          <w:p w14:paraId="3534D38D" w14:textId="77777777" w:rsidR="002A0970" w:rsidRPr="002076E6" w:rsidRDefault="002A0970">
            <w:pPr>
              <w:spacing w:before="160"/>
              <w:jc w:val="both"/>
              <w:rPr>
                <w:b/>
                <w:bCs/>
              </w:rPr>
            </w:pPr>
            <w:r w:rsidRPr="6ABD5D7C">
              <w:rPr>
                <w:b/>
                <w:bCs/>
              </w:rPr>
              <w:t>Financial implications</w:t>
            </w:r>
          </w:p>
          <w:p w14:paraId="46A48B82" w14:textId="70ED1E70" w:rsidR="002A0970" w:rsidRPr="00F26FE2" w:rsidRDefault="7484FC8D" w:rsidP="00ED4EC0">
            <w:pPr>
              <w:jc w:val="both"/>
              <w:rPr>
                <w:rFonts w:eastAsia="Calibri" w:cs="Calibri"/>
              </w:rPr>
            </w:pPr>
            <w:r w:rsidRPr="6B845DB4">
              <w:rPr>
                <w:rFonts w:eastAsia="Calibri" w:cs="Calibri"/>
              </w:rPr>
              <w:t>It is estimated that CHF</w:t>
            </w:r>
            <w:r w:rsidR="00ED4EC0">
              <w:rPr>
                <w:rFonts w:eastAsia="Calibri" w:cs="Calibri"/>
              </w:rPr>
              <w:t> </w:t>
            </w:r>
            <w:r w:rsidR="662836AC" w:rsidRPr="6B845DB4">
              <w:rPr>
                <w:rFonts w:eastAsia="Calibri" w:cs="Calibri"/>
              </w:rPr>
              <w:t>521</w:t>
            </w:r>
            <w:r w:rsidR="00ED4EC0">
              <w:rPr>
                <w:rFonts w:eastAsia="Calibri" w:cs="Calibri"/>
              </w:rPr>
              <w:t> </w:t>
            </w:r>
            <w:r w:rsidR="662836AC" w:rsidRPr="6B845DB4">
              <w:rPr>
                <w:rFonts w:eastAsia="Calibri" w:cs="Calibri"/>
              </w:rPr>
              <w:t>806</w:t>
            </w:r>
            <w:r w:rsidRPr="6B845DB4">
              <w:rPr>
                <w:rFonts w:eastAsia="Calibri" w:cs="Calibri"/>
              </w:rPr>
              <w:t xml:space="preserve"> for Year 1 and CHF</w:t>
            </w:r>
            <w:r w:rsidR="00ED4EC0">
              <w:rPr>
                <w:rFonts w:eastAsia="Calibri" w:cs="Calibri"/>
              </w:rPr>
              <w:t> </w:t>
            </w:r>
            <w:r w:rsidR="6B93FAA3" w:rsidRPr="6B845DB4">
              <w:rPr>
                <w:rFonts w:eastAsia="Calibri" w:cs="Calibri"/>
              </w:rPr>
              <w:t>1</w:t>
            </w:r>
            <w:r w:rsidR="00ED4EC0">
              <w:rPr>
                <w:rFonts w:eastAsia="Calibri" w:cs="Calibri"/>
              </w:rPr>
              <w:t> </w:t>
            </w:r>
            <w:r w:rsidR="6B93FAA3" w:rsidRPr="6B845DB4">
              <w:rPr>
                <w:rFonts w:eastAsia="Calibri" w:cs="Calibri"/>
              </w:rPr>
              <w:t>368</w:t>
            </w:r>
            <w:r w:rsidR="00ED4EC0">
              <w:rPr>
                <w:rFonts w:eastAsia="Calibri" w:cs="Calibri"/>
              </w:rPr>
              <w:t> </w:t>
            </w:r>
            <w:r w:rsidR="6B93FAA3" w:rsidRPr="6B845DB4">
              <w:rPr>
                <w:rFonts w:eastAsia="Calibri" w:cs="Calibri"/>
              </w:rPr>
              <w:t>814</w:t>
            </w:r>
            <w:r w:rsidRPr="6B845DB4">
              <w:rPr>
                <w:rFonts w:eastAsia="Calibri" w:cs="Calibri"/>
              </w:rPr>
              <w:t xml:space="preserve"> for </w:t>
            </w:r>
            <w:r w:rsidR="63A3EC64" w:rsidRPr="6B845DB4">
              <w:rPr>
                <w:rFonts w:eastAsia="Calibri" w:cs="Calibri"/>
              </w:rPr>
              <w:t xml:space="preserve">the </w:t>
            </w:r>
            <w:r w:rsidRPr="6B845DB4">
              <w:rPr>
                <w:rFonts w:eastAsia="Calibri" w:cs="Calibri"/>
              </w:rPr>
              <w:t xml:space="preserve">subsequent </w:t>
            </w:r>
            <w:r w:rsidR="03829C91" w:rsidRPr="6B845DB4">
              <w:rPr>
                <w:rFonts w:eastAsia="Calibri" w:cs="Calibri"/>
              </w:rPr>
              <w:t xml:space="preserve">3 </w:t>
            </w:r>
            <w:r w:rsidRPr="6B845DB4">
              <w:rPr>
                <w:rFonts w:eastAsia="Calibri" w:cs="Calibri"/>
              </w:rPr>
              <w:t>years</w:t>
            </w:r>
            <w:r w:rsidR="0818B7F4" w:rsidRPr="6B845DB4">
              <w:rPr>
                <w:rFonts w:eastAsia="Calibri" w:cs="Calibri"/>
              </w:rPr>
              <w:t xml:space="preserve"> (CHF</w:t>
            </w:r>
            <w:r w:rsidR="00ED4EC0">
              <w:rPr>
                <w:rFonts w:eastAsia="Calibri" w:cs="Calibri"/>
              </w:rPr>
              <w:t> </w:t>
            </w:r>
            <w:r w:rsidR="0818B7F4" w:rsidRPr="6B845DB4">
              <w:rPr>
                <w:rFonts w:eastAsia="Calibri" w:cs="Calibri"/>
              </w:rPr>
              <w:t>1</w:t>
            </w:r>
            <w:r w:rsidR="00ED4EC0">
              <w:rPr>
                <w:rFonts w:eastAsia="Calibri" w:cs="Calibri"/>
              </w:rPr>
              <w:t> </w:t>
            </w:r>
            <w:r w:rsidR="0818B7F4" w:rsidRPr="6B845DB4">
              <w:rPr>
                <w:rFonts w:eastAsia="Calibri" w:cs="Calibri"/>
              </w:rPr>
              <w:t>890</w:t>
            </w:r>
            <w:r w:rsidR="00ED4EC0">
              <w:rPr>
                <w:rFonts w:eastAsia="Calibri" w:cs="Calibri"/>
              </w:rPr>
              <w:t> </w:t>
            </w:r>
            <w:r w:rsidR="0818B7F4" w:rsidRPr="6B845DB4">
              <w:rPr>
                <w:rFonts w:eastAsia="Calibri" w:cs="Calibri"/>
              </w:rPr>
              <w:t>620 for 4 years)</w:t>
            </w:r>
            <w:r w:rsidRPr="6B845DB4">
              <w:rPr>
                <w:rFonts w:eastAsia="Calibri" w:cs="Calibri"/>
              </w:rPr>
              <w:t xml:space="preserve"> would be required</w:t>
            </w:r>
            <w:r w:rsidR="663670CC" w:rsidRPr="2A6C25F2">
              <w:rPr>
                <w:rFonts w:eastAsia="Calibri" w:cs="Calibri"/>
              </w:rPr>
              <w:t xml:space="preserve"> in addition to the categories of non</w:t>
            </w:r>
            <w:r w:rsidR="00796EB5">
              <w:rPr>
                <w:rFonts w:eastAsia="Calibri" w:cs="Calibri"/>
              </w:rPr>
              <w:t>-</w:t>
            </w:r>
            <w:r w:rsidR="663670CC" w:rsidRPr="2A6C25F2">
              <w:rPr>
                <w:rFonts w:eastAsia="Calibri" w:cs="Calibri"/>
              </w:rPr>
              <w:t>staff costs that are normally covered by host countries.</w:t>
            </w:r>
          </w:p>
          <w:p w14:paraId="3188D86A" w14:textId="77777777" w:rsidR="002A0970" w:rsidRPr="00F26FE2" w:rsidRDefault="002A0970">
            <w:pPr>
              <w:rPr>
                <w:rFonts w:asciiTheme="minorHAnsi" w:hAnsiTheme="minorHAnsi" w:cstheme="minorHAnsi"/>
                <w:caps/>
                <w:szCs w:val="24"/>
              </w:rPr>
            </w:pPr>
            <w:r w:rsidRPr="00F26FE2">
              <w:rPr>
                <w:rFonts w:asciiTheme="minorHAnsi" w:hAnsiTheme="minorHAnsi" w:cstheme="minorHAnsi"/>
                <w:szCs w:val="24"/>
              </w:rPr>
              <w:t>____________</w:t>
            </w:r>
          </w:p>
          <w:p w14:paraId="69E31A58" w14:textId="77777777" w:rsidR="002A0970" w:rsidRPr="00F26FE2" w:rsidRDefault="002A0970">
            <w:pPr>
              <w:pStyle w:val="Headingb"/>
            </w:pPr>
            <w:r w:rsidRPr="00F26FE2">
              <w:t>References</w:t>
            </w:r>
          </w:p>
          <w:p w14:paraId="487698E1" w14:textId="76C52E7F" w:rsidR="002A0970" w:rsidRPr="00ED4EC0" w:rsidRDefault="002A0970">
            <w:pPr>
              <w:spacing w:after="120"/>
              <w:ind w:right="-57"/>
              <w:rPr>
                <w:i/>
                <w:iCs/>
                <w:spacing w:val="-3"/>
                <w:sz w:val="22"/>
                <w:szCs w:val="22"/>
              </w:rPr>
            </w:pPr>
            <w:r w:rsidRPr="00ED4EC0">
              <w:rPr>
                <w:i/>
                <w:iCs/>
                <w:sz w:val="22"/>
                <w:szCs w:val="22"/>
              </w:rPr>
              <w:t xml:space="preserve">Resolution </w:t>
            </w:r>
            <w:hyperlink r:id="rId12">
              <w:r w:rsidRPr="00ED4EC0">
                <w:rPr>
                  <w:rStyle w:val="Hyperlink"/>
                  <w:i/>
                  <w:iCs/>
                  <w:sz w:val="22"/>
                  <w:szCs w:val="22"/>
                </w:rPr>
                <w:t>25 (Rev. Bucharest, 2022)</w:t>
              </w:r>
            </w:hyperlink>
            <w:r w:rsidRPr="00ED4EC0">
              <w:rPr>
                <w:i/>
                <w:iCs/>
                <w:sz w:val="22"/>
                <w:szCs w:val="22"/>
              </w:rPr>
              <w:t xml:space="preserve"> of the Plenipotentiary Conference, </w:t>
            </w:r>
            <w:r w:rsidRPr="00ED4EC0">
              <w:rPr>
                <w:i/>
                <w:iCs/>
                <w:spacing w:val="-3"/>
                <w:sz w:val="22"/>
                <w:szCs w:val="22"/>
              </w:rPr>
              <w:t xml:space="preserve">Council </w:t>
            </w:r>
            <w:r w:rsidR="00F774D1" w:rsidRPr="00ED4EC0">
              <w:rPr>
                <w:i/>
                <w:iCs/>
                <w:spacing w:val="-3"/>
                <w:sz w:val="22"/>
                <w:szCs w:val="22"/>
              </w:rPr>
              <w:t xml:space="preserve">Documents </w:t>
            </w:r>
            <w:hyperlink r:id="rId13" w:history="1">
              <w:r w:rsidRPr="00ED4EC0">
                <w:rPr>
                  <w:rStyle w:val="Hyperlink"/>
                  <w:i/>
                  <w:iCs/>
                  <w:spacing w:val="-3"/>
                  <w:sz w:val="22"/>
                  <w:szCs w:val="22"/>
                </w:rPr>
                <w:t>C20/74</w:t>
              </w:r>
            </w:hyperlink>
            <w:r w:rsidRPr="00ED4EC0">
              <w:rPr>
                <w:i/>
                <w:iCs/>
                <w:spacing w:val="-3"/>
                <w:sz w:val="22"/>
                <w:szCs w:val="22"/>
              </w:rPr>
              <w:t xml:space="preserve">, </w:t>
            </w:r>
            <w:hyperlink r:id="rId14" w:history="1">
              <w:r w:rsidRPr="00ED4EC0">
                <w:rPr>
                  <w:rStyle w:val="Hyperlink"/>
                  <w:i/>
                  <w:iCs/>
                  <w:spacing w:val="-3"/>
                  <w:sz w:val="22"/>
                  <w:szCs w:val="22"/>
                </w:rPr>
                <w:t>C24/66</w:t>
              </w:r>
            </w:hyperlink>
            <w:r w:rsidRPr="00ED4EC0">
              <w:rPr>
                <w:i/>
                <w:iCs/>
                <w:spacing w:val="-3"/>
                <w:sz w:val="22"/>
                <w:szCs w:val="22"/>
              </w:rPr>
              <w:t xml:space="preserve">, </w:t>
            </w:r>
            <w:hyperlink r:id="rId15" w:history="1">
              <w:r w:rsidRPr="00ED4EC0">
                <w:rPr>
                  <w:rStyle w:val="Hyperlink"/>
                  <w:i/>
                  <w:iCs/>
                  <w:spacing w:val="-3"/>
                  <w:sz w:val="22"/>
                  <w:szCs w:val="22"/>
                </w:rPr>
                <w:t>C26/24</w:t>
              </w:r>
            </w:hyperlink>
            <w:r w:rsidRPr="00ED4EC0">
              <w:rPr>
                <w:i/>
                <w:iCs/>
                <w:spacing w:val="-3"/>
                <w:sz w:val="22"/>
                <w:szCs w:val="22"/>
              </w:rPr>
              <w:t xml:space="preserve">, </w:t>
            </w:r>
            <w:hyperlink r:id="rId16" w:history="1">
              <w:r w:rsidRPr="00ED4EC0">
                <w:rPr>
                  <w:rStyle w:val="Hyperlink"/>
                  <w:i/>
                  <w:iCs/>
                  <w:spacing w:val="-3"/>
                  <w:sz w:val="22"/>
                  <w:szCs w:val="22"/>
                </w:rPr>
                <w:t>C26/85</w:t>
              </w:r>
            </w:hyperlink>
            <w:r w:rsidRPr="00ED4EC0">
              <w:rPr>
                <w:i/>
                <w:iCs/>
                <w:spacing w:val="-3"/>
                <w:sz w:val="22"/>
                <w:szCs w:val="22"/>
              </w:rPr>
              <w:t xml:space="preserve"> </w:t>
            </w:r>
            <w:r w:rsidR="00F774D1" w:rsidRPr="00ED4EC0">
              <w:rPr>
                <w:i/>
                <w:iCs/>
                <w:spacing w:val="-3"/>
                <w:sz w:val="22"/>
                <w:szCs w:val="22"/>
              </w:rPr>
              <w:t xml:space="preserve">and </w:t>
            </w:r>
            <w:hyperlink r:id="rId17" w:history="1">
              <w:r w:rsidRPr="00ED4EC0">
                <w:rPr>
                  <w:rStyle w:val="Hyperlink"/>
                  <w:i/>
                  <w:iCs/>
                  <w:spacing w:val="-3"/>
                  <w:sz w:val="22"/>
                  <w:szCs w:val="22"/>
                </w:rPr>
                <w:t>C</w:t>
              </w:r>
              <w:r w:rsidRPr="00ED4EC0">
                <w:rPr>
                  <w:rStyle w:val="Hyperlink"/>
                  <w:i/>
                  <w:iCs/>
                  <w:sz w:val="22"/>
                  <w:szCs w:val="22"/>
                </w:rPr>
                <w:t>26/119</w:t>
              </w:r>
            </w:hyperlink>
            <w:r w:rsidRPr="00ED4EC0">
              <w:rPr>
                <w:i/>
                <w:iCs/>
                <w:sz w:val="22"/>
                <w:szCs w:val="22"/>
              </w:rPr>
              <w:t xml:space="preserve">; </w:t>
            </w:r>
            <w:hyperlink r:id="rId18">
              <w:r w:rsidRPr="00ED4EC0">
                <w:rPr>
                  <w:rStyle w:val="Hyperlink"/>
                  <w:i/>
                  <w:iCs/>
                  <w:sz w:val="22"/>
                  <w:szCs w:val="22"/>
                </w:rPr>
                <w:t>Resolutions 16, 17 and 94 (Baku, 2025) of the World Telecommunication Development Conference</w:t>
              </w:r>
            </w:hyperlink>
            <w:r w:rsidRPr="00ED4EC0">
              <w:rPr>
                <w:i/>
                <w:sz w:val="22"/>
                <w:szCs w:val="22"/>
              </w:rPr>
              <w:t xml:space="preserve">; </w:t>
            </w:r>
            <w:r w:rsidR="00512487" w:rsidRPr="00ED4EC0">
              <w:rPr>
                <w:i/>
                <w:sz w:val="22"/>
                <w:szCs w:val="22"/>
              </w:rPr>
              <w:br/>
            </w:r>
            <w:hyperlink r:id="rId19">
              <w:r w:rsidRPr="00ED4EC0">
                <w:rPr>
                  <w:rStyle w:val="Hyperlink"/>
                  <w:i/>
                  <w:iCs/>
                  <w:sz w:val="22"/>
                  <w:szCs w:val="22"/>
                </w:rPr>
                <w:t>TDAG Document 26/2(Add.1)</w:t>
              </w:r>
            </w:hyperlink>
          </w:p>
        </w:tc>
      </w:tr>
    </w:tbl>
    <w:p w14:paraId="3D6BAEC8" w14:textId="21B5BF8D" w:rsidR="00383AB1" w:rsidRPr="00ED4EC0" w:rsidRDefault="001A16ED" w:rsidP="002A0970">
      <w:pPr>
        <w:rPr>
          <w:sz w:val="22"/>
          <w:szCs w:val="22"/>
        </w:rPr>
      </w:pPr>
      <w:r>
        <w:br w:type="page"/>
      </w:r>
    </w:p>
    <w:p w14:paraId="671D09FE" w14:textId="60F2C13C" w:rsidR="00383AB1" w:rsidRDefault="00383AB1" w:rsidP="002A0970">
      <w:pPr>
        <w:pStyle w:val="Headingb"/>
      </w:pPr>
      <w:bookmarkStart w:id="8" w:name="_Toc236855353"/>
      <w:r>
        <w:lastRenderedPageBreak/>
        <w:t>Introduction</w:t>
      </w:r>
      <w:bookmarkEnd w:id="8"/>
    </w:p>
    <w:p w14:paraId="37B3153A" w14:textId="5E3A33B6" w:rsidR="00D656A4" w:rsidRDefault="00D656A4" w:rsidP="00AF6EAE">
      <w:pPr>
        <w:jc w:val="both"/>
      </w:pPr>
      <w:r w:rsidRPr="00D70C69">
        <w:t xml:space="preserve">The 2026 session of the </w:t>
      </w:r>
      <w:r w:rsidRPr="0019569A">
        <w:t>International Telecommunication Union (</w:t>
      </w:r>
      <w:r w:rsidRPr="00D70C69">
        <w:t>ITU</w:t>
      </w:r>
      <w:r>
        <w:t>)</w:t>
      </w:r>
      <w:r w:rsidRPr="00D70C69">
        <w:t xml:space="preserve"> Council considered the multi-country contribution from Pacific Member States (Document </w:t>
      </w:r>
      <w:hyperlink r:id="rId20">
        <w:r w:rsidRPr="00D70C69">
          <w:rPr>
            <w:rStyle w:val="Hyperlink"/>
            <w:rFonts w:cs="Calibri"/>
          </w:rPr>
          <w:t>C26/85</w:t>
        </w:r>
      </w:hyperlink>
      <w:r w:rsidRPr="00D70C69">
        <w:t xml:space="preserve">) which invited the Council to consider the establishment of an ITU Area Office in the Pacific. </w:t>
      </w:r>
    </w:p>
    <w:p w14:paraId="6C42167A" w14:textId="2444B71B" w:rsidR="00D656A4" w:rsidRPr="00D70C69" w:rsidRDefault="1D6A7F6D" w:rsidP="00AF6EAE">
      <w:pPr>
        <w:jc w:val="both"/>
      </w:pPr>
      <w:r w:rsidRPr="01A7BABC">
        <w:t xml:space="preserve">The Council (Document </w:t>
      </w:r>
      <w:hyperlink r:id="rId21" w:history="1">
        <w:r w:rsidRPr="01A7BABC">
          <w:rPr>
            <w:rStyle w:val="Hyperlink"/>
            <w:rFonts w:cs="Calibri"/>
          </w:rPr>
          <w:t>C26/119</w:t>
        </w:r>
      </w:hyperlink>
      <w:r w:rsidRPr="01A7BABC">
        <w:t>) agreed in principle to the establishment of an ITU presence in the Pacific and requested the secretariat to develop concrete options and an Establishment Plan for an ITU Area Office in the Pacific. The Council requested the Establishment Plan to contain a detailed financial analysis of resources, staffing, hosting and financing arrangements</w:t>
      </w:r>
      <w:r w:rsidR="00ED4EC0">
        <w:t>,</w:t>
      </w:r>
      <w:r w:rsidRPr="01A7BABC">
        <w:t xml:space="preserve"> and to submit the proposal to the 2026 Plenipotentiary Conference (PP-26) for consideration</w:t>
      </w:r>
      <w:r w:rsidR="6415A376" w:rsidRPr="01A7BABC">
        <w:t xml:space="preserve"> and approval</w:t>
      </w:r>
      <w:r w:rsidRPr="01A7BABC">
        <w:t>.</w:t>
      </w:r>
    </w:p>
    <w:p w14:paraId="06F60638" w14:textId="7B7F73DA" w:rsidR="00383AB1" w:rsidRDefault="5EEB6F1A" w:rsidP="002A0970">
      <w:pPr>
        <w:pStyle w:val="Headingb"/>
      </w:pPr>
      <w:bookmarkStart w:id="9" w:name="_Toc236855354"/>
      <w:r>
        <w:t>Background</w:t>
      </w:r>
      <w:bookmarkEnd w:id="9"/>
    </w:p>
    <w:p w14:paraId="37A4299E" w14:textId="22E6C984" w:rsidR="009C2483" w:rsidRPr="00D70C69" w:rsidRDefault="009C2483" w:rsidP="00AF6EAE">
      <w:pPr>
        <w:jc w:val="both"/>
      </w:pPr>
      <w:r w:rsidRPr="00D70C69">
        <w:t xml:space="preserve">Pursuant to Resolution </w:t>
      </w:r>
      <w:hyperlink r:id="rId22" w:history="1">
        <w:r w:rsidRPr="204F2A03">
          <w:rPr>
            <w:rStyle w:val="Hyperlink"/>
          </w:rPr>
          <w:t>25 (Rev. Bucharest, 2022)</w:t>
        </w:r>
      </w:hyperlink>
      <w:r>
        <w:t xml:space="preserve"> </w:t>
      </w:r>
      <w:r w:rsidRPr="00D70C69">
        <w:t xml:space="preserve">of the Plenipotentiary Conference, the PwC report on ITU Regional Presence (Document </w:t>
      </w:r>
      <w:hyperlink r:id="rId23" w:history="1">
        <w:r w:rsidRPr="204F2A03">
          <w:rPr>
            <w:rStyle w:val="Hyperlink"/>
          </w:rPr>
          <w:t>C20/74</w:t>
        </w:r>
      </w:hyperlink>
      <w:r>
        <w:t>)</w:t>
      </w:r>
      <w:r w:rsidRPr="00D70C69">
        <w:t xml:space="preserve">, WTDC Resolutions </w:t>
      </w:r>
      <w:hyperlink r:id="rId24" w:history="1">
        <w:r w:rsidRPr="204F2A03">
          <w:rPr>
            <w:rStyle w:val="Hyperlink"/>
          </w:rPr>
          <w:t>16 (Rev. Baku, 2025)</w:t>
        </w:r>
        <w:r w:rsidRPr="00ED4EC0">
          <w:rPr>
            <w:rStyle w:val="Hyperlink"/>
            <w:color w:val="auto"/>
            <w:u w:val="none"/>
          </w:rPr>
          <w:t xml:space="preserve">, </w:t>
        </w:r>
        <w:r w:rsidRPr="204F2A03">
          <w:rPr>
            <w:rStyle w:val="Hyperlink"/>
          </w:rPr>
          <w:t>17 (Rev. Baku, 2025)</w:t>
        </w:r>
        <w:r w:rsidRPr="00ED4EC0">
          <w:rPr>
            <w:rStyle w:val="Hyperlink"/>
            <w:color w:val="auto"/>
            <w:u w:val="none"/>
          </w:rPr>
          <w:t xml:space="preserve"> and </w:t>
        </w:r>
        <w:r w:rsidRPr="204F2A03">
          <w:rPr>
            <w:rStyle w:val="Hyperlink"/>
          </w:rPr>
          <w:t>94 (Baku, 2025)</w:t>
        </w:r>
      </w:hyperlink>
      <w:r w:rsidRPr="00D70C69">
        <w:t xml:space="preserve">, Asia-Pacific Regional Initiative 1, ongoing discussions on ITU regional presence (Document </w:t>
      </w:r>
      <w:hyperlink r:id="rId25" w:history="1">
        <w:r w:rsidRPr="204F2A03">
          <w:rPr>
            <w:rStyle w:val="Hyperlink"/>
          </w:rPr>
          <w:t>C26/24</w:t>
        </w:r>
      </w:hyperlink>
      <w:r w:rsidRPr="00D70C69">
        <w:t xml:space="preserve">), and previous Council discussions on criteria for the establishment of new ITU regional and area offices (Document </w:t>
      </w:r>
      <w:hyperlink r:id="rId26" w:history="1">
        <w:r w:rsidRPr="204F2A03">
          <w:rPr>
            <w:rStyle w:val="Hyperlink"/>
          </w:rPr>
          <w:t>C24/66</w:t>
        </w:r>
      </w:hyperlink>
      <w:r>
        <w:t>)</w:t>
      </w:r>
      <w:r w:rsidRPr="00D70C69">
        <w:t>, the ITU Regional Office for Asia and the Pacific conducted a Pacific Needs Assessment and Situation Analysis with the support of the Government of Australia.</w:t>
      </w:r>
    </w:p>
    <w:p w14:paraId="2FDD735B" w14:textId="6AE2E373" w:rsidR="009C2483" w:rsidRPr="00D70C69" w:rsidRDefault="009C2483" w:rsidP="00AF6EAE">
      <w:pPr>
        <w:jc w:val="both"/>
      </w:pPr>
      <w:r w:rsidRPr="00D70C69">
        <w:t xml:space="preserve">A summary of the Needs Assessment and Situation Analysis was presented to the 33rd session of the Telecommunication Development Advisory Group (TDAG) in April 2026 (TDAG Annex 1 to Document </w:t>
      </w:r>
      <w:hyperlink r:id="rId27" w:history="1">
        <w:r w:rsidRPr="00ED4EC0">
          <w:rPr>
            <w:rStyle w:val="Hyperlink"/>
          </w:rPr>
          <w:t>TDAG</w:t>
        </w:r>
        <w:r w:rsidR="00ED4EC0" w:rsidRPr="00ED4EC0">
          <w:rPr>
            <w:rStyle w:val="Hyperlink"/>
          </w:rPr>
          <w:t>-</w:t>
        </w:r>
        <w:r w:rsidRPr="00ED4EC0">
          <w:rPr>
            <w:rStyle w:val="Hyperlink"/>
          </w:rPr>
          <w:t>26/2(Add.1)</w:t>
        </w:r>
      </w:hyperlink>
      <w:r w:rsidRPr="00D70C69">
        <w:t>).</w:t>
      </w:r>
    </w:p>
    <w:p w14:paraId="0213C7A3" w14:textId="1D3CB42E" w:rsidR="00383AB1" w:rsidRDefault="02EE4026" w:rsidP="00AF6EAE">
      <w:pPr>
        <w:pStyle w:val="Headingi"/>
      </w:pPr>
      <w:r>
        <w:t>The 2024</w:t>
      </w:r>
      <w:r w:rsidR="79849622">
        <w:t>-2025</w:t>
      </w:r>
      <w:r>
        <w:t xml:space="preserve"> </w:t>
      </w:r>
      <w:r w:rsidR="0665FFA3">
        <w:t>n</w:t>
      </w:r>
      <w:r w:rsidR="0C665CBA">
        <w:t xml:space="preserve">eeds </w:t>
      </w:r>
      <w:r w:rsidR="037DC946">
        <w:t>assessment and situation analysis</w:t>
      </w:r>
    </w:p>
    <w:p w14:paraId="69869A17" w14:textId="06FD80A0" w:rsidR="00981459" w:rsidRDefault="00981459" w:rsidP="00981459">
      <w:pPr>
        <w:jc w:val="both"/>
      </w:pPr>
      <w:r w:rsidRPr="0019569A">
        <w:t xml:space="preserve">The ITU has been a longstanding partner to </w:t>
      </w:r>
      <w:r w:rsidR="001F2301">
        <w:t>P</w:t>
      </w:r>
      <w:r w:rsidR="00ED4EC0" w:rsidRPr="0019569A">
        <w:t xml:space="preserve">acific </w:t>
      </w:r>
      <w:r w:rsidR="001F2301" w:rsidRPr="0019569A">
        <w:t>Small Island Developing</w:t>
      </w:r>
      <w:r w:rsidRPr="0019569A">
        <w:t xml:space="preserve"> States (PSIDS),</w:t>
      </w:r>
      <w:r>
        <w:t xml:space="preserve"> </w:t>
      </w:r>
      <w:r w:rsidRPr="0019569A">
        <w:t xml:space="preserve">supporting their efforts to advance inclusive and sustainable digital transformation. Through its Regional Office for Asia and the Pacific, ITU provides technical assistance, policy and regulatory support, capacity development, cybersecurity expertise, spectrum management assistance, and support for emergency telecommunications and digital inclusion initiatives. ITU has also implemented practical connectivity projects, including the Smart Villages and Smart Islands Initiative, aimed at extending the benefits of digital technologies to remote and underserved communities. </w:t>
      </w:r>
    </w:p>
    <w:p w14:paraId="6BD2471C" w14:textId="6CA5FFD5" w:rsidR="00981459" w:rsidRDefault="00981459" w:rsidP="00981459">
      <w:pPr>
        <w:jc w:val="both"/>
      </w:pPr>
      <w:r w:rsidRPr="00A65ECA">
        <w:t xml:space="preserve">Recognizing the unique circumstances of Pacific countries, the ITU Regional Office for Asia and the Pacific initiated a Pacific Needs Assessment and Situation Analysis in 2024 as part of the project entitled "Feasibility Study: Addressing the Special Telecommunications/ICT Needs of Pacific Small Island Developing States (PSIDS)." The project was funded by the Australian Department of Infrastructure, Transport, Regional Development, Communications, Sport and the Arts (DITRDCSA) and undertaken </w:t>
      </w:r>
      <w:r>
        <w:t>based on the criteria to establish new ITU regional and area offices (Document</w:t>
      </w:r>
      <w:r w:rsidR="00AF6EAE">
        <w:t> </w:t>
      </w:r>
      <w:hyperlink r:id="rId28">
        <w:r w:rsidRPr="5C0064B9">
          <w:rPr>
            <w:rStyle w:val="Hyperlink"/>
          </w:rPr>
          <w:t>C24/66</w:t>
        </w:r>
      </w:hyperlink>
      <w:r>
        <w:t xml:space="preserve">) adopted by the 2024 </w:t>
      </w:r>
      <w:r w:rsidR="001F2301">
        <w:t xml:space="preserve">session of the </w:t>
      </w:r>
      <w:r>
        <w:t xml:space="preserve">ITU Council. </w:t>
      </w:r>
    </w:p>
    <w:p w14:paraId="7CFEE671" w14:textId="77777777" w:rsidR="00981459" w:rsidRPr="002A2B39" w:rsidRDefault="00981459" w:rsidP="00981459">
      <w:pPr>
        <w:jc w:val="both"/>
      </w:pPr>
      <w:r w:rsidRPr="002A2B39">
        <w:t>The study identified the specific and urgent telecommunications and ICT needs of PSIDS and proposed a set of programmatic priorities, taking into account factors such as geographic dispersion, small market size, and significant time-zone differences with Geneva and Bangkok. The findings were discussed with representatives of PSIDS during consultations held in Suva, Fiji, in February 2025. Following these consultations, several rounds of revisions were undertaken before the report was finalized.</w:t>
      </w:r>
    </w:p>
    <w:p w14:paraId="59DB8532" w14:textId="77777777" w:rsidR="00981459" w:rsidRPr="002A2B39" w:rsidRDefault="00981459" w:rsidP="001F2301">
      <w:pPr>
        <w:keepNext/>
        <w:keepLines/>
        <w:jc w:val="both"/>
      </w:pPr>
      <w:r w:rsidRPr="002A2B39">
        <w:lastRenderedPageBreak/>
        <w:t>The Needs Assessment and Situation Analysis found that PSIDS continue to face structural and contextual barriers to digital transformation. Significant infrastructure gaps, including low and uneven broadband penetration, reliance on single submarine cable connections, and limited rural connectivity, constrain the expansion of digital networks across the region. Affordability remains a major challenge, with internet costs in several countries exceeding internationally recognized affordability targets and consuming a disproportionate share of household income. In addition, fragmented regulatory environments and limited regional harmonization continue to impede private sector investment and regional cooperation.</w:t>
      </w:r>
    </w:p>
    <w:p w14:paraId="5591AAA7" w14:textId="5B2BB848" w:rsidR="00981459" w:rsidRPr="002A2B39" w:rsidRDefault="00981459" w:rsidP="00981459">
      <w:pPr>
        <w:jc w:val="both"/>
      </w:pPr>
      <w:r w:rsidRPr="002A2B39">
        <w:t xml:space="preserve">Despite these challenges, digital transformation is widely recognized across the Pacific as a critical enabler of sustainable development and inclusive growth. In this context, the need for a strengthened ITU regional presence has been consistently expressed by Pacific countries, including during the 2023 and 2026 Pacific ICT Ministerial </w:t>
      </w:r>
      <w:r w:rsidR="001F2301">
        <w:t>m</w:t>
      </w:r>
      <w:r w:rsidRPr="002A2B39">
        <w:t xml:space="preserve">eetings held in Papua New Guinea and through regional policy outcomes, most notably the 2023 </w:t>
      </w:r>
      <w:hyperlink r:id="rId29" w:history="1">
        <w:r w:rsidRPr="002A2B39">
          <w:rPr>
            <w:rStyle w:val="Hyperlink"/>
          </w:rPr>
          <w:t>Pacific ICT Ministers</w:t>
        </w:r>
        <w:r w:rsidR="001F2301">
          <w:rPr>
            <w:rStyle w:val="Hyperlink"/>
          </w:rPr>
          <w:t>’</w:t>
        </w:r>
        <w:r w:rsidRPr="002A2B39">
          <w:rPr>
            <w:rStyle w:val="Hyperlink"/>
          </w:rPr>
          <w:t xml:space="preserve"> Lagatoi Declaration</w:t>
        </w:r>
      </w:hyperlink>
      <w:r w:rsidRPr="002A2B39">
        <w:t>.</w:t>
      </w:r>
    </w:p>
    <w:p w14:paraId="504C9A30" w14:textId="4302E46F" w:rsidR="00981459" w:rsidRPr="002A2B39" w:rsidRDefault="2F70C2A5" w:rsidP="00981459">
      <w:pPr>
        <w:jc w:val="both"/>
      </w:pPr>
      <w:r>
        <w:t xml:space="preserve">The establishment of an ITU Area Office in the Pacific would provide more responsive, sustained and context-specific support to PSIDS, consistent with </w:t>
      </w:r>
      <w:hyperlink r:id="rId30" w:history="1">
        <w:r w:rsidRPr="01A7BABC">
          <w:rPr>
            <w:rStyle w:val="Hyperlink"/>
          </w:rPr>
          <w:t>WTDC Resolution 94 (Baku, 2025)</w:t>
        </w:r>
      </w:hyperlink>
      <w:r>
        <w:t xml:space="preserve"> and the Lagatoi Declaration</w:t>
      </w:r>
      <w:r w:rsidR="001F2301">
        <w:t>’</w:t>
      </w:r>
      <w:r>
        <w:t>s call for strengthened engagement and an increased institutional presence in the Pacific region.</w:t>
      </w:r>
    </w:p>
    <w:p w14:paraId="60153F38" w14:textId="0A6899BB" w:rsidR="00383AB1" w:rsidRDefault="50DAD82B" w:rsidP="00850A52">
      <w:pPr>
        <w:pStyle w:val="Headingi"/>
      </w:pPr>
      <w:bookmarkStart w:id="10" w:name="_Toc236855356"/>
      <w:r>
        <w:t xml:space="preserve">The 2026 </w:t>
      </w:r>
      <w:r w:rsidR="4ABF5508">
        <w:t>f</w:t>
      </w:r>
      <w:r w:rsidR="3F247B21">
        <w:t xml:space="preserve">easibility </w:t>
      </w:r>
      <w:bookmarkEnd w:id="10"/>
      <w:r w:rsidR="3018D200">
        <w:t>study</w:t>
      </w:r>
    </w:p>
    <w:p w14:paraId="2A86521E" w14:textId="77777777" w:rsidR="005A51B8" w:rsidRPr="00E93B0B" w:rsidRDefault="005A51B8" w:rsidP="005A51B8">
      <w:pPr>
        <w:jc w:val="both"/>
      </w:pPr>
      <w:r w:rsidRPr="00E93B0B">
        <w:t>Building on the findings of the Needs Assessment and Situation Analysis, ITU developed a Feasibility Study on enhancing its regional presence in the Pacific.</w:t>
      </w:r>
    </w:p>
    <w:p w14:paraId="7E092475" w14:textId="723A1F6E" w:rsidR="005A51B8" w:rsidRPr="00E93B0B" w:rsidRDefault="005A51B8" w:rsidP="005A51B8">
      <w:pPr>
        <w:jc w:val="both"/>
      </w:pPr>
      <w:r w:rsidRPr="00E93B0B">
        <w:t>The Feasibility Study</w:t>
      </w:r>
      <w:r w:rsidRPr="67C7819D">
        <w:rPr>
          <w:rStyle w:val="FootnoteReference"/>
        </w:rPr>
        <w:footnoteReference w:id="1"/>
      </w:r>
      <w:r w:rsidRPr="00E93B0B">
        <w:t xml:space="preserve"> was developed through a consultative and progressive process. Following completion of the Needs Assessment and Situation Analysis, ITU engaged Pacific Member States on possible approaches to strengthening its presence in the region. Consultations were conducted during the Digital Transformation Workshop for the Pacific held in Suva, Fiji, in February 2025, as well as through subsequent online and in-person meetings held on 17, 19, 23 and 24 February, 9</w:t>
      </w:r>
      <w:r w:rsidR="006A0B21">
        <w:t> </w:t>
      </w:r>
      <w:r w:rsidRPr="00E93B0B">
        <w:t xml:space="preserve">June, and 6 August 2026 alongside the </w:t>
      </w:r>
      <w:r>
        <w:t>19</w:t>
      </w:r>
      <w:r w:rsidRPr="007F75CA">
        <w:rPr>
          <w:vertAlign w:val="superscript"/>
        </w:rPr>
        <w:t>th</w:t>
      </w:r>
      <w:r>
        <w:t xml:space="preserve"> </w:t>
      </w:r>
      <w:r w:rsidRPr="00E93B0B">
        <w:t>APT Policy and Regulation Forum for the Pacific (PRFP).</w:t>
      </w:r>
    </w:p>
    <w:p w14:paraId="3FC89B5C" w14:textId="1EC3A143" w:rsidR="005A51B8" w:rsidRPr="00E93B0B" w:rsidRDefault="005A51B8" w:rsidP="005A51B8">
      <w:pPr>
        <w:jc w:val="both"/>
      </w:pPr>
      <w:r w:rsidRPr="00E93B0B">
        <w:t xml:space="preserve">During these consultations, </w:t>
      </w:r>
      <w:r w:rsidR="001F2301" w:rsidRPr="001F2301">
        <w:t>m</w:t>
      </w:r>
      <w:r w:rsidRPr="00E93B0B">
        <w:t>embers considered a range of options for strengthening ITU support arrangements and regional presence in the Pacific. Five broad options were identified:</w:t>
      </w:r>
    </w:p>
    <w:p w14:paraId="0DFCDFD5" w14:textId="46484208" w:rsidR="005A51B8" w:rsidRPr="00E93B0B" w:rsidRDefault="006A0B21" w:rsidP="006A0B21">
      <w:pPr>
        <w:pStyle w:val="enumlev1"/>
        <w:jc w:val="both"/>
      </w:pPr>
      <w:r w:rsidRPr="00E93B0B">
        <w:t>1</w:t>
      </w:r>
      <w:r w:rsidRPr="00E93B0B">
        <w:tab/>
        <w:t xml:space="preserve">establishment </w:t>
      </w:r>
      <w:r w:rsidR="005A51B8" w:rsidRPr="00E93B0B">
        <w:t>of an Area Office hosted by a single country;</w:t>
      </w:r>
    </w:p>
    <w:p w14:paraId="3923A5D4" w14:textId="41E2DA24" w:rsidR="005A51B8" w:rsidRPr="00E93B0B" w:rsidRDefault="006A0B21" w:rsidP="006A0B21">
      <w:pPr>
        <w:pStyle w:val="enumlev1"/>
        <w:jc w:val="both"/>
      </w:pPr>
      <w:r w:rsidRPr="00E93B0B">
        <w:t>2</w:t>
      </w:r>
      <w:r w:rsidRPr="00E93B0B">
        <w:tab/>
        <w:t xml:space="preserve">distribution </w:t>
      </w:r>
      <w:r w:rsidR="005A51B8" w:rsidRPr="00E93B0B">
        <w:t>of ITU personnel across several Pacific countries under a network model led by a Head of Area Office;</w:t>
      </w:r>
    </w:p>
    <w:p w14:paraId="279D7961" w14:textId="079CCB75" w:rsidR="005A51B8" w:rsidRPr="00E93B0B" w:rsidRDefault="006A0B21" w:rsidP="006A0B21">
      <w:pPr>
        <w:pStyle w:val="enumlev1"/>
        <w:jc w:val="both"/>
      </w:pPr>
      <w:r w:rsidRPr="00E93B0B">
        <w:t>3</w:t>
      </w:r>
      <w:r w:rsidRPr="00E93B0B">
        <w:tab/>
        <w:t xml:space="preserve">continuation </w:t>
      </w:r>
      <w:r w:rsidR="005A51B8" w:rsidRPr="00E93B0B">
        <w:t>or expansion of support from the Regional Office in Bangkok;</w:t>
      </w:r>
    </w:p>
    <w:p w14:paraId="5F463D07" w14:textId="3D4A4FA1" w:rsidR="005A51B8" w:rsidRPr="00E93B0B" w:rsidRDefault="006A0B21" w:rsidP="006A0B21">
      <w:pPr>
        <w:pStyle w:val="enumlev1"/>
        <w:jc w:val="both"/>
      </w:pPr>
      <w:r w:rsidRPr="00E93B0B">
        <w:t>4</w:t>
      </w:r>
      <w:r w:rsidRPr="00E93B0B">
        <w:tab/>
        <w:t xml:space="preserve">establishment </w:t>
      </w:r>
      <w:r w:rsidR="005A51B8" w:rsidRPr="00E93B0B">
        <w:t>of a rotational Area Office within the Pacific; and</w:t>
      </w:r>
    </w:p>
    <w:p w14:paraId="24A017A0" w14:textId="18F4D342" w:rsidR="005A51B8" w:rsidRPr="00E93B0B" w:rsidRDefault="006A0B21" w:rsidP="006A0B21">
      <w:pPr>
        <w:pStyle w:val="enumlev1"/>
        <w:jc w:val="both"/>
      </w:pPr>
      <w:r w:rsidRPr="00E93B0B">
        <w:t>5</w:t>
      </w:r>
      <w:r w:rsidRPr="00E93B0B">
        <w:tab/>
        <w:t xml:space="preserve">hosting </w:t>
      </w:r>
      <w:r w:rsidR="005A51B8" w:rsidRPr="00E93B0B">
        <w:t>of an ITU Area Office by a subregional organization, such as the Pacific Islands Forum Secretariat (PIFS) or the Pacific Community (SPC).</w:t>
      </w:r>
    </w:p>
    <w:p w14:paraId="2CB7260D" w14:textId="77777777" w:rsidR="005A51B8" w:rsidRPr="00E93B0B" w:rsidRDefault="005A51B8" w:rsidP="005A51B8">
      <w:pPr>
        <w:jc w:val="both"/>
      </w:pPr>
      <w:r w:rsidRPr="00E93B0B">
        <w:t>Following these consultations, two options were retained for detailed feasibility analysis:</w:t>
      </w:r>
    </w:p>
    <w:p w14:paraId="093B7ACC" w14:textId="550BD8C9" w:rsidR="005A51B8" w:rsidRPr="00E93B0B" w:rsidRDefault="006A0B21" w:rsidP="006A0B21">
      <w:pPr>
        <w:pStyle w:val="enumlev1"/>
      </w:pPr>
      <w:r>
        <w:t>•</w:t>
      </w:r>
      <w:r>
        <w:tab/>
      </w:r>
      <w:r w:rsidRPr="00E93B0B">
        <w:t xml:space="preserve">a </w:t>
      </w:r>
      <w:r w:rsidR="005A51B8" w:rsidRPr="00E93B0B">
        <w:t>single-country Area Office model; and</w:t>
      </w:r>
    </w:p>
    <w:p w14:paraId="49E28ED1" w14:textId="06C62074" w:rsidR="005A51B8" w:rsidRPr="00E93B0B" w:rsidRDefault="006A0B21" w:rsidP="006A0B21">
      <w:pPr>
        <w:pStyle w:val="enumlev1"/>
      </w:pPr>
      <w:r>
        <w:t>•</w:t>
      </w:r>
      <w:r>
        <w:tab/>
      </w:r>
      <w:r w:rsidRPr="00E93B0B">
        <w:t xml:space="preserve">a </w:t>
      </w:r>
      <w:r w:rsidR="005A51B8" w:rsidRPr="00E93B0B">
        <w:t>distributed ITU presence across several Pacific countries.</w:t>
      </w:r>
    </w:p>
    <w:p w14:paraId="138DD64C" w14:textId="116494B0" w:rsidR="005A51B8" w:rsidRPr="00E93B0B" w:rsidRDefault="005A51B8" w:rsidP="005A51B8">
      <w:pPr>
        <w:jc w:val="both"/>
      </w:pPr>
      <w:r w:rsidRPr="00E93B0B">
        <w:lastRenderedPageBreak/>
        <w:t xml:space="preserve">An assessment was subsequently conducted against the criteria adopted by ITU Council </w:t>
      </w:r>
      <w:r w:rsidR="001F2301">
        <w:t xml:space="preserve">2024 </w:t>
      </w:r>
      <w:r w:rsidRPr="00E93B0B">
        <w:t>for future regional presence, namely relevance, exclusivity, feasibility, security, proximity and accessibility. The assessment found that five countries, namely</w:t>
      </w:r>
      <w:r>
        <w:t xml:space="preserve"> Fiji, the Federated States of Micronesia (FSM), Papua New Guinea (PNG), Samoa and Tonga</w:t>
      </w:r>
      <w:r w:rsidRPr="00E93B0B">
        <w:t>, met the established criteria and were therefore identified as candidate locations for further consideration.</w:t>
      </w:r>
    </w:p>
    <w:p w14:paraId="4362EA71" w14:textId="77777777" w:rsidR="005A51B8" w:rsidRPr="007001E7" w:rsidRDefault="005A51B8" w:rsidP="007001E7">
      <w:pPr>
        <w:jc w:val="both"/>
      </w:pPr>
      <w:r w:rsidRPr="007001E7">
        <w:t>The Feasibility Study translated the two retained options into specific establishment models for comparative analysis. Under Option 1, a single Pacific country would host the ITU Area Office, with all staff co-located in the host country. For costing purposes, this model assumed a staffing structure comprising one P5, one P3 and one G5 position. Under Option 2, ITU personnel would be distributed across multiple Pacific countries, operating as a network under the leadership of the Head of Area Office.</w:t>
      </w:r>
    </w:p>
    <w:p w14:paraId="44C8B9CE" w14:textId="1C67F7A5" w:rsidR="005A51B8" w:rsidRPr="00031DBF" w:rsidRDefault="05B040B1" w:rsidP="005A51B8">
      <w:pPr>
        <w:jc w:val="both"/>
      </w:pPr>
      <w:r>
        <w:t xml:space="preserve">The </w:t>
      </w:r>
      <w:r w:rsidR="3C666D83">
        <w:t>S</w:t>
      </w:r>
      <w:r>
        <w:t xml:space="preserve">tudy further notes that, although hosting an ITU office through a subregional organization such as PIFS or SPC was not among the two options originally retained following consultations in Fiji in 2025, several </w:t>
      </w:r>
      <w:r w:rsidR="001F2301">
        <w:t>m</w:t>
      </w:r>
      <w:r>
        <w:t>embers subsequently requested that PIFS be assessed as a possible hosting option in light of its role as host of the secretariat supporting implementation of the Lagatoi Declaration.</w:t>
      </w:r>
    </w:p>
    <w:p w14:paraId="638CFBFC" w14:textId="77777777" w:rsidR="005A51B8" w:rsidRPr="00031DBF" w:rsidRDefault="005A51B8" w:rsidP="005A51B8">
      <w:pPr>
        <w:jc w:val="both"/>
      </w:pPr>
      <w:r w:rsidRPr="00031DBF">
        <w:t>The Feasibility Study therefore provides a structured basis for considering how ITU may enhance its presence in the Pacific in a manner that is aligned with its mandate, responsive to the needs of PSIDS, and informed by both qualitative and quantitative evidence.</w:t>
      </w:r>
    </w:p>
    <w:p w14:paraId="32ABDED2" w14:textId="0F001481" w:rsidR="005A51B8" w:rsidRPr="00031DBF" w:rsidRDefault="05B040B1" w:rsidP="005A51B8">
      <w:pPr>
        <w:jc w:val="both"/>
      </w:pPr>
      <w:r>
        <w:t xml:space="preserve">In developing the </w:t>
      </w:r>
      <w:r w:rsidR="270F5B5F">
        <w:t>S</w:t>
      </w:r>
      <w:r>
        <w:t>tudy, the secretariat also considered ongoing United Nations reform initiatives, including the UN80 Initiative, potential reconfiguration of United Nations country and multi-country teams, enhanced regional coordination of United Nations programmes, and the increased use of shared United Nations resources, as well as the findings of the ITU Regional Presence Review. The proposed Area Office would therefore be implemented in a manner that seeks to maximize operational efficiency, leverage existing partnerships and regional institutions, and avoid duplication while strengthening support to Pacific Member States.</w:t>
      </w:r>
    </w:p>
    <w:p w14:paraId="535FBD15" w14:textId="62AEDA08" w:rsidR="00551383" w:rsidRPr="00551383" w:rsidRDefault="26F42FD7" w:rsidP="00850A52">
      <w:pPr>
        <w:pStyle w:val="Headingi"/>
      </w:pPr>
      <w:r w:rsidRPr="6BB65139">
        <w:t xml:space="preserve">Detailed analysis of the </w:t>
      </w:r>
      <w:r w:rsidR="002473CD">
        <w:t>two</w:t>
      </w:r>
      <w:r w:rsidRPr="6BB65139">
        <w:t xml:space="preserve"> </w:t>
      </w:r>
      <w:r w:rsidR="002473CD" w:rsidRPr="6BB65139">
        <w:t>options</w:t>
      </w:r>
    </w:p>
    <w:p w14:paraId="1F255D0B" w14:textId="7EBAD612" w:rsidR="00551383" w:rsidRPr="00551383" w:rsidRDefault="549BC70A" w:rsidP="00850A52">
      <w:pPr>
        <w:jc w:val="both"/>
      </w:pPr>
      <w:r>
        <w:t>The retai</w:t>
      </w:r>
      <w:r w:rsidR="6A899016">
        <w:t>n</w:t>
      </w:r>
      <w:r>
        <w:t>ed options were further analysed with 3 models as illustrated below:</w:t>
      </w:r>
    </w:p>
    <w:p w14:paraId="044AB52E" w14:textId="44025059" w:rsidR="00551383" w:rsidRPr="00551383" w:rsidRDefault="549BC70A" w:rsidP="001F2301">
      <w:pPr>
        <w:pStyle w:val="Figure-with-legend"/>
        <w:spacing w:before="0"/>
      </w:pPr>
      <w:r>
        <w:drawing>
          <wp:inline distT="0" distB="0" distL="0" distR="0" wp14:anchorId="47D5752F" wp14:editId="7A676FB2">
            <wp:extent cx="6134100" cy="3200400"/>
            <wp:effectExtent l="0" t="0" r="0" b="0"/>
            <wp:docPr id="6254927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92736" name="Picture 625492736"/>
                    <pic:cNvPicPr/>
                  </pic:nvPicPr>
                  <pic:blipFill>
                    <a:blip r:embed="rId31">
                      <a:extLst>
                        <a:ext uri="{28A0092B-C50C-407E-A947-70E740481C1C}">
                          <a14:useLocalDpi xmlns:a14="http://schemas.microsoft.com/office/drawing/2010/main"/>
                        </a:ext>
                      </a:extLst>
                    </a:blip>
                    <a:stretch>
                      <a:fillRect/>
                    </a:stretch>
                  </pic:blipFill>
                  <pic:spPr>
                    <a:xfrm>
                      <a:off x="0" y="0"/>
                      <a:ext cx="6134100" cy="3200400"/>
                    </a:xfrm>
                    <a:prstGeom prst="rect">
                      <a:avLst/>
                    </a:prstGeom>
                  </pic:spPr>
                </pic:pic>
              </a:graphicData>
            </a:graphic>
          </wp:inline>
        </w:drawing>
      </w:r>
    </w:p>
    <w:p w14:paraId="3E90A779" w14:textId="29FEB1FA" w:rsidR="65075B75" w:rsidRPr="007001E7" w:rsidRDefault="65075B75" w:rsidP="007001E7">
      <w:pPr>
        <w:pStyle w:val="Figurelegend"/>
      </w:pPr>
      <w:r w:rsidRPr="007001E7">
        <w:t xml:space="preserve">Source: </w:t>
      </w:r>
      <w:r w:rsidR="3205E05C" w:rsidRPr="007001E7">
        <w:t>ITU Pacific</w:t>
      </w:r>
      <w:r w:rsidR="0F739BD9" w:rsidRPr="007001E7">
        <w:t xml:space="preserve"> Regional Presence</w:t>
      </w:r>
      <w:r w:rsidR="3205E05C" w:rsidRPr="007001E7">
        <w:t xml:space="preserve"> Feasibility Study</w:t>
      </w:r>
      <w:r w:rsidR="007001E7">
        <w:t>.</w:t>
      </w:r>
    </w:p>
    <w:p w14:paraId="28C505C7" w14:textId="3F017858" w:rsidR="00912097" w:rsidRPr="00B50C50" w:rsidRDefault="00912097" w:rsidP="00912097">
      <w:pPr>
        <w:spacing w:line="259" w:lineRule="auto"/>
        <w:jc w:val="both"/>
      </w:pPr>
      <w:r w:rsidRPr="00B50C50">
        <w:lastRenderedPageBreak/>
        <w:t xml:space="preserve">During the Pacific Islands Forum ICT Ministerial Meeting held in July 2026, Fiji and </w:t>
      </w:r>
      <w:r>
        <w:t xml:space="preserve">PNG </w:t>
      </w:r>
      <w:r w:rsidRPr="00B50C50">
        <w:t>expressed interest in hosting the proposed ITU Area Office. In subsequent consultations, and in the interest of building regional consensus, both countries expressed support for the option of hosting the office through PIFS.</w:t>
      </w:r>
      <w:r w:rsidR="003F2490" w:rsidRPr="003F2490">
        <w:t xml:space="preserve"> </w:t>
      </w:r>
      <w:r w:rsidR="003F2490">
        <w:t xml:space="preserve">Since then, </w:t>
      </w:r>
      <w:r w:rsidR="003F2490" w:rsidRPr="003F2490">
        <w:t>PIFS has progressed the proposal through the relevant Forum processes and is currently undertaking the final ministerial endorsement process for PIFS to host the ITU Pacific Area Office. Formal confirmation to ITU is expected upon completion of this process.</w:t>
      </w:r>
    </w:p>
    <w:p w14:paraId="297B7D0F" w14:textId="70687F1A" w:rsidR="00912097" w:rsidRDefault="00912097" w:rsidP="00912097">
      <w:pPr>
        <w:spacing w:line="259" w:lineRule="auto"/>
        <w:jc w:val="both"/>
      </w:pPr>
      <w:r w:rsidRPr="00B50C50">
        <w:t>Accordingly, for the purposes of the present Establishment Plan, further analysis focuses on Option</w:t>
      </w:r>
      <w:r w:rsidR="007001E7">
        <w:t> </w:t>
      </w:r>
      <w:r w:rsidRPr="00B50C50">
        <w:t>1c, namely the establishment of an ITU Area Office in Suva, Fiji, hosted by PIFS. The assessment of Fiji against the Council</w:t>
      </w:r>
      <w:r w:rsidR="001F2301">
        <w:t xml:space="preserve"> 2024</w:t>
      </w:r>
      <w:r w:rsidRPr="00B50C50">
        <w:t xml:space="preserve"> criteria for the establishment of future regional and area offices</w:t>
      </w:r>
      <w:r>
        <w:t xml:space="preserve"> (Document </w:t>
      </w:r>
      <w:hyperlink r:id="rId32" w:history="1">
        <w:r w:rsidRPr="1517A90A">
          <w:rPr>
            <w:rStyle w:val="Hyperlink"/>
          </w:rPr>
          <w:t>C24/66</w:t>
        </w:r>
      </w:hyperlink>
      <w:r>
        <w:t xml:space="preserve">) is attached as </w:t>
      </w:r>
      <w:hyperlink w:anchor="Annex1" w:history="1">
        <w:r w:rsidRPr="000737EB">
          <w:rPr>
            <w:rStyle w:val="Hyperlink"/>
          </w:rPr>
          <w:t>Annex 1</w:t>
        </w:r>
      </w:hyperlink>
      <w:r>
        <w:t>.</w:t>
      </w:r>
    </w:p>
    <w:p w14:paraId="16AD0371" w14:textId="21411223" w:rsidR="00551383" w:rsidRPr="00551383" w:rsidRDefault="74A5CD9F" w:rsidP="007001E7">
      <w:pPr>
        <w:pStyle w:val="Headingi"/>
        <w:rPr>
          <w:rFonts w:ascii="Times New Roman" w:hAnsi="Times New Roman"/>
          <w:i w:val="0"/>
          <w:color w:val="000000" w:themeColor="text1"/>
        </w:rPr>
      </w:pPr>
      <w:r>
        <w:t xml:space="preserve">Human resource </w:t>
      </w:r>
      <w:r w:rsidR="543525BA">
        <w:t>considerations</w:t>
      </w:r>
    </w:p>
    <w:p w14:paraId="0A5A8CD2" w14:textId="2B36A262" w:rsidR="00724811" w:rsidRPr="00256EC4" w:rsidRDefault="00724811" w:rsidP="00724811">
      <w:pPr>
        <w:jc w:val="both"/>
      </w:pPr>
      <w:r w:rsidRPr="00256EC4">
        <w:t xml:space="preserve">As requested by the Council, the secretariat examined the staffing structure and budgetary arrangements of the ITU Area Office for South Asia and Innovation Centre when preparing the Pacific Area Office Establishment Plan. The South Asia Area Office operates with a staffing complement of one P5, one P3 and one G5 position and is </w:t>
      </w:r>
      <w:r w:rsidR="00591624">
        <w:t xml:space="preserve">fully </w:t>
      </w:r>
      <w:r w:rsidRPr="00256EC4">
        <w:t>funded by the Government of India.</w:t>
      </w:r>
    </w:p>
    <w:p w14:paraId="4ED8F9AD" w14:textId="38C63CAC" w:rsidR="00724811" w:rsidRPr="00256EC4" w:rsidRDefault="0C08E05D" w:rsidP="00724811">
      <w:pPr>
        <w:jc w:val="both"/>
      </w:pPr>
      <w:r>
        <w:t xml:space="preserve">At present, support to Pacific countries is provided through a project funded by the Government of Australia, under which one P5, one G5 and two SSA experts are dedicated to the region. Beneficiary countries have widely recognized the value of these additional resources and their contribution to addressing specific Pacific priorities and tailoring ITU assistance to </w:t>
      </w:r>
      <w:r w:rsidR="3FD29857">
        <w:t>their</w:t>
      </w:r>
      <w:r>
        <w:t xml:space="preserve"> needs.</w:t>
      </w:r>
      <w:r w:rsidR="00B17528">
        <w:t xml:space="preserve"> Prior to the project</w:t>
      </w:r>
      <w:r w:rsidR="004F38F2">
        <w:t>,</w:t>
      </w:r>
      <w:r w:rsidR="00B17528">
        <w:t xml:space="preserve"> the Pacific countries were covered by 50% allocation of time </w:t>
      </w:r>
      <w:r w:rsidR="00055519">
        <w:t>of a P4 staff</w:t>
      </w:r>
      <w:r w:rsidR="00037B0D">
        <w:t xml:space="preserve"> at the Regional Office </w:t>
      </w:r>
      <w:r w:rsidR="00AF7C40">
        <w:t>in Bangkok</w:t>
      </w:r>
      <w:r w:rsidR="00055519">
        <w:t xml:space="preserve">. </w:t>
      </w:r>
      <w:r w:rsidR="00AF7C40">
        <w:t>However,</w:t>
      </w:r>
      <w:r w:rsidR="00055519">
        <w:t xml:space="preserve"> given the distance and</w:t>
      </w:r>
      <w:r w:rsidR="00037B0D">
        <w:t xml:space="preserve"> time zones</w:t>
      </w:r>
      <w:r w:rsidR="00AF7C40">
        <w:t xml:space="preserve">, this was perceived as inadequate and led to </w:t>
      </w:r>
      <w:r w:rsidR="004F38F2">
        <w:t xml:space="preserve">formulation of the above-mentioned project. </w:t>
      </w:r>
    </w:p>
    <w:p w14:paraId="74EF542F" w14:textId="77777777" w:rsidR="00724811" w:rsidRDefault="00724811" w:rsidP="00724811">
      <w:pPr>
        <w:jc w:val="both"/>
      </w:pPr>
      <w:r w:rsidRPr="00256EC4">
        <w:t xml:space="preserve">The establishment of an ITU Pacific Area Office would require dedicated staffing resources. For planning and costing purposes, the Feasibility Study assumes a staffing structure consisting of one </w:t>
      </w:r>
      <w:r w:rsidRPr="001F2301">
        <w:rPr>
          <w:spacing w:val="-2"/>
        </w:rPr>
        <w:t>P5 Head of Office, one P3 Professional Officer and one G5 Administrative Assistant. Under Option 1c,</w:t>
      </w:r>
      <w:r w:rsidRPr="00256EC4">
        <w:t xml:space="preserve"> all staff would be co-located within the host entity, facilitating integrated management and coordination.</w:t>
      </w:r>
    </w:p>
    <w:p w14:paraId="1C7D9653" w14:textId="77777777" w:rsidR="00724811" w:rsidRPr="00256EC4" w:rsidRDefault="00724811" w:rsidP="00724811">
      <w:pPr>
        <w:jc w:val="both"/>
      </w:pPr>
      <w:r w:rsidRPr="00256EC4">
        <w:t>Potential staffing arrangements could include direct recruitment by ITU, secondment arrangements from telecommunications regulators, government authorities, regional organizations and other relevant institutions, as well as the</w:t>
      </w:r>
      <w:r>
        <w:t xml:space="preserve"> detachment of </w:t>
      </w:r>
      <w:r w:rsidRPr="00256EC4">
        <w:t>experts and specialized personnel.</w:t>
      </w:r>
    </w:p>
    <w:p w14:paraId="214A85F0" w14:textId="5618C0F3" w:rsidR="00551383" w:rsidRPr="00551383" w:rsidRDefault="549BC70A" w:rsidP="00850A52">
      <w:pPr>
        <w:pStyle w:val="Headingi"/>
      </w:pPr>
      <w:r>
        <w:t xml:space="preserve">Legal </w:t>
      </w:r>
      <w:r w:rsidR="2BB54181">
        <w:t>considerations</w:t>
      </w:r>
    </w:p>
    <w:p w14:paraId="7622BCE6" w14:textId="77777777" w:rsidR="00786962" w:rsidRPr="00256EC4" w:rsidRDefault="00786962" w:rsidP="00786962">
      <w:pPr>
        <w:jc w:val="both"/>
      </w:pPr>
      <w:bookmarkStart w:id="11" w:name="_Toc236855360"/>
      <w:r w:rsidRPr="00256EC4">
        <w:t>The establishment of an ITU Area Office in Suva, Fiji, hosted by PIFS, would require the negotiation and conclusion of two separate legal instruments:</w:t>
      </w:r>
    </w:p>
    <w:p w14:paraId="2DB5B586" w14:textId="4B663AD7" w:rsidR="00786962" w:rsidRPr="00256EC4" w:rsidRDefault="006A0B21" w:rsidP="00B313D5">
      <w:pPr>
        <w:pStyle w:val="enumlev1"/>
        <w:jc w:val="both"/>
      </w:pPr>
      <w:r w:rsidRPr="00256EC4">
        <w:t>1.</w:t>
      </w:r>
      <w:r w:rsidRPr="00256EC4">
        <w:tab/>
      </w:r>
      <w:r w:rsidR="00786962">
        <w:t>a</w:t>
      </w:r>
      <w:r w:rsidR="00786962" w:rsidRPr="00256EC4">
        <w:t xml:space="preserve"> Host Country Agreement with the Government of Fiji covering, </w:t>
      </w:r>
      <w:r w:rsidR="00786962" w:rsidRPr="001F2301">
        <w:rPr>
          <w:i/>
          <w:iCs/>
        </w:rPr>
        <w:t>inter alia</w:t>
      </w:r>
      <w:r w:rsidR="00786962" w:rsidRPr="00256EC4">
        <w:t>, the privileges and immunities granted to the ITU Area Office and its officials, as well as facilities and support to be provided by the Government. In this regard, Fiji is a party to the Convention on the Privileges and Immunities of the Specialized Agencies of 21 November 1947.</w:t>
      </w:r>
    </w:p>
    <w:p w14:paraId="2F0193CC" w14:textId="3E5E86CD" w:rsidR="00786962" w:rsidRPr="00256EC4" w:rsidRDefault="006A0B21" w:rsidP="00B313D5">
      <w:pPr>
        <w:pStyle w:val="enumlev1"/>
        <w:jc w:val="both"/>
      </w:pPr>
      <w:r w:rsidRPr="00256EC4">
        <w:t>2.</w:t>
      </w:r>
      <w:r w:rsidRPr="00256EC4">
        <w:tab/>
      </w:r>
      <w:r w:rsidR="00786962">
        <w:t>a</w:t>
      </w:r>
      <w:r w:rsidR="00786962" w:rsidRPr="00256EC4">
        <w:t xml:space="preserve"> Hosting Agreement with PIFS setting out the operational and administrative arrangements governing the presence of the ITU Area Office within PIFS premises.</w:t>
      </w:r>
    </w:p>
    <w:p w14:paraId="53E0681C" w14:textId="0E841CF4" w:rsidR="00D8326D" w:rsidRDefault="3F758580" w:rsidP="006E653C">
      <w:pPr>
        <w:pStyle w:val="Headingi"/>
      </w:pPr>
      <w:r>
        <w:lastRenderedPageBreak/>
        <w:t xml:space="preserve">Financial </w:t>
      </w:r>
      <w:r w:rsidR="28B94761">
        <w:t>considerations</w:t>
      </w:r>
    </w:p>
    <w:p w14:paraId="19C04336" w14:textId="19BC24C7" w:rsidR="00795797" w:rsidRDefault="3F758580" w:rsidP="2A6C25F2">
      <w:pPr>
        <w:jc w:val="both"/>
        <w:rPr>
          <w:rFonts w:eastAsia="Calibri" w:cs="Calibri"/>
        </w:rPr>
      </w:pPr>
      <w:r>
        <w:t xml:space="preserve">The establishment of </w:t>
      </w:r>
      <w:r w:rsidR="4A5E99F8">
        <w:t>the</w:t>
      </w:r>
      <w:r>
        <w:t xml:space="preserve"> Pacific Area Office would entail both initial and recurring expenditures associated with personnel, office accommodation, operations, travel, information technology, </w:t>
      </w:r>
      <w:r w:rsidR="3543DE28">
        <w:t xml:space="preserve">security </w:t>
      </w:r>
      <w:r>
        <w:t xml:space="preserve">and administrative support. </w:t>
      </w:r>
      <w:r w:rsidR="032BDEC3">
        <w:t xml:space="preserve">Discussions are ongoing with PIFS/Fiji to cover the </w:t>
      </w:r>
      <w:r w:rsidR="1F8B24A9">
        <w:t>non-staff</w:t>
      </w:r>
      <w:r w:rsidR="032BDEC3">
        <w:t xml:space="preserve"> costs </w:t>
      </w:r>
      <w:r w:rsidR="1AF94D71">
        <w:t>that host countries normally cover</w:t>
      </w:r>
      <w:r w:rsidR="032BDEC3">
        <w:t xml:space="preserve">. </w:t>
      </w:r>
      <w:r w:rsidR="12A85DC5">
        <w:t xml:space="preserve">At this stage no source of funding has been identified to cover staff </w:t>
      </w:r>
      <w:r w:rsidR="39768AD8">
        <w:t xml:space="preserve">and other </w:t>
      </w:r>
      <w:r w:rsidR="00747200">
        <w:t>non-staff</w:t>
      </w:r>
      <w:r w:rsidR="39768AD8">
        <w:t xml:space="preserve"> </w:t>
      </w:r>
      <w:r w:rsidR="12A85DC5">
        <w:t xml:space="preserve">costs. </w:t>
      </w:r>
      <w:r w:rsidR="12A85DC5" w:rsidRPr="2A6C25F2">
        <w:rPr>
          <w:rFonts w:eastAsia="Calibri" w:cs="Calibri"/>
        </w:rPr>
        <w:t xml:space="preserve">Further consideration will therefore be required regarding the availability and sustainability of funding, including potential options for covering the staff-related costs. </w:t>
      </w:r>
    </w:p>
    <w:p w14:paraId="488EA124" w14:textId="7FDF411C" w:rsidR="00754729" w:rsidRPr="0081752E" w:rsidRDefault="00754729" w:rsidP="00754729">
      <w:pPr>
        <w:spacing w:line="259" w:lineRule="auto"/>
        <w:jc w:val="both"/>
      </w:pPr>
      <w:r w:rsidRPr="0081752E">
        <w:t xml:space="preserve">Hosting the office through </w:t>
      </w:r>
      <w:r>
        <w:t xml:space="preserve">PIFS </w:t>
      </w:r>
      <w:r w:rsidRPr="0081752E">
        <w:t>may provide opportunities for efficiencies through the sharing of facilities and support services, although the specific financial and administrative arrangements would be subject to further discussion and agreement between the parties.</w:t>
      </w:r>
    </w:p>
    <w:p w14:paraId="22C8B9D2" w14:textId="1E77E071" w:rsidR="00754729" w:rsidRPr="0081752E" w:rsidRDefault="4CA11AA2" w:rsidP="00754729">
      <w:pPr>
        <w:spacing w:line="259" w:lineRule="auto"/>
        <w:jc w:val="both"/>
      </w:pPr>
      <w:r>
        <w:t>In the course of consultations undertaken as part of preparation of this report, stakeholders recognized that consideration of the establishment of a Pacific Area Office would also require consideration of arrangements to support its operation on a sustainable basis. Various approaches were discussed, taking into account the need for predictable and adequate resources to support the Office's activities over time.</w:t>
      </w:r>
    </w:p>
    <w:p w14:paraId="098D7BAB" w14:textId="3A15ED97" w:rsidR="00754729" w:rsidRDefault="4CA11AA2" w:rsidP="00754729">
      <w:pPr>
        <w:spacing w:line="259" w:lineRule="auto"/>
        <w:jc w:val="both"/>
      </w:pPr>
      <w:r>
        <w:t xml:space="preserve">Among the options discussed were voluntary financial contributions from interested Member States and partners, </w:t>
      </w:r>
      <w:r w:rsidR="009A6E25">
        <w:t xml:space="preserve">and </w:t>
      </w:r>
      <w:r>
        <w:t>the provision of personnel through secondment arrangements from telecommunications regulators, government authorities and other relevant institutions</w:t>
      </w:r>
      <w:r w:rsidR="0021540E">
        <w:t>.</w:t>
      </w:r>
      <w:r>
        <w:t xml:space="preserve"> Discussions also noted the possibility for Member States to provide additional financial support through</w:t>
      </w:r>
      <w:r w:rsidR="00A0252E">
        <w:t xml:space="preserve"> </w:t>
      </w:r>
      <w:r w:rsidR="344C945E">
        <w:t xml:space="preserve">a direct contribution to the regular budget as is the case with </w:t>
      </w:r>
      <w:r w:rsidR="7AE5F470">
        <w:t>the South Asia Area Office</w:t>
      </w:r>
      <w:r>
        <w:t>.</w:t>
      </w:r>
      <w:r w:rsidR="7682A47F">
        <w:t xml:space="preserve"> No definite funding source has been identified.</w:t>
      </w:r>
    </w:p>
    <w:p w14:paraId="6140B983" w14:textId="76488FCC" w:rsidR="00754729" w:rsidRPr="0081752E" w:rsidRDefault="00754729" w:rsidP="00754729">
      <w:pPr>
        <w:spacing w:line="259" w:lineRule="auto"/>
        <w:jc w:val="both"/>
      </w:pPr>
      <w:r w:rsidRPr="0081752E">
        <w:t>The Feasibility Study identifies a range of possible implementation arrangements that could support the establishment and operation of an ITU Area Office in the Pacific. These options provide flexibility for Member States to determine the most appropriate approach, taking into account regional priorities, available resources and long-term sustainability considerations. Together, they offer potential pathways for establishing a strengthened and enduring ITU presence in the Pacific</w:t>
      </w:r>
      <w:r>
        <w:t xml:space="preserve">. </w:t>
      </w:r>
    </w:p>
    <w:p w14:paraId="323C266C" w14:textId="15FB61E5" w:rsidR="00756415" w:rsidRDefault="566A0EF0" w:rsidP="003D3C48">
      <w:pPr>
        <w:jc w:val="both"/>
      </w:pPr>
      <w:r>
        <w:t xml:space="preserve">A summary of the financial implications </w:t>
      </w:r>
      <w:r w:rsidR="4138E5D6">
        <w:t xml:space="preserve">for Year 1 </w:t>
      </w:r>
      <w:r>
        <w:t>is provided below</w:t>
      </w:r>
      <w:r w:rsidR="7EC52454">
        <w:t xml:space="preserve"> followed by the implications for the subsequent </w:t>
      </w:r>
      <w:r w:rsidR="6A61E0AD">
        <w:t>three years</w:t>
      </w:r>
      <w:r>
        <w:t xml:space="preserve">. </w:t>
      </w:r>
    </w:p>
    <w:p w14:paraId="5CC9831F" w14:textId="7DB1E965" w:rsidR="1BA68405" w:rsidRPr="00B313D5" w:rsidRDefault="1BA68405" w:rsidP="00B313D5">
      <w:pPr>
        <w:pStyle w:val="Tabletitle"/>
      </w:pPr>
      <w:r w:rsidRPr="00B313D5">
        <w:t>Year 1</w:t>
      </w:r>
    </w:p>
    <w:tbl>
      <w:tblPr>
        <w:tblStyle w:val="TableGrid"/>
        <w:tblW w:w="5000" w:type="pct"/>
        <w:jc w:val="center"/>
        <w:tblCellMar>
          <w:left w:w="57" w:type="dxa"/>
          <w:right w:w="57" w:type="dxa"/>
        </w:tblCellMar>
        <w:tblLook w:val="04A0" w:firstRow="1" w:lastRow="0" w:firstColumn="1" w:lastColumn="0" w:noHBand="0" w:noVBand="1"/>
      </w:tblPr>
      <w:tblGrid>
        <w:gridCol w:w="1352"/>
        <w:gridCol w:w="1163"/>
        <w:gridCol w:w="2021"/>
        <w:gridCol w:w="2212"/>
        <w:gridCol w:w="2887"/>
      </w:tblGrid>
      <w:tr w:rsidR="000B12B7" w14:paraId="2E157C7C" w14:textId="27EF290F" w:rsidTr="00B313D5">
        <w:trPr>
          <w:cantSplit/>
          <w:trHeight w:val="300"/>
          <w:jc w:val="center"/>
        </w:trPr>
        <w:tc>
          <w:tcPr>
            <w:tcW w:w="701" w:type="pct"/>
          </w:tcPr>
          <w:p w14:paraId="395492F0" w14:textId="36778043" w:rsidR="000B12B7" w:rsidRDefault="3A7983AF" w:rsidP="00721C21">
            <w:pPr>
              <w:pStyle w:val="Tablehead"/>
            </w:pPr>
            <w:r>
              <w:t xml:space="preserve">Hosting </w:t>
            </w:r>
            <w:r w:rsidR="00B313D5">
              <w:t>option</w:t>
            </w:r>
          </w:p>
        </w:tc>
        <w:tc>
          <w:tcPr>
            <w:tcW w:w="603" w:type="pct"/>
          </w:tcPr>
          <w:p w14:paraId="7C95C166" w14:textId="5782D9A6" w:rsidR="000B12B7" w:rsidRDefault="3A7983AF" w:rsidP="00721C21">
            <w:pPr>
              <w:pStyle w:val="Tablehead"/>
            </w:pPr>
            <w:r>
              <w:t xml:space="preserve">Staff </w:t>
            </w:r>
            <w:r w:rsidR="43277049">
              <w:t>No.</w:t>
            </w:r>
          </w:p>
        </w:tc>
        <w:tc>
          <w:tcPr>
            <w:tcW w:w="1049" w:type="pct"/>
          </w:tcPr>
          <w:p w14:paraId="18295972" w14:textId="39A35B4C" w:rsidR="000B12B7" w:rsidRDefault="6258F005" w:rsidP="00721C21">
            <w:pPr>
              <w:pStyle w:val="Tablehead"/>
            </w:pPr>
            <w:r>
              <w:t xml:space="preserve">Annual </w:t>
            </w:r>
            <w:r w:rsidR="00B313D5">
              <w:t xml:space="preserve">staff cost </w:t>
            </w:r>
            <w:r w:rsidR="00B313D5">
              <w:br/>
            </w:r>
            <w:r w:rsidR="3E6C0D4B">
              <w:t>(CHF)</w:t>
            </w:r>
          </w:p>
        </w:tc>
        <w:tc>
          <w:tcPr>
            <w:tcW w:w="1148" w:type="pct"/>
          </w:tcPr>
          <w:p w14:paraId="055939C4" w14:textId="4DF2DECE" w:rsidR="000B12B7" w:rsidRDefault="3E6C0D4B" w:rsidP="00721C21">
            <w:pPr>
              <w:pStyle w:val="Tablehead"/>
            </w:pPr>
            <w:r>
              <w:t xml:space="preserve">Year 1 </w:t>
            </w:r>
            <w:r w:rsidR="00B313D5">
              <w:t xml:space="preserve">non-staff cost </w:t>
            </w:r>
            <w:r w:rsidR="00B313D5">
              <w:br/>
            </w:r>
            <w:r>
              <w:t>(CHF)</w:t>
            </w:r>
          </w:p>
        </w:tc>
        <w:tc>
          <w:tcPr>
            <w:tcW w:w="1498" w:type="pct"/>
          </w:tcPr>
          <w:p w14:paraId="534C3837" w14:textId="5B341F88" w:rsidR="000B12B7" w:rsidRDefault="29C3F58F" w:rsidP="00721C21">
            <w:pPr>
              <w:pStyle w:val="Tablehead"/>
            </w:pPr>
            <w:r>
              <w:t xml:space="preserve">Year 1 </w:t>
            </w:r>
            <w:r w:rsidR="00B313D5">
              <w:t xml:space="preserve">total cost </w:t>
            </w:r>
            <w:r w:rsidR="00B313D5">
              <w:br/>
            </w:r>
            <w:r>
              <w:t>(</w:t>
            </w:r>
            <w:r w:rsidR="00B313D5">
              <w:t>staff cost + non-staff cost</w:t>
            </w:r>
            <w:r>
              <w:t xml:space="preserve">) </w:t>
            </w:r>
            <w:r w:rsidR="00B313D5">
              <w:br/>
            </w:r>
            <w:r>
              <w:t>(CHF)</w:t>
            </w:r>
          </w:p>
        </w:tc>
      </w:tr>
      <w:tr w:rsidR="000B12B7" w14:paraId="2A72E94B" w14:textId="25CE5E0C" w:rsidTr="00B313D5">
        <w:trPr>
          <w:cantSplit/>
          <w:trHeight w:val="300"/>
          <w:jc w:val="center"/>
        </w:trPr>
        <w:tc>
          <w:tcPr>
            <w:tcW w:w="701" w:type="pct"/>
          </w:tcPr>
          <w:p w14:paraId="05810227" w14:textId="36BF55C4" w:rsidR="000B12B7" w:rsidRDefault="6A19675F" w:rsidP="00721C21">
            <w:pPr>
              <w:pStyle w:val="Tabletext"/>
              <w:jc w:val="center"/>
            </w:pPr>
            <w:r>
              <w:t>1</w:t>
            </w:r>
            <w:r w:rsidR="31308DF6">
              <w:t>c</w:t>
            </w:r>
          </w:p>
        </w:tc>
        <w:tc>
          <w:tcPr>
            <w:tcW w:w="603" w:type="pct"/>
          </w:tcPr>
          <w:p w14:paraId="413C4605" w14:textId="1623535C" w:rsidR="000B12B7" w:rsidRDefault="000B12B7" w:rsidP="00721C21">
            <w:pPr>
              <w:pStyle w:val="Tabletext"/>
              <w:jc w:val="center"/>
            </w:pPr>
            <w:r>
              <w:t>3</w:t>
            </w:r>
          </w:p>
        </w:tc>
        <w:tc>
          <w:tcPr>
            <w:tcW w:w="1049" w:type="pct"/>
          </w:tcPr>
          <w:p w14:paraId="4056FBF8" w14:textId="6B8BDFF7" w:rsidR="000B12B7" w:rsidRDefault="3A7983AF" w:rsidP="00721C21">
            <w:pPr>
              <w:pStyle w:val="Tabletext"/>
              <w:jc w:val="right"/>
            </w:pPr>
            <w:r w:rsidRPr="5C0064B9">
              <w:t>381</w:t>
            </w:r>
            <w:r w:rsidR="44160CFE" w:rsidRPr="5C0064B9">
              <w:t> </w:t>
            </w:r>
            <w:r w:rsidR="1A133072" w:rsidRPr="5C0064B9">
              <w:t>07</w:t>
            </w:r>
            <w:r w:rsidR="14C4030D" w:rsidRPr="5C0064B9">
              <w:t>7</w:t>
            </w:r>
          </w:p>
        </w:tc>
        <w:tc>
          <w:tcPr>
            <w:tcW w:w="1148" w:type="pct"/>
          </w:tcPr>
          <w:p w14:paraId="640D1DE0" w14:textId="77117119" w:rsidR="000B12B7" w:rsidRDefault="2FCD5BFC" w:rsidP="00721C21">
            <w:pPr>
              <w:pStyle w:val="Tabletext"/>
              <w:jc w:val="right"/>
            </w:pPr>
            <w:r>
              <w:t>140 729</w:t>
            </w:r>
          </w:p>
        </w:tc>
        <w:tc>
          <w:tcPr>
            <w:tcW w:w="1498" w:type="pct"/>
          </w:tcPr>
          <w:p w14:paraId="42D2C240" w14:textId="5548308B" w:rsidR="000B12B7" w:rsidRDefault="3A7983AF" w:rsidP="00721C21">
            <w:pPr>
              <w:pStyle w:val="Tabletext"/>
              <w:jc w:val="right"/>
            </w:pPr>
            <w:r>
              <w:t xml:space="preserve"> </w:t>
            </w:r>
            <w:r w:rsidR="054A8F2B">
              <w:t>521 806</w:t>
            </w:r>
          </w:p>
        </w:tc>
      </w:tr>
    </w:tbl>
    <w:p w14:paraId="2D46867F" w14:textId="4DE531B6" w:rsidR="00756415" w:rsidRPr="001F4556" w:rsidRDefault="00756415" w:rsidP="00721C21">
      <w:pPr>
        <w:pStyle w:val="Tablefin"/>
      </w:pPr>
    </w:p>
    <w:p w14:paraId="56A22D66" w14:textId="336B57F4" w:rsidR="316DD865" w:rsidRDefault="316DD865" w:rsidP="00B313D5">
      <w:pPr>
        <w:pStyle w:val="Tabletitle"/>
      </w:pPr>
      <w:r>
        <w:t>Year 2</w:t>
      </w:r>
    </w:p>
    <w:tbl>
      <w:tblPr>
        <w:tblStyle w:val="TableGrid"/>
        <w:tblW w:w="5000" w:type="pct"/>
        <w:jc w:val="center"/>
        <w:tblLook w:val="04A0" w:firstRow="1" w:lastRow="0" w:firstColumn="1" w:lastColumn="0" w:noHBand="0" w:noVBand="1"/>
      </w:tblPr>
      <w:tblGrid>
        <w:gridCol w:w="1352"/>
        <w:gridCol w:w="1163"/>
        <w:gridCol w:w="2021"/>
        <w:gridCol w:w="2212"/>
        <w:gridCol w:w="2887"/>
      </w:tblGrid>
      <w:tr w:rsidR="5C0064B9" w14:paraId="2FA78C8F" w14:textId="77777777" w:rsidTr="00B313D5">
        <w:trPr>
          <w:trHeight w:val="300"/>
          <w:jc w:val="center"/>
        </w:trPr>
        <w:tc>
          <w:tcPr>
            <w:tcW w:w="701" w:type="pct"/>
          </w:tcPr>
          <w:p w14:paraId="01FC0CC7" w14:textId="2224A108" w:rsidR="5C0064B9" w:rsidRDefault="5C0064B9" w:rsidP="00721C21">
            <w:pPr>
              <w:pStyle w:val="Tablehead"/>
            </w:pPr>
            <w:r>
              <w:t xml:space="preserve">Hosting </w:t>
            </w:r>
            <w:r w:rsidR="00B313D5">
              <w:t>option</w:t>
            </w:r>
          </w:p>
        </w:tc>
        <w:tc>
          <w:tcPr>
            <w:tcW w:w="603" w:type="pct"/>
          </w:tcPr>
          <w:p w14:paraId="2EFA8F1F" w14:textId="78969AAF" w:rsidR="5C0064B9" w:rsidRDefault="5C0064B9" w:rsidP="00721C21">
            <w:pPr>
              <w:pStyle w:val="Tablehead"/>
            </w:pPr>
            <w:r>
              <w:t>Staff No.</w:t>
            </w:r>
          </w:p>
        </w:tc>
        <w:tc>
          <w:tcPr>
            <w:tcW w:w="1049" w:type="pct"/>
          </w:tcPr>
          <w:p w14:paraId="6960A321" w14:textId="0E14AD50" w:rsidR="5C0064B9" w:rsidRDefault="5C0064B9" w:rsidP="00721C21">
            <w:pPr>
              <w:pStyle w:val="Tablehead"/>
            </w:pPr>
            <w:r>
              <w:t xml:space="preserve">Annual </w:t>
            </w:r>
            <w:r w:rsidR="00B313D5">
              <w:t xml:space="preserve">staff cost </w:t>
            </w:r>
            <w:r>
              <w:t>(CHF)</w:t>
            </w:r>
          </w:p>
        </w:tc>
        <w:tc>
          <w:tcPr>
            <w:tcW w:w="1148" w:type="pct"/>
          </w:tcPr>
          <w:p w14:paraId="2FA9F712" w14:textId="1517D16F" w:rsidR="5C0064B9" w:rsidRDefault="5C0064B9" w:rsidP="00721C21">
            <w:pPr>
              <w:pStyle w:val="Tablehead"/>
            </w:pPr>
            <w:r>
              <w:t xml:space="preserve">Year </w:t>
            </w:r>
            <w:r w:rsidR="27C2A576">
              <w:t>2</w:t>
            </w:r>
            <w:r>
              <w:t xml:space="preserve"> </w:t>
            </w:r>
            <w:r w:rsidR="00B313D5">
              <w:t xml:space="preserve">non-staff cost </w:t>
            </w:r>
            <w:r w:rsidR="00B313D5">
              <w:br/>
            </w:r>
            <w:r>
              <w:t>(CHF)</w:t>
            </w:r>
          </w:p>
        </w:tc>
        <w:tc>
          <w:tcPr>
            <w:tcW w:w="1498" w:type="pct"/>
          </w:tcPr>
          <w:p w14:paraId="50F8687F" w14:textId="5F8C4B07" w:rsidR="5C0064B9" w:rsidRDefault="5C0064B9" w:rsidP="00721C21">
            <w:pPr>
              <w:pStyle w:val="Tablehead"/>
            </w:pPr>
            <w:r>
              <w:t xml:space="preserve">Year </w:t>
            </w:r>
            <w:r w:rsidR="004978CB">
              <w:t>2</w:t>
            </w:r>
            <w:r>
              <w:t xml:space="preserve"> </w:t>
            </w:r>
            <w:r w:rsidR="00B313D5">
              <w:t xml:space="preserve">total cost </w:t>
            </w:r>
            <w:r w:rsidR="00B313D5">
              <w:br/>
            </w:r>
            <w:r>
              <w:t>(</w:t>
            </w:r>
            <w:r w:rsidR="00B313D5">
              <w:t>staff cost + non-staff cost</w:t>
            </w:r>
            <w:r>
              <w:t xml:space="preserve">) </w:t>
            </w:r>
            <w:r w:rsidR="00B313D5">
              <w:br/>
            </w:r>
            <w:r>
              <w:t>(CHF)</w:t>
            </w:r>
          </w:p>
        </w:tc>
      </w:tr>
      <w:tr w:rsidR="5C0064B9" w14:paraId="5473882F" w14:textId="77777777" w:rsidTr="00B313D5">
        <w:trPr>
          <w:trHeight w:val="300"/>
          <w:jc w:val="center"/>
        </w:trPr>
        <w:tc>
          <w:tcPr>
            <w:tcW w:w="701" w:type="pct"/>
          </w:tcPr>
          <w:p w14:paraId="16E12667" w14:textId="6662EED7" w:rsidR="5C0064B9" w:rsidRDefault="5C0064B9" w:rsidP="00721C21">
            <w:pPr>
              <w:pStyle w:val="Tabletext"/>
              <w:jc w:val="center"/>
            </w:pPr>
            <w:r>
              <w:t>1c</w:t>
            </w:r>
          </w:p>
        </w:tc>
        <w:tc>
          <w:tcPr>
            <w:tcW w:w="603" w:type="pct"/>
          </w:tcPr>
          <w:p w14:paraId="5EFB347D" w14:textId="1623535C" w:rsidR="5C0064B9" w:rsidRDefault="5C0064B9" w:rsidP="00721C21">
            <w:pPr>
              <w:pStyle w:val="Tabletext"/>
              <w:jc w:val="center"/>
            </w:pPr>
            <w:r>
              <w:t>3</w:t>
            </w:r>
          </w:p>
        </w:tc>
        <w:tc>
          <w:tcPr>
            <w:tcW w:w="1049" w:type="pct"/>
          </w:tcPr>
          <w:p w14:paraId="2274D113" w14:textId="6B8BDFF7" w:rsidR="5C0064B9" w:rsidRDefault="5C0064B9" w:rsidP="00721C21">
            <w:pPr>
              <w:pStyle w:val="Tabletext"/>
              <w:jc w:val="right"/>
            </w:pPr>
            <w:r w:rsidRPr="5C0064B9">
              <w:t>381 077</w:t>
            </w:r>
          </w:p>
        </w:tc>
        <w:tc>
          <w:tcPr>
            <w:tcW w:w="1148" w:type="pct"/>
          </w:tcPr>
          <w:p w14:paraId="33CC091A" w14:textId="46123608" w:rsidR="07713774" w:rsidRDefault="07713774" w:rsidP="00721C21">
            <w:pPr>
              <w:pStyle w:val="Tabletext"/>
              <w:jc w:val="right"/>
            </w:pPr>
            <w:r>
              <w:t>55 000</w:t>
            </w:r>
          </w:p>
        </w:tc>
        <w:tc>
          <w:tcPr>
            <w:tcW w:w="1498" w:type="pct"/>
          </w:tcPr>
          <w:p w14:paraId="7D2ECB47" w14:textId="46A2852A" w:rsidR="5C0064B9" w:rsidRDefault="5C0064B9" w:rsidP="00721C21">
            <w:pPr>
              <w:pStyle w:val="Tabletext"/>
              <w:jc w:val="right"/>
            </w:pPr>
            <w:r>
              <w:t xml:space="preserve"> </w:t>
            </w:r>
            <w:r w:rsidR="288A9BDD">
              <w:t>436 077</w:t>
            </w:r>
          </w:p>
        </w:tc>
      </w:tr>
    </w:tbl>
    <w:p w14:paraId="4245CD07" w14:textId="4C0109AC" w:rsidR="5C0064B9" w:rsidRDefault="5C0064B9" w:rsidP="00721C21">
      <w:pPr>
        <w:pStyle w:val="Tablefin"/>
      </w:pPr>
    </w:p>
    <w:p w14:paraId="0EA0BC59" w14:textId="72FCA188" w:rsidR="288A9BDD" w:rsidRDefault="288A9BDD" w:rsidP="00B313D5">
      <w:pPr>
        <w:pStyle w:val="Tabletitle"/>
      </w:pPr>
      <w:r>
        <w:lastRenderedPageBreak/>
        <w:t>Year 3</w:t>
      </w:r>
    </w:p>
    <w:tbl>
      <w:tblPr>
        <w:tblStyle w:val="TableGrid"/>
        <w:tblW w:w="5000" w:type="pct"/>
        <w:jc w:val="center"/>
        <w:tblLook w:val="04A0" w:firstRow="1" w:lastRow="0" w:firstColumn="1" w:lastColumn="0" w:noHBand="0" w:noVBand="1"/>
      </w:tblPr>
      <w:tblGrid>
        <w:gridCol w:w="1352"/>
        <w:gridCol w:w="1163"/>
        <w:gridCol w:w="2021"/>
        <w:gridCol w:w="2212"/>
        <w:gridCol w:w="2887"/>
      </w:tblGrid>
      <w:tr w:rsidR="5C0064B9" w14:paraId="2E32CC6D" w14:textId="77777777" w:rsidTr="00B313D5">
        <w:trPr>
          <w:trHeight w:val="300"/>
          <w:jc w:val="center"/>
        </w:trPr>
        <w:tc>
          <w:tcPr>
            <w:tcW w:w="701" w:type="pct"/>
          </w:tcPr>
          <w:p w14:paraId="760C282E" w14:textId="6D5B4699" w:rsidR="5C0064B9" w:rsidRDefault="5C0064B9" w:rsidP="00721C21">
            <w:pPr>
              <w:pStyle w:val="Tablehead"/>
            </w:pPr>
            <w:r>
              <w:t xml:space="preserve">Hosting </w:t>
            </w:r>
            <w:r w:rsidR="00B313D5">
              <w:t>option</w:t>
            </w:r>
          </w:p>
        </w:tc>
        <w:tc>
          <w:tcPr>
            <w:tcW w:w="603" w:type="pct"/>
          </w:tcPr>
          <w:p w14:paraId="7CFF69EB" w14:textId="78969AAF" w:rsidR="5C0064B9" w:rsidRDefault="5C0064B9" w:rsidP="00721C21">
            <w:pPr>
              <w:pStyle w:val="Tablehead"/>
            </w:pPr>
            <w:r>
              <w:t>Staff No.</w:t>
            </w:r>
          </w:p>
        </w:tc>
        <w:tc>
          <w:tcPr>
            <w:tcW w:w="1049" w:type="pct"/>
          </w:tcPr>
          <w:p w14:paraId="1AEECE42" w14:textId="4D7E06CD" w:rsidR="5C0064B9" w:rsidRDefault="5C0064B9" w:rsidP="00721C21">
            <w:pPr>
              <w:pStyle w:val="Tablehead"/>
            </w:pPr>
            <w:r>
              <w:t xml:space="preserve">Annual </w:t>
            </w:r>
            <w:r w:rsidR="00B313D5">
              <w:t xml:space="preserve">staff cost </w:t>
            </w:r>
            <w:r>
              <w:t>(CHF)</w:t>
            </w:r>
          </w:p>
        </w:tc>
        <w:tc>
          <w:tcPr>
            <w:tcW w:w="1148" w:type="pct"/>
          </w:tcPr>
          <w:p w14:paraId="060EA33B" w14:textId="6FE52FFB" w:rsidR="5C0064B9" w:rsidRDefault="5C0064B9" w:rsidP="00721C21">
            <w:pPr>
              <w:pStyle w:val="Tablehead"/>
            </w:pPr>
            <w:r>
              <w:t xml:space="preserve">Year </w:t>
            </w:r>
            <w:r w:rsidR="00936732">
              <w:t>3</w:t>
            </w:r>
            <w:r>
              <w:t xml:space="preserve"> </w:t>
            </w:r>
            <w:r w:rsidR="00B313D5">
              <w:t xml:space="preserve">non-staff cost </w:t>
            </w:r>
            <w:r w:rsidR="00B313D5">
              <w:br/>
            </w:r>
            <w:r>
              <w:t>(CHF)</w:t>
            </w:r>
          </w:p>
        </w:tc>
        <w:tc>
          <w:tcPr>
            <w:tcW w:w="1498" w:type="pct"/>
          </w:tcPr>
          <w:p w14:paraId="79DB61C2" w14:textId="51311798" w:rsidR="5C0064B9" w:rsidRDefault="5C0064B9" w:rsidP="00721C21">
            <w:pPr>
              <w:pStyle w:val="Tablehead"/>
            </w:pPr>
            <w:r>
              <w:t xml:space="preserve">Year </w:t>
            </w:r>
            <w:r w:rsidR="004978CB">
              <w:t>3</w:t>
            </w:r>
            <w:r>
              <w:t xml:space="preserve"> </w:t>
            </w:r>
            <w:r w:rsidR="00B313D5">
              <w:t xml:space="preserve">total cost </w:t>
            </w:r>
            <w:r w:rsidR="00B313D5">
              <w:br/>
            </w:r>
            <w:r>
              <w:t>(</w:t>
            </w:r>
            <w:r w:rsidR="00B313D5">
              <w:t>staff cost + non-staff cost</w:t>
            </w:r>
            <w:r>
              <w:t xml:space="preserve">) </w:t>
            </w:r>
            <w:r w:rsidR="00B313D5">
              <w:br/>
            </w:r>
            <w:r>
              <w:t>(CHF)</w:t>
            </w:r>
          </w:p>
        </w:tc>
      </w:tr>
      <w:tr w:rsidR="5C0064B9" w14:paraId="29F44E82" w14:textId="77777777" w:rsidTr="00B313D5">
        <w:trPr>
          <w:trHeight w:val="300"/>
          <w:jc w:val="center"/>
        </w:trPr>
        <w:tc>
          <w:tcPr>
            <w:tcW w:w="701" w:type="pct"/>
          </w:tcPr>
          <w:p w14:paraId="4F4B8DDA" w14:textId="2C1CCDB5" w:rsidR="5C0064B9" w:rsidRDefault="5C0064B9" w:rsidP="00721C21">
            <w:pPr>
              <w:pStyle w:val="Tabletext"/>
              <w:jc w:val="center"/>
            </w:pPr>
            <w:r>
              <w:t>1c</w:t>
            </w:r>
          </w:p>
        </w:tc>
        <w:tc>
          <w:tcPr>
            <w:tcW w:w="603" w:type="pct"/>
          </w:tcPr>
          <w:p w14:paraId="16F96140" w14:textId="1623535C" w:rsidR="5C0064B9" w:rsidRDefault="5C0064B9" w:rsidP="00721C21">
            <w:pPr>
              <w:pStyle w:val="Tabletext"/>
              <w:jc w:val="center"/>
            </w:pPr>
            <w:r>
              <w:t>3</w:t>
            </w:r>
          </w:p>
        </w:tc>
        <w:tc>
          <w:tcPr>
            <w:tcW w:w="1049" w:type="pct"/>
          </w:tcPr>
          <w:p w14:paraId="3F749592" w14:textId="6B8BDFF7" w:rsidR="5C0064B9" w:rsidRDefault="5C0064B9" w:rsidP="00721C21">
            <w:pPr>
              <w:pStyle w:val="Tabletext"/>
              <w:jc w:val="right"/>
            </w:pPr>
            <w:r w:rsidRPr="5C0064B9">
              <w:t>381 077</w:t>
            </w:r>
          </w:p>
        </w:tc>
        <w:tc>
          <w:tcPr>
            <w:tcW w:w="1148" w:type="pct"/>
          </w:tcPr>
          <w:p w14:paraId="1FE4221A" w14:textId="2EE90AFA" w:rsidR="6A0BA4EB" w:rsidRDefault="6A0BA4EB" w:rsidP="00721C21">
            <w:pPr>
              <w:pStyle w:val="Tabletext"/>
              <w:jc w:val="right"/>
            </w:pPr>
            <w:r>
              <w:t>105</w:t>
            </w:r>
            <w:r w:rsidR="5C0064B9">
              <w:t xml:space="preserve"> 000</w:t>
            </w:r>
          </w:p>
        </w:tc>
        <w:tc>
          <w:tcPr>
            <w:tcW w:w="1498" w:type="pct"/>
          </w:tcPr>
          <w:p w14:paraId="5AEF9E51" w14:textId="1FFE82EE" w:rsidR="5C0064B9" w:rsidRDefault="5C0064B9" w:rsidP="00721C21">
            <w:pPr>
              <w:pStyle w:val="Tabletext"/>
              <w:jc w:val="right"/>
            </w:pPr>
            <w:r>
              <w:t xml:space="preserve"> </w:t>
            </w:r>
            <w:r w:rsidR="0B28E2AF">
              <w:t>486 077</w:t>
            </w:r>
          </w:p>
        </w:tc>
      </w:tr>
    </w:tbl>
    <w:p w14:paraId="311886D4" w14:textId="23E05E25" w:rsidR="5C0064B9" w:rsidRDefault="5C0064B9" w:rsidP="00721C21">
      <w:pPr>
        <w:pStyle w:val="Tablefin"/>
      </w:pPr>
    </w:p>
    <w:p w14:paraId="6DFF9DCD" w14:textId="753336F3" w:rsidR="0B28E2AF" w:rsidRDefault="0B28E2AF" w:rsidP="00B313D5">
      <w:pPr>
        <w:pStyle w:val="Tabletitle"/>
      </w:pPr>
      <w:r>
        <w:t>Year 4</w:t>
      </w:r>
    </w:p>
    <w:tbl>
      <w:tblPr>
        <w:tblStyle w:val="TableGrid"/>
        <w:tblW w:w="5000" w:type="pct"/>
        <w:jc w:val="center"/>
        <w:tblLook w:val="04A0" w:firstRow="1" w:lastRow="0" w:firstColumn="1" w:lastColumn="0" w:noHBand="0" w:noVBand="1"/>
      </w:tblPr>
      <w:tblGrid>
        <w:gridCol w:w="1352"/>
        <w:gridCol w:w="1163"/>
        <w:gridCol w:w="2021"/>
        <w:gridCol w:w="2212"/>
        <w:gridCol w:w="2887"/>
      </w:tblGrid>
      <w:tr w:rsidR="5C0064B9" w14:paraId="717CA88E" w14:textId="77777777" w:rsidTr="00B313D5">
        <w:trPr>
          <w:trHeight w:val="300"/>
          <w:jc w:val="center"/>
        </w:trPr>
        <w:tc>
          <w:tcPr>
            <w:tcW w:w="701" w:type="pct"/>
          </w:tcPr>
          <w:p w14:paraId="1BCC7BA2" w14:textId="230F37CD" w:rsidR="5C0064B9" w:rsidRDefault="5C0064B9" w:rsidP="00721C21">
            <w:pPr>
              <w:pStyle w:val="Tablehead"/>
            </w:pPr>
            <w:r>
              <w:t xml:space="preserve">Hosting </w:t>
            </w:r>
            <w:r w:rsidR="00B313D5">
              <w:t>option</w:t>
            </w:r>
          </w:p>
        </w:tc>
        <w:tc>
          <w:tcPr>
            <w:tcW w:w="603" w:type="pct"/>
          </w:tcPr>
          <w:p w14:paraId="5106E2E7" w14:textId="78969AAF" w:rsidR="5C0064B9" w:rsidRDefault="5C0064B9" w:rsidP="00721C21">
            <w:pPr>
              <w:pStyle w:val="Tablehead"/>
            </w:pPr>
            <w:r>
              <w:t>Staff No.</w:t>
            </w:r>
          </w:p>
        </w:tc>
        <w:tc>
          <w:tcPr>
            <w:tcW w:w="1049" w:type="pct"/>
          </w:tcPr>
          <w:p w14:paraId="73FF6DC2" w14:textId="5E88B794" w:rsidR="5C0064B9" w:rsidRDefault="5C0064B9" w:rsidP="00721C21">
            <w:pPr>
              <w:pStyle w:val="Tablehead"/>
            </w:pPr>
            <w:r>
              <w:t xml:space="preserve">Annual </w:t>
            </w:r>
            <w:r w:rsidR="00B313D5">
              <w:t xml:space="preserve">staff cost </w:t>
            </w:r>
            <w:r>
              <w:t>(CHF)</w:t>
            </w:r>
          </w:p>
        </w:tc>
        <w:tc>
          <w:tcPr>
            <w:tcW w:w="1148" w:type="pct"/>
          </w:tcPr>
          <w:p w14:paraId="086F5D44" w14:textId="2F1FD9C4" w:rsidR="5C0064B9" w:rsidRDefault="5C0064B9" w:rsidP="00721C21">
            <w:pPr>
              <w:pStyle w:val="Tablehead"/>
            </w:pPr>
            <w:r>
              <w:t xml:space="preserve">Year </w:t>
            </w:r>
            <w:r w:rsidR="00936732">
              <w:t>4</w:t>
            </w:r>
            <w:r>
              <w:t xml:space="preserve"> </w:t>
            </w:r>
            <w:r w:rsidR="00B313D5">
              <w:t xml:space="preserve">non-staff cost </w:t>
            </w:r>
            <w:r w:rsidR="00B313D5">
              <w:br/>
            </w:r>
            <w:r>
              <w:t>(CHF)</w:t>
            </w:r>
          </w:p>
        </w:tc>
        <w:tc>
          <w:tcPr>
            <w:tcW w:w="1498" w:type="pct"/>
          </w:tcPr>
          <w:p w14:paraId="5E4A781C" w14:textId="1E450C44" w:rsidR="5C0064B9" w:rsidRDefault="5C0064B9" w:rsidP="00721C21">
            <w:pPr>
              <w:pStyle w:val="Tablehead"/>
            </w:pPr>
            <w:r>
              <w:t xml:space="preserve">Year </w:t>
            </w:r>
            <w:r w:rsidR="00936732">
              <w:t>4</w:t>
            </w:r>
            <w:r>
              <w:t xml:space="preserve"> Total Cost </w:t>
            </w:r>
            <w:r w:rsidR="00B313D5">
              <w:br/>
            </w:r>
            <w:r>
              <w:t xml:space="preserve">(Staff Cost + Non-Staff Cost) </w:t>
            </w:r>
            <w:r w:rsidR="00B313D5">
              <w:br/>
            </w:r>
            <w:r>
              <w:t>(CHF)</w:t>
            </w:r>
          </w:p>
        </w:tc>
      </w:tr>
      <w:tr w:rsidR="5C0064B9" w14:paraId="3940D265" w14:textId="77777777" w:rsidTr="00B313D5">
        <w:trPr>
          <w:trHeight w:val="300"/>
          <w:jc w:val="center"/>
        </w:trPr>
        <w:tc>
          <w:tcPr>
            <w:tcW w:w="701" w:type="pct"/>
          </w:tcPr>
          <w:p w14:paraId="5BBFC761" w14:textId="3C95B0EE" w:rsidR="5C0064B9" w:rsidRDefault="5C0064B9" w:rsidP="00FE6C01">
            <w:pPr>
              <w:pStyle w:val="Tabletext"/>
              <w:jc w:val="center"/>
            </w:pPr>
            <w:r>
              <w:t>1c</w:t>
            </w:r>
          </w:p>
        </w:tc>
        <w:tc>
          <w:tcPr>
            <w:tcW w:w="603" w:type="pct"/>
          </w:tcPr>
          <w:p w14:paraId="0037E938" w14:textId="1623535C" w:rsidR="5C0064B9" w:rsidRDefault="5C0064B9" w:rsidP="00FE6C01">
            <w:pPr>
              <w:pStyle w:val="Tabletext"/>
              <w:jc w:val="center"/>
            </w:pPr>
            <w:r>
              <w:t>3</w:t>
            </w:r>
          </w:p>
        </w:tc>
        <w:tc>
          <w:tcPr>
            <w:tcW w:w="1049" w:type="pct"/>
          </w:tcPr>
          <w:p w14:paraId="285B0BBC" w14:textId="6B8BDFF7" w:rsidR="5C0064B9" w:rsidRDefault="5C0064B9" w:rsidP="00FE6C01">
            <w:pPr>
              <w:pStyle w:val="Tabletext"/>
              <w:jc w:val="right"/>
            </w:pPr>
            <w:r w:rsidRPr="5C0064B9">
              <w:t>381 077</w:t>
            </w:r>
          </w:p>
        </w:tc>
        <w:tc>
          <w:tcPr>
            <w:tcW w:w="1148" w:type="pct"/>
          </w:tcPr>
          <w:p w14:paraId="535EF040" w14:textId="5A7D8E2B" w:rsidR="0631EE0D" w:rsidRDefault="0631EE0D" w:rsidP="00FE6C01">
            <w:pPr>
              <w:pStyle w:val="Tabletext"/>
              <w:jc w:val="right"/>
            </w:pPr>
            <w:r>
              <w:t>65 583</w:t>
            </w:r>
          </w:p>
        </w:tc>
        <w:tc>
          <w:tcPr>
            <w:tcW w:w="1498" w:type="pct"/>
          </w:tcPr>
          <w:p w14:paraId="48D4171F" w14:textId="48E2B40E" w:rsidR="5C0064B9" w:rsidRDefault="5C0064B9" w:rsidP="00FE6C01">
            <w:pPr>
              <w:pStyle w:val="Tabletext"/>
              <w:jc w:val="right"/>
            </w:pPr>
            <w:r>
              <w:t xml:space="preserve"> </w:t>
            </w:r>
            <w:r w:rsidR="20C0AA39">
              <w:t>446 660</w:t>
            </w:r>
          </w:p>
        </w:tc>
      </w:tr>
    </w:tbl>
    <w:p w14:paraId="7EADD106" w14:textId="46A3F278" w:rsidR="5C0064B9" w:rsidRDefault="5C0064B9" w:rsidP="00721C21">
      <w:pPr>
        <w:pStyle w:val="Tablefin"/>
      </w:pPr>
    </w:p>
    <w:p w14:paraId="0763F8C9" w14:textId="15C32034" w:rsidR="20C0AA39" w:rsidRDefault="20C0AA39" w:rsidP="5C0064B9">
      <w:pPr>
        <w:jc w:val="both"/>
        <w:rPr>
          <w:rFonts w:eastAsia="Calibri" w:cs="Calibri"/>
          <w:szCs w:val="24"/>
        </w:rPr>
      </w:pPr>
      <w:r>
        <w:t>The total financial implications for 4 years are estimated to be CHF</w:t>
      </w:r>
      <w:r w:rsidR="00ED4228">
        <w:t> </w:t>
      </w:r>
      <w:r w:rsidR="47F66822">
        <w:t>1</w:t>
      </w:r>
      <w:r w:rsidR="00ED4228">
        <w:t> </w:t>
      </w:r>
      <w:r w:rsidR="3E4FF0D3">
        <w:t>890</w:t>
      </w:r>
      <w:r w:rsidR="00ED4228">
        <w:t> </w:t>
      </w:r>
      <w:r w:rsidR="3E4FF0D3">
        <w:t>620</w:t>
      </w:r>
      <w:r w:rsidR="47F66822">
        <w:t>.</w:t>
      </w:r>
    </w:p>
    <w:p w14:paraId="3FFBC7D9" w14:textId="09F78A1C" w:rsidR="00212B3F" w:rsidRDefault="159B57B6" w:rsidP="003D3C48">
      <w:pPr>
        <w:jc w:val="both"/>
      </w:pPr>
      <w:r>
        <w:t xml:space="preserve">The </w:t>
      </w:r>
      <w:r w:rsidR="2ED2A843">
        <w:t xml:space="preserve">details of the financial calculations are found in </w:t>
      </w:r>
      <w:hyperlink w:anchor="Annex2" w:history="1">
        <w:r w:rsidR="2ED2A843" w:rsidRPr="000737EB">
          <w:rPr>
            <w:rStyle w:val="Hyperlink"/>
          </w:rPr>
          <w:t>Annex</w:t>
        </w:r>
        <w:r w:rsidR="40862922" w:rsidRPr="000737EB">
          <w:rPr>
            <w:rStyle w:val="Hyperlink"/>
          </w:rPr>
          <w:t xml:space="preserve"> 2</w:t>
        </w:r>
      </w:hyperlink>
      <w:r w:rsidR="40862922">
        <w:t xml:space="preserve"> and </w:t>
      </w:r>
      <w:hyperlink w:anchor="Annex3" w:history="1">
        <w:r w:rsidR="40862922" w:rsidRPr="000737EB">
          <w:rPr>
            <w:rStyle w:val="Hyperlink"/>
          </w:rPr>
          <w:t>Annex 3</w:t>
        </w:r>
      </w:hyperlink>
      <w:r w:rsidR="2ED2A843">
        <w:t>.</w:t>
      </w:r>
    </w:p>
    <w:p w14:paraId="79D25A81" w14:textId="040E8B8E" w:rsidR="00D2425E" w:rsidRDefault="00D2425E" w:rsidP="00D2425E">
      <w:pPr>
        <w:jc w:val="both"/>
      </w:pPr>
      <w:r w:rsidRPr="0081752E">
        <w:t>The Plenipotentiary Conference is invited to consider this report and provide appropriate guidance on the establishment of an ITU Area Office in the Pacific</w:t>
      </w:r>
      <w:r>
        <w:t>.</w:t>
      </w:r>
    </w:p>
    <w:p w14:paraId="2A920E79" w14:textId="439DBD5E" w:rsidR="00CB409A" w:rsidRPr="00ED4228" w:rsidRDefault="00CB409A" w:rsidP="00CB409A">
      <w:pPr>
        <w:pStyle w:val="Normalaftertitle"/>
        <w:spacing w:before="2400"/>
        <w:rPr>
          <w:i/>
          <w:iCs/>
        </w:rPr>
      </w:pPr>
      <w:r w:rsidRPr="00ED4228">
        <w:rPr>
          <w:b/>
          <w:bCs/>
          <w:i/>
          <w:iCs/>
        </w:rPr>
        <w:t xml:space="preserve">Annexes: </w:t>
      </w:r>
      <w:r w:rsidR="53F2354A" w:rsidRPr="00ED4228">
        <w:rPr>
          <w:i/>
          <w:iCs/>
        </w:rPr>
        <w:t>3</w:t>
      </w:r>
    </w:p>
    <w:p w14:paraId="0AFA02DE" w14:textId="3367FC34" w:rsidR="003D3C48" w:rsidRDefault="003D3C48" w:rsidP="73E8BDA7">
      <w:pPr>
        <w:overflowPunct/>
        <w:autoSpaceDE/>
        <w:autoSpaceDN/>
        <w:adjustRightInd/>
        <w:spacing w:before="2160"/>
        <w:jc w:val="both"/>
        <w:textAlignment w:val="auto"/>
        <w:rPr>
          <w:b/>
          <w:bCs/>
          <w:i/>
          <w:iCs/>
        </w:rPr>
      </w:pPr>
      <w:r>
        <w:rPr>
          <w:b/>
          <w:bCs/>
          <w:i/>
          <w:iCs/>
        </w:rPr>
        <w:br w:type="page"/>
      </w:r>
    </w:p>
    <w:p w14:paraId="3D7CCDD3" w14:textId="2F1F84D7" w:rsidR="003D3C48" w:rsidRDefault="003D3C48" w:rsidP="00721C21">
      <w:pPr>
        <w:pStyle w:val="AnnexNo"/>
      </w:pPr>
      <w:bookmarkStart w:id="12" w:name="Annex1"/>
      <w:bookmarkEnd w:id="12"/>
      <w:r>
        <w:lastRenderedPageBreak/>
        <w:t>Annex 1</w:t>
      </w:r>
    </w:p>
    <w:p w14:paraId="71E46473" w14:textId="64A5096E" w:rsidR="12AA7F7A" w:rsidRDefault="12AA7F7A" w:rsidP="00721C21">
      <w:pPr>
        <w:pStyle w:val="Annextitle"/>
        <w:rPr>
          <w:rFonts w:eastAsiaTheme="minorEastAsia"/>
          <w:lang w:val="en-US"/>
        </w:rPr>
      </w:pPr>
      <w:r w:rsidRPr="16ECCF27">
        <w:rPr>
          <w:rFonts w:eastAsiaTheme="minorEastAsia"/>
          <w:lang w:val="en-US"/>
        </w:rPr>
        <w:t>Fiji assessment summary</w:t>
      </w:r>
    </w:p>
    <w:tbl>
      <w:tblPr>
        <w:tblStyle w:val="TableGrid"/>
        <w:tblW w:w="0" w:type="auto"/>
        <w:tblLook w:val="04A0" w:firstRow="1" w:lastRow="0" w:firstColumn="1" w:lastColumn="0" w:noHBand="0" w:noVBand="1"/>
      </w:tblPr>
      <w:tblGrid>
        <w:gridCol w:w="1965"/>
        <w:gridCol w:w="7670"/>
      </w:tblGrid>
      <w:tr w:rsidR="16ECCF27" w14:paraId="78A5FA03" w14:textId="77777777" w:rsidTr="00721C21">
        <w:trPr>
          <w:trHeight w:val="300"/>
        </w:trPr>
        <w:tc>
          <w:tcPr>
            <w:tcW w:w="1980" w:type="dxa"/>
          </w:tcPr>
          <w:p w14:paraId="639387C7" w14:textId="44524AC7" w:rsidR="16ECCF27" w:rsidRDefault="16ECCF27" w:rsidP="00721C21">
            <w:pPr>
              <w:pStyle w:val="Tablehead"/>
            </w:pPr>
            <w:r w:rsidRPr="16ECCF27">
              <w:t>Criterion</w:t>
            </w:r>
          </w:p>
        </w:tc>
        <w:tc>
          <w:tcPr>
            <w:tcW w:w="7770" w:type="dxa"/>
          </w:tcPr>
          <w:p w14:paraId="7C61D7EF" w14:textId="68968947" w:rsidR="16ECCF27" w:rsidRDefault="16ECCF27" w:rsidP="00721C21">
            <w:pPr>
              <w:pStyle w:val="Tablehead"/>
            </w:pPr>
            <w:r w:rsidRPr="16ECCF27">
              <w:t>Assessment</w:t>
            </w:r>
          </w:p>
        </w:tc>
      </w:tr>
      <w:tr w:rsidR="16ECCF27" w14:paraId="6D18D2D6" w14:textId="77777777" w:rsidTr="00721C21">
        <w:trPr>
          <w:trHeight w:val="300"/>
        </w:trPr>
        <w:tc>
          <w:tcPr>
            <w:tcW w:w="1980" w:type="dxa"/>
          </w:tcPr>
          <w:p w14:paraId="3C2D03F2" w14:textId="278A2CC5" w:rsidR="16ECCF27" w:rsidRDefault="16ECCF27" w:rsidP="00721C21">
            <w:pPr>
              <w:pStyle w:val="Tabletext"/>
            </w:pPr>
            <w:r w:rsidRPr="16ECCF27">
              <w:t>Relevance</w:t>
            </w:r>
          </w:p>
        </w:tc>
        <w:tc>
          <w:tcPr>
            <w:tcW w:w="7770" w:type="dxa"/>
          </w:tcPr>
          <w:p w14:paraId="17F798C9" w14:textId="0D2903D5" w:rsidR="16ECCF27" w:rsidRDefault="16ECCF27" w:rsidP="00721C21">
            <w:pPr>
              <w:pStyle w:val="Tabletext"/>
            </w:pPr>
            <w:r w:rsidRPr="16ECCF27">
              <w:t xml:space="preserve">Most </w:t>
            </w:r>
            <w:r w:rsidRPr="00721C21">
              <w:t>developed</w:t>
            </w:r>
            <w:r w:rsidRPr="16ECCF27">
              <w:t xml:space="preserve"> ICT sector in the Pacific with capacity to support regional ICT needs and ITU initiatives.</w:t>
            </w:r>
          </w:p>
        </w:tc>
      </w:tr>
      <w:tr w:rsidR="16ECCF27" w14:paraId="72F450F5" w14:textId="77777777" w:rsidTr="00721C21">
        <w:trPr>
          <w:trHeight w:val="300"/>
        </w:trPr>
        <w:tc>
          <w:tcPr>
            <w:tcW w:w="1980" w:type="dxa"/>
          </w:tcPr>
          <w:p w14:paraId="458ACEB4" w14:textId="4BE72D17" w:rsidR="16ECCF27" w:rsidRDefault="16ECCF27" w:rsidP="00721C21">
            <w:pPr>
              <w:pStyle w:val="Tabletext"/>
            </w:pPr>
            <w:r w:rsidRPr="16ECCF27">
              <w:t>Exclusivity</w:t>
            </w:r>
          </w:p>
        </w:tc>
        <w:tc>
          <w:tcPr>
            <w:tcW w:w="7770" w:type="dxa"/>
          </w:tcPr>
          <w:p w14:paraId="122967FD" w14:textId="07DE2E4E" w:rsidR="16ECCF27" w:rsidRDefault="16ECCF27" w:rsidP="00721C21">
            <w:pPr>
              <w:pStyle w:val="Tabletext"/>
            </w:pPr>
            <w:r w:rsidRPr="16ECCF27">
              <w:t>Already hosts regional UN agency offices; no dedicated ITU sub-regional presence; avoids duplication of ITU.</w:t>
            </w:r>
          </w:p>
        </w:tc>
      </w:tr>
      <w:tr w:rsidR="16ECCF27" w14:paraId="70F19B43" w14:textId="77777777" w:rsidTr="00721C21">
        <w:trPr>
          <w:trHeight w:val="300"/>
        </w:trPr>
        <w:tc>
          <w:tcPr>
            <w:tcW w:w="1980" w:type="dxa"/>
          </w:tcPr>
          <w:p w14:paraId="04FDA587" w14:textId="6C78449D" w:rsidR="16ECCF27" w:rsidRDefault="16ECCF27" w:rsidP="00721C21">
            <w:pPr>
              <w:pStyle w:val="Tabletext"/>
            </w:pPr>
            <w:r w:rsidRPr="16ECCF27">
              <w:t>Feasibility</w:t>
            </w:r>
          </w:p>
        </w:tc>
        <w:tc>
          <w:tcPr>
            <w:tcW w:w="7770" w:type="dxa"/>
          </w:tcPr>
          <w:p w14:paraId="1288E46A" w14:textId="0A098D61" w:rsidR="16ECCF27" w:rsidRDefault="16ECCF27" w:rsidP="00721C21">
            <w:pPr>
              <w:pStyle w:val="Tabletext"/>
            </w:pPr>
            <w:r w:rsidRPr="16ECCF27">
              <w:t>Strong infrastructure, stable economy; Government of Fiji supports ITU operations/programmes/projects; Government of Fiji has conducted multiple ITU events nationally and for the Pacific region.</w:t>
            </w:r>
          </w:p>
        </w:tc>
      </w:tr>
      <w:tr w:rsidR="16ECCF27" w14:paraId="03645C93" w14:textId="77777777" w:rsidTr="00721C21">
        <w:trPr>
          <w:trHeight w:val="300"/>
        </w:trPr>
        <w:tc>
          <w:tcPr>
            <w:tcW w:w="1980" w:type="dxa"/>
          </w:tcPr>
          <w:p w14:paraId="32C20CA6" w14:textId="5674FBDE" w:rsidR="16ECCF27" w:rsidRDefault="16ECCF27" w:rsidP="00721C21">
            <w:pPr>
              <w:pStyle w:val="Tabletext"/>
            </w:pPr>
            <w:r w:rsidRPr="16ECCF27">
              <w:t>Security</w:t>
            </w:r>
          </w:p>
        </w:tc>
        <w:tc>
          <w:tcPr>
            <w:tcW w:w="7770" w:type="dxa"/>
          </w:tcPr>
          <w:p w14:paraId="2990232F" w14:textId="52F1306D" w:rsidR="16ECCF27" w:rsidRDefault="16ECCF27" w:rsidP="00721C21">
            <w:pPr>
              <w:pStyle w:val="Tabletext"/>
            </w:pPr>
            <w:r w:rsidRPr="16ECCF27">
              <w:t>UNDSS: armed conflict minimal; terrorism minimal; crime moderate; civil unrest minimal; hazards high; hardship classification A.</w:t>
            </w:r>
          </w:p>
        </w:tc>
      </w:tr>
      <w:tr w:rsidR="16ECCF27" w14:paraId="72045A32" w14:textId="77777777" w:rsidTr="00721C21">
        <w:trPr>
          <w:trHeight w:val="300"/>
        </w:trPr>
        <w:tc>
          <w:tcPr>
            <w:tcW w:w="1980" w:type="dxa"/>
          </w:tcPr>
          <w:p w14:paraId="63F2C156" w14:textId="0F77C345" w:rsidR="16ECCF27" w:rsidRDefault="16ECCF27" w:rsidP="00721C21">
            <w:pPr>
              <w:pStyle w:val="Tabletext"/>
            </w:pPr>
            <w:r w:rsidRPr="16ECCF27">
              <w:t>Proximity</w:t>
            </w:r>
          </w:p>
        </w:tc>
        <w:tc>
          <w:tcPr>
            <w:tcW w:w="7770" w:type="dxa"/>
          </w:tcPr>
          <w:p w14:paraId="70D85EE3" w14:textId="6B994A66" w:rsidR="16ECCF27" w:rsidRDefault="16ECCF27" w:rsidP="00721C21">
            <w:pPr>
              <w:pStyle w:val="Tabletext"/>
            </w:pPr>
            <w:r w:rsidRPr="16ECCF27">
              <w:t>Presence of UN Multi-Country Office; presence of existing regional development agencies and UN agencies; potential for enhanced synergy with UN agencies.</w:t>
            </w:r>
          </w:p>
        </w:tc>
      </w:tr>
      <w:tr w:rsidR="16ECCF27" w14:paraId="29907907" w14:textId="77777777" w:rsidTr="00721C21">
        <w:trPr>
          <w:trHeight w:val="300"/>
        </w:trPr>
        <w:tc>
          <w:tcPr>
            <w:tcW w:w="1980" w:type="dxa"/>
          </w:tcPr>
          <w:p w14:paraId="7B6338A9" w14:textId="1B7254F2" w:rsidR="16ECCF27" w:rsidRDefault="16ECCF27" w:rsidP="00721C21">
            <w:pPr>
              <w:pStyle w:val="Tabletext"/>
            </w:pPr>
            <w:r w:rsidRPr="16ECCF27">
              <w:t>Accessibility</w:t>
            </w:r>
          </w:p>
        </w:tc>
        <w:tc>
          <w:tcPr>
            <w:tcW w:w="7770" w:type="dxa"/>
          </w:tcPr>
          <w:p w14:paraId="6ECDCEA8" w14:textId="6E40AC6A" w:rsidR="16ECCF27" w:rsidRDefault="16ECCF27" w:rsidP="00721C21">
            <w:pPr>
              <w:pStyle w:val="Tabletext"/>
            </w:pPr>
            <w:r w:rsidRPr="16ECCF27">
              <w:t xml:space="preserve">Major international transport hub; central location with excellent connectivity to Pacific nations; easy access for regional collaboration; visa on arrival for most international </w:t>
            </w:r>
            <w:r w:rsidR="3A72CD02" w:rsidRPr="16ECCF27">
              <w:t>travelers</w:t>
            </w:r>
            <w:r w:rsidRPr="16ECCF27">
              <w:t>.</w:t>
            </w:r>
          </w:p>
        </w:tc>
      </w:tr>
    </w:tbl>
    <w:p w14:paraId="62C5AC3D" w14:textId="497C5CB9" w:rsidR="16ECCF27" w:rsidRDefault="16ECCF27" w:rsidP="00721C21">
      <w:pPr>
        <w:pStyle w:val="Tablefin"/>
      </w:pPr>
    </w:p>
    <w:p w14:paraId="62262FB0" w14:textId="510E546D" w:rsidR="12AA7F7A" w:rsidRDefault="12AA7F7A" w:rsidP="00721C21">
      <w:pPr>
        <w:pStyle w:val="Headingb"/>
        <w:rPr>
          <w:rFonts w:eastAsiaTheme="minorEastAsia"/>
          <w:lang w:val="en-US"/>
        </w:rPr>
      </w:pPr>
      <w:r w:rsidRPr="16ECCF27">
        <w:rPr>
          <w:rFonts w:eastAsiaTheme="minorEastAsia"/>
          <w:lang w:val="en-US"/>
        </w:rPr>
        <w:t>Relevance</w:t>
      </w:r>
    </w:p>
    <w:p w14:paraId="027623BB" w14:textId="648792D0" w:rsidR="12AA7F7A" w:rsidRDefault="12AA7F7A" w:rsidP="00721C21">
      <w:pPr>
        <w:jc w:val="both"/>
        <w:rPr>
          <w:rFonts w:eastAsiaTheme="minorEastAsia"/>
          <w:lang w:val="en-US"/>
        </w:rPr>
      </w:pPr>
      <w:r w:rsidRPr="16ECCF27">
        <w:rPr>
          <w:rFonts w:eastAsiaTheme="minorEastAsia"/>
          <w:lang w:val="en-US"/>
        </w:rPr>
        <w:t>Fiji is relevant to the consideration of enhanced ITU regional presence in the Pacific given its comparatively developed ICT sector and its established role as an important regional hub. The country has capacity to support regional ICT needs and ITU initiatives, and its existing digital and institutional environment provides a basis for supporting broader engagement with Pacific Member States.</w:t>
      </w:r>
    </w:p>
    <w:p w14:paraId="27FC6DE0" w14:textId="26D1A24A" w:rsidR="12AA7F7A" w:rsidRDefault="12AA7F7A" w:rsidP="00721C21">
      <w:pPr>
        <w:jc w:val="both"/>
        <w:rPr>
          <w:rFonts w:eastAsiaTheme="minorEastAsia"/>
          <w:lang w:val="en-US"/>
        </w:rPr>
      </w:pPr>
      <w:r w:rsidRPr="16ECCF27">
        <w:rPr>
          <w:rFonts w:eastAsiaTheme="minorEastAsia"/>
          <w:lang w:val="en-US"/>
        </w:rPr>
        <w:t>In the context of the feasibility study, Fiji's relevance is also linked to its ability to serve as a platform for regional engagement. The presence of institutions, development partners and regional coordination mechanisms in Fiji contributes to its potential utility as a location from which ITU could strengthen its support to multiple Pacific countries.</w:t>
      </w:r>
    </w:p>
    <w:p w14:paraId="2129242D" w14:textId="347CFEDB" w:rsidR="12AA7F7A" w:rsidRDefault="12AA7F7A" w:rsidP="00721C21">
      <w:pPr>
        <w:pStyle w:val="Headingb"/>
        <w:rPr>
          <w:rFonts w:eastAsiaTheme="minorEastAsia"/>
          <w:lang w:val="en-US"/>
        </w:rPr>
      </w:pPr>
      <w:r w:rsidRPr="16ECCF27">
        <w:rPr>
          <w:rFonts w:eastAsiaTheme="minorEastAsia"/>
          <w:lang w:val="en-US"/>
        </w:rPr>
        <w:t>Exclusivity</w:t>
      </w:r>
    </w:p>
    <w:p w14:paraId="06E92762" w14:textId="4C4CD1F7" w:rsidR="12AA7F7A" w:rsidRDefault="12AA7F7A" w:rsidP="00721C21">
      <w:pPr>
        <w:jc w:val="both"/>
        <w:rPr>
          <w:rFonts w:eastAsiaTheme="minorEastAsia"/>
          <w:lang w:val="en-US"/>
        </w:rPr>
      </w:pPr>
      <w:r w:rsidRPr="16ECCF27">
        <w:rPr>
          <w:rFonts w:eastAsiaTheme="minorEastAsia"/>
          <w:lang w:val="en-US"/>
        </w:rPr>
        <w:t>With respect to exclusivity, Fiji already hosts a number of regional United Nations agency offices and development partners. However, there is no dedicated ITU sub-regional presence in Fiji. An ITU presence in Fiji would therefore not duplicate an existing ITU office at the sub-regional level.</w:t>
      </w:r>
    </w:p>
    <w:p w14:paraId="4FDA893C" w14:textId="5D194C34" w:rsidR="12AA7F7A" w:rsidRDefault="12AA7F7A" w:rsidP="00721C21">
      <w:pPr>
        <w:jc w:val="both"/>
        <w:rPr>
          <w:rFonts w:eastAsiaTheme="minorEastAsia"/>
          <w:lang w:val="en-US"/>
        </w:rPr>
      </w:pPr>
      <w:r w:rsidRPr="16ECCF27">
        <w:rPr>
          <w:rFonts w:eastAsiaTheme="minorEastAsia"/>
          <w:lang w:val="en-US"/>
        </w:rPr>
        <w:t>The presence of other United Nations and regional agencies should be understood in this context as an opportunity for coordination rather than as a duplication of ITU's institutional presence. Any enhanced ITU presence would need to remain distinct in mandate and function, while contributing to improved coordination with existing United Nations and development partner structures.</w:t>
      </w:r>
    </w:p>
    <w:p w14:paraId="0A59AAF3" w14:textId="2B391B03" w:rsidR="12AA7F7A" w:rsidRDefault="12AA7F7A" w:rsidP="00721C21">
      <w:pPr>
        <w:pStyle w:val="Headingb"/>
        <w:rPr>
          <w:rFonts w:eastAsiaTheme="minorEastAsia"/>
          <w:lang w:val="en-US"/>
        </w:rPr>
      </w:pPr>
      <w:r w:rsidRPr="16ECCF27">
        <w:rPr>
          <w:rFonts w:eastAsiaTheme="minorEastAsia"/>
          <w:lang w:val="en-US"/>
        </w:rPr>
        <w:t>Feasibility</w:t>
      </w:r>
    </w:p>
    <w:p w14:paraId="61D1DBF1" w14:textId="16992A69" w:rsidR="12AA7F7A" w:rsidRDefault="12AA7F7A" w:rsidP="00721C21">
      <w:pPr>
        <w:jc w:val="both"/>
        <w:rPr>
          <w:rFonts w:eastAsiaTheme="minorEastAsia"/>
          <w:lang w:val="en-US"/>
        </w:rPr>
      </w:pPr>
      <w:r w:rsidRPr="16ECCF27">
        <w:rPr>
          <w:rFonts w:eastAsiaTheme="minorEastAsia"/>
          <w:lang w:val="en-US"/>
        </w:rPr>
        <w:t xml:space="preserve">Fiji presents several elements relevant to feasibility. The country has strong infrastructure, a relatively stable economy and demonstrated experience in hosting and supporting regional and </w:t>
      </w:r>
      <w:r w:rsidRPr="16ECCF27">
        <w:rPr>
          <w:rFonts w:eastAsiaTheme="minorEastAsia"/>
          <w:lang w:val="en-US"/>
        </w:rPr>
        <w:lastRenderedPageBreak/>
        <w:t>national activities. The Government of Fiji has supported ITU operations, programmes and projects, and has hosted multiple ITU events, both nationally and for the wider Pacific region.</w:t>
      </w:r>
    </w:p>
    <w:p w14:paraId="679FED08" w14:textId="6ED30C6D" w:rsidR="12AA7F7A" w:rsidRDefault="12AA7F7A" w:rsidP="00721C21">
      <w:pPr>
        <w:jc w:val="both"/>
        <w:rPr>
          <w:rFonts w:eastAsiaTheme="minorEastAsia"/>
          <w:lang w:val="en-US"/>
        </w:rPr>
      </w:pPr>
      <w:r w:rsidRPr="16ECCF27">
        <w:rPr>
          <w:rFonts w:eastAsiaTheme="minorEastAsia"/>
          <w:lang w:val="en-US"/>
        </w:rPr>
        <w:t>These factors indicate that Fiji provides an operational environment in which the practical requirements of an ITU presence could be considered. The availability of infrastructure, experience with international and regional activities, and existing engagement with ITU are relevant factors in assessing whether the resources and host-country conditions would be sufficient to support establishment and sustained operation.</w:t>
      </w:r>
    </w:p>
    <w:p w14:paraId="66F029AD" w14:textId="54456A26" w:rsidR="12AA7F7A" w:rsidRDefault="12AA7F7A" w:rsidP="008F4601">
      <w:pPr>
        <w:pStyle w:val="Headingb"/>
        <w:rPr>
          <w:rFonts w:eastAsiaTheme="minorEastAsia"/>
          <w:lang w:val="en-US"/>
        </w:rPr>
      </w:pPr>
      <w:r w:rsidRPr="16ECCF27">
        <w:rPr>
          <w:rFonts w:eastAsiaTheme="minorEastAsia"/>
          <w:lang w:val="en-US"/>
        </w:rPr>
        <w:t>Security</w:t>
      </w:r>
    </w:p>
    <w:p w14:paraId="60FB3749" w14:textId="221B1E04" w:rsidR="12AA7F7A" w:rsidRDefault="12AA7F7A" w:rsidP="008F4601">
      <w:pPr>
        <w:jc w:val="both"/>
        <w:rPr>
          <w:rFonts w:eastAsiaTheme="minorEastAsia"/>
          <w:lang w:val="en-US"/>
        </w:rPr>
      </w:pPr>
      <w:r w:rsidRPr="16ECCF27">
        <w:rPr>
          <w:rFonts w:eastAsiaTheme="minorEastAsia"/>
          <w:lang w:val="en-US"/>
        </w:rPr>
        <w:t>The available UNDSS-related assessment for Fiji records armed conflict as minimal, terrorism as minimal, crime as moderate, civil unrest as minimal and hazards as high. Fiji is also identified with hardship classification A.</w:t>
      </w:r>
    </w:p>
    <w:p w14:paraId="02075AE8" w14:textId="3587A4BE" w:rsidR="12AA7F7A" w:rsidRDefault="12AA7F7A" w:rsidP="008F4601">
      <w:pPr>
        <w:jc w:val="both"/>
        <w:rPr>
          <w:rFonts w:eastAsiaTheme="minorEastAsia"/>
          <w:lang w:val="en-US"/>
        </w:rPr>
      </w:pPr>
      <w:r w:rsidRPr="16ECCF27">
        <w:rPr>
          <w:rFonts w:eastAsiaTheme="minorEastAsia"/>
          <w:lang w:val="en-US"/>
        </w:rPr>
        <w:t>From the perspective of the ITU Council security criterion, these factors suggest that Fiji presents a generally manageable security environment, while still requiring due attention to natural hazards and other relevant security-management requirements. Any establishment planning would need to remain consistent with UNDSS processes and applicable United Nations security standards.</w:t>
      </w:r>
    </w:p>
    <w:p w14:paraId="535DF8E9" w14:textId="1985CFBC" w:rsidR="12AA7F7A" w:rsidRDefault="12AA7F7A" w:rsidP="008F4601">
      <w:pPr>
        <w:pStyle w:val="Headingb"/>
        <w:rPr>
          <w:rFonts w:eastAsiaTheme="minorEastAsia"/>
          <w:lang w:val="en-US"/>
        </w:rPr>
      </w:pPr>
      <w:r w:rsidRPr="16ECCF27">
        <w:rPr>
          <w:rFonts w:eastAsiaTheme="minorEastAsia"/>
          <w:lang w:val="en-US"/>
        </w:rPr>
        <w:t>Proximity</w:t>
      </w:r>
    </w:p>
    <w:p w14:paraId="6DC7D2AF" w14:textId="42F0B947" w:rsidR="12AA7F7A" w:rsidRDefault="12AA7F7A" w:rsidP="008F4601">
      <w:pPr>
        <w:jc w:val="both"/>
        <w:rPr>
          <w:rFonts w:eastAsiaTheme="minorEastAsia"/>
          <w:lang w:val="en-US"/>
        </w:rPr>
      </w:pPr>
      <w:r w:rsidRPr="16ECCF27">
        <w:rPr>
          <w:rFonts w:eastAsiaTheme="minorEastAsia"/>
          <w:lang w:val="en-US"/>
        </w:rPr>
        <w:t>Fiji has proximity advantages arising from its role as a regional hub and from the presence of the United Nations Multi-Country Office. It also hosts a number of regional development agencies and United Nations agencies, creating potential for enhanced coordination and synergy with partners active in the Pacific.</w:t>
      </w:r>
    </w:p>
    <w:p w14:paraId="11541092" w14:textId="75589FF6" w:rsidR="12AA7F7A" w:rsidRDefault="12AA7F7A" w:rsidP="008F4601">
      <w:pPr>
        <w:jc w:val="both"/>
        <w:rPr>
          <w:rFonts w:eastAsiaTheme="minorEastAsia"/>
          <w:lang w:val="en-US"/>
        </w:rPr>
      </w:pPr>
      <w:r w:rsidRPr="16ECCF27">
        <w:rPr>
          <w:rFonts w:eastAsiaTheme="minorEastAsia"/>
          <w:lang w:val="en-US"/>
        </w:rPr>
        <w:t>In functional terms, proximity should not be understood only as geographical distance. It also includes proximity to regional coordination platforms, partner institutions and mechanisms through which support to Pacific Member States is organized. On this basis, Fiji presents several features relevant to the proximity criterion.</w:t>
      </w:r>
    </w:p>
    <w:p w14:paraId="5A8580E4" w14:textId="1C02D41D" w:rsidR="12AA7F7A" w:rsidRDefault="12AA7F7A" w:rsidP="008F4601">
      <w:pPr>
        <w:pStyle w:val="Headingb"/>
        <w:rPr>
          <w:rFonts w:eastAsiaTheme="minorEastAsia"/>
          <w:lang w:val="en-US"/>
        </w:rPr>
      </w:pPr>
      <w:r w:rsidRPr="16ECCF27">
        <w:rPr>
          <w:rFonts w:eastAsiaTheme="minorEastAsia"/>
          <w:lang w:val="en-US"/>
        </w:rPr>
        <w:t>Accessibility</w:t>
      </w:r>
    </w:p>
    <w:p w14:paraId="56E7250A" w14:textId="49B4EF03" w:rsidR="12AA7F7A" w:rsidRDefault="12AA7F7A" w:rsidP="008F4601">
      <w:pPr>
        <w:jc w:val="both"/>
        <w:rPr>
          <w:rFonts w:eastAsiaTheme="minorEastAsia"/>
          <w:lang w:val="en-US"/>
        </w:rPr>
      </w:pPr>
      <w:r w:rsidRPr="16ECCF27">
        <w:rPr>
          <w:rFonts w:eastAsiaTheme="minorEastAsia"/>
          <w:lang w:val="en-US"/>
        </w:rPr>
        <w:t>Fiji has strong accessibility characteristics within the Pacific context. It is a major international transport hub and has comparatively strong connectivity to Pacific countries. This provides practical advantages for regional collaboration, participation in meetings and missions, and movement of staff and partners across the sub-region.</w:t>
      </w:r>
    </w:p>
    <w:p w14:paraId="0D3B4BD0" w14:textId="44C9648F" w:rsidR="12AA7F7A" w:rsidRDefault="12AA7F7A" w:rsidP="008F4601">
      <w:pPr>
        <w:jc w:val="both"/>
        <w:rPr>
          <w:rFonts w:eastAsiaTheme="minorEastAsia"/>
          <w:lang w:val="en-US"/>
        </w:rPr>
      </w:pPr>
      <w:r w:rsidRPr="16ECCF27">
        <w:rPr>
          <w:rFonts w:eastAsiaTheme="minorEastAsia"/>
          <w:lang w:val="en-US"/>
        </w:rPr>
        <w:t xml:space="preserve">The availability of visa-on-arrival arrangements for many international </w:t>
      </w:r>
      <w:r w:rsidR="60368296" w:rsidRPr="16ECCF27">
        <w:rPr>
          <w:rFonts w:eastAsiaTheme="minorEastAsia"/>
          <w:lang w:val="en-US"/>
        </w:rPr>
        <w:t>travelers</w:t>
      </w:r>
      <w:r w:rsidRPr="16ECCF27">
        <w:rPr>
          <w:rFonts w:eastAsiaTheme="minorEastAsia"/>
          <w:lang w:val="en-US"/>
        </w:rPr>
        <w:t xml:space="preserve"> further supports Fiji's accessibility. These factors are relevant to the consideration of whether an ITU presence in Fiji would provide suitable connections with the countries to be served by the office</w:t>
      </w:r>
      <w:r w:rsidR="004C49A2">
        <w:rPr>
          <w:rFonts w:eastAsiaTheme="minorEastAsia"/>
          <w:lang w:val="en-US"/>
        </w:rPr>
        <w:t>.</w:t>
      </w:r>
    </w:p>
    <w:p w14:paraId="5522B8C1" w14:textId="77777777" w:rsidR="008F4601" w:rsidRDefault="00D32348" w:rsidP="00FB3329">
      <w:r>
        <w:br w:type="page"/>
      </w:r>
    </w:p>
    <w:p w14:paraId="2F1FC0CF" w14:textId="11D93714" w:rsidR="00D32348" w:rsidRDefault="3A346F72" w:rsidP="008F4601">
      <w:pPr>
        <w:pStyle w:val="AnnexNo"/>
      </w:pPr>
      <w:bookmarkStart w:id="13" w:name="Annex2"/>
      <w:bookmarkEnd w:id="13"/>
      <w:r>
        <w:lastRenderedPageBreak/>
        <w:t>Annex 2</w:t>
      </w:r>
    </w:p>
    <w:p w14:paraId="7A974958" w14:textId="4F4AD78E" w:rsidR="00D32348" w:rsidRDefault="00D32348" w:rsidP="008F4601">
      <w:pPr>
        <w:pStyle w:val="Headingb"/>
      </w:pPr>
      <w:r>
        <w:t xml:space="preserve">Calculation of the </w:t>
      </w:r>
      <w:r w:rsidR="00CB409A">
        <w:t>financials</w:t>
      </w:r>
    </w:p>
    <w:p w14:paraId="18E59D59" w14:textId="1D3B7797" w:rsidR="00D32348" w:rsidRDefault="00FC6B98" w:rsidP="008F4601">
      <w:pPr>
        <w:jc w:val="both"/>
      </w:pPr>
      <w:r>
        <w:t xml:space="preserve">For the operations of any ITU </w:t>
      </w:r>
      <w:r w:rsidR="00A9376F">
        <w:t>Office, ITU</w:t>
      </w:r>
      <w:r w:rsidR="077EDBCF">
        <w:t xml:space="preserve"> Financial Rule 5.1</w:t>
      </w:r>
      <w:r>
        <w:t xml:space="preserve"> lay</w:t>
      </w:r>
      <w:r w:rsidR="4C8B8602">
        <w:t>s</w:t>
      </w:r>
      <w:r>
        <w:t xml:space="preserve"> down 9 categories of costs as detailed in the table below. The cost analysis of a potential ITU Office in </w:t>
      </w:r>
      <w:r w:rsidR="63596FB9">
        <w:t>Suva, Fiji</w:t>
      </w:r>
      <w:r w:rsidR="00AF4C6C">
        <w:t xml:space="preserve"> </w:t>
      </w:r>
      <w:r>
        <w:t xml:space="preserve">is organized in accordance with these categories of expenses. This provides a consistent framework for classifying the staff and non-staff cost components used widely in ITU's financial documents. </w:t>
      </w:r>
    </w:p>
    <w:p w14:paraId="3BD213DB" w14:textId="77777777" w:rsidR="00D32348" w:rsidRDefault="00D32348" w:rsidP="00721C21">
      <w:pPr>
        <w:pStyle w:val="Tablefin"/>
      </w:pPr>
    </w:p>
    <w:tbl>
      <w:tblPr>
        <w:tblStyle w:val="TableGrid"/>
        <w:tblW w:w="0" w:type="auto"/>
        <w:jc w:val="center"/>
        <w:tblLook w:val="04A0" w:firstRow="1" w:lastRow="0" w:firstColumn="1" w:lastColumn="0" w:noHBand="0" w:noVBand="1"/>
      </w:tblPr>
      <w:tblGrid>
        <w:gridCol w:w="1405"/>
        <w:gridCol w:w="2252"/>
        <w:gridCol w:w="5978"/>
      </w:tblGrid>
      <w:tr w:rsidR="00D32348" w:rsidRPr="008F4601" w14:paraId="0292B9DD" w14:textId="77777777" w:rsidTr="008F4601">
        <w:trPr>
          <w:cantSplit/>
          <w:tblHeader/>
          <w:jc w:val="center"/>
        </w:trPr>
        <w:tc>
          <w:tcPr>
            <w:tcW w:w="1413" w:type="dxa"/>
          </w:tcPr>
          <w:p w14:paraId="05509F10" w14:textId="77777777" w:rsidR="00D32348" w:rsidRPr="008F4601" w:rsidRDefault="32564F7D" w:rsidP="00721C21">
            <w:pPr>
              <w:pStyle w:val="Tablehead"/>
              <w:rPr>
                <w:sz w:val="20"/>
              </w:rPr>
            </w:pPr>
            <w:r w:rsidRPr="008F4601">
              <w:rPr>
                <w:sz w:val="20"/>
              </w:rPr>
              <w:t>Category</w:t>
            </w:r>
          </w:p>
        </w:tc>
        <w:tc>
          <w:tcPr>
            <w:tcW w:w="2268" w:type="dxa"/>
          </w:tcPr>
          <w:p w14:paraId="00F2EEE0" w14:textId="518150AD" w:rsidR="00D32348" w:rsidRPr="008F4601" w:rsidRDefault="32564F7D" w:rsidP="00721C21">
            <w:pPr>
              <w:pStyle w:val="Tablehead"/>
              <w:rPr>
                <w:sz w:val="20"/>
              </w:rPr>
            </w:pPr>
            <w:r w:rsidRPr="008F4601">
              <w:rPr>
                <w:sz w:val="20"/>
              </w:rPr>
              <w:t xml:space="preserve">Category of </w:t>
            </w:r>
            <w:r w:rsidR="00497986" w:rsidRPr="008F4601">
              <w:rPr>
                <w:sz w:val="20"/>
              </w:rPr>
              <w:t>expense</w:t>
            </w:r>
          </w:p>
        </w:tc>
        <w:tc>
          <w:tcPr>
            <w:tcW w:w="6058" w:type="dxa"/>
          </w:tcPr>
          <w:p w14:paraId="02C2B47C" w14:textId="77777777" w:rsidR="00D32348" w:rsidRPr="008F4601" w:rsidRDefault="32564F7D" w:rsidP="00721C21">
            <w:pPr>
              <w:pStyle w:val="Tablehead"/>
              <w:rPr>
                <w:sz w:val="20"/>
              </w:rPr>
            </w:pPr>
            <w:r w:rsidRPr="008F4601">
              <w:rPr>
                <w:sz w:val="20"/>
              </w:rPr>
              <w:t>Description</w:t>
            </w:r>
          </w:p>
        </w:tc>
      </w:tr>
      <w:tr w:rsidR="00D32348" w:rsidRPr="008F4601" w14:paraId="46AC5DB9" w14:textId="77777777" w:rsidTr="008F4601">
        <w:trPr>
          <w:cantSplit/>
          <w:jc w:val="center"/>
        </w:trPr>
        <w:tc>
          <w:tcPr>
            <w:tcW w:w="1413" w:type="dxa"/>
          </w:tcPr>
          <w:p w14:paraId="51F116D4" w14:textId="77777777" w:rsidR="00D32348" w:rsidRPr="008F4601" w:rsidRDefault="32564F7D" w:rsidP="00721C21">
            <w:pPr>
              <w:pStyle w:val="Tabletext"/>
              <w:rPr>
                <w:sz w:val="20"/>
              </w:rPr>
            </w:pPr>
            <w:r w:rsidRPr="008F4601">
              <w:rPr>
                <w:sz w:val="20"/>
              </w:rPr>
              <w:t>Category 1</w:t>
            </w:r>
          </w:p>
        </w:tc>
        <w:tc>
          <w:tcPr>
            <w:tcW w:w="2268" w:type="dxa"/>
          </w:tcPr>
          <w:p w14:paraId="2905B5C8" w14:textId="77777777" w:rsidR="00D32348" w:rsidRPr="008F4601" w:rsidRDefault="32564F7D" w:rsidP="00721C21">
            <w:pPr>
              <w:pStyle w:val="Tabletext"/>
              <w:rPr>
                <w:sz w:val="20"/>
              </w:rPr>
            </w:pPr>
            <w:r w:rsidRPr="008F4601">
              <w:rPr>
                <w:sz w:val="20"/>
              </w:rPr>
              <w:t>Staff costs, including salaries and allowances</w:t>
            </w:r>
          </w:p>
        </w:tc>
        <w:tc>
          <w:tcPr>
            <w:tcW w:w="6058" w:type="dxa"/>
          </w:tcPr>
          <w:p w14:paraId="5B1B7034" w14:textId="77777777" w:rsidR="00D32348" w:rsidRPr="008F4601" w:rsidRDefault="32564F7D" w:rsidP="00721C21">
            <w:pPr>
              <w:pStyle w:val="Tabletext"/>
              <w:rPr>
                <w:sz w:val="20"/>
              </w:rPr>
            </w:pPr>
            <w:r w:rsidRPr="008F4601">
              <w:rPr>
                <w:sz w:val="20"/>
              </w:rPr>
              <w:t>Covers regular remuneration paid to incumbents of established posts and to conference and other short-term staff, excluding staff serving under Special Service Agreements. This includes basic salary, post adjustment, language and non-resident allowance, family allowance and overtime.</w:t>
            </w:r>
          </w:p>
        </w:tc>
      </w:tr>
      <w:tr w:rsidR="00D32348" w:rsidRPr="008F4601" w14:paraId="4161ACA5" w14:textId="77777777" w:rsidTr="008F4601">
        <w:trPr>
          <w:cantSplit/>
          <w:jc w:val="center"/>
        </w:trPr>
        <w:tc>
          <w:tcPr>
            <w:tcW w:w="1413" w:type="dxa"/>
          </w:tcPr>
          <w:p w14:paraId="5D944C16" w14:textId="77777777" w:rsidR="00D32348" w:rsidRPr="008F4601" w:rsidRDefault="32564F7D" w:rsidP="00721C21">
            <w:pPr>
              <w:pStyle w:val="Tabletext"/>
              <w:rPr>
                <w:sz w:val="20"/>
              </w:rPr>
            </w:pPr>
            <w:r w:rsidRPr="008F4601">
              <w:rPr>
                <w:sz w:val="20"/>
              </w:rPr>
              <w:t>Category 2</w:t>
            </w:r>
          </w:p>
        </w:tc>
        <w:tc>
          <w:tcPr>
            <w:tcW w:w="2268" w:type="dxa"/>
          </w:tcPr>
          <w:p w14:paraId="1D37C594" w14:textId="77777777" w:rsidR="00D32348" w:rsidRPr="008F4601" w:rsidRDefault="32564F7D" w:rsidP="00721C21">
            <w:pPr>
              <w:pStyle w:val="Tabletext"/>
              <w:rPr>
                <w:sz w:val="20"/>
              </w:rPr>
            </w:pPr>
            <w:r w:rsidRPr="008F4601">
              <w:rPr>
                <w:sz w:val="20"/>
              </w:rPr>
              <w:t>Other staff costs</w:t>
            </w:r>
          </w:p>
        </w:tc>
        <w:tc>
          <w:tcPr>
            <w:tcW w:w="6058" w:type="dxa"/>
          </w:tcPr>
          <w:p w14:paraId="7FA39395" w14:textId="77777777" w:rsidR="00D32348" w:rsidRPr="008F4601" w:rsidRDefault="32564F7D" w:rsidP="00721C21">
            <w:pPr>
              <w:pStyle w:val="Tabletext"/>
              <w:rPr>
                <w:sz w:val="20"/>
              </w:rPr>
            </w:pPr>
            <w:r w:rsidRPr="008F4601">
              <w:rPr>
                <w:sz w:val="20"/>
              </w:rPr>
              <w:t>Covers staff-related costs such as the Union’s contribution to pension and health insurance, the UN medical service, collective accident insurance, education grant and travel, travel on appointment and separation, installation and repatriation allowances, travel on home leave, accrued leave, termination grant and removal expenses.</w:t>
            </w:r>
          </w:p>
        </w:tc>
      </w:tr>
      <w:tr w:rsidR="00D32348" w:rsidRPr="008F4601" w14:paraId="50C4DDF9" w14:textId="77777777" w:rsidTr="008F4601">
        <w:trPr>
          <w:cantSplit/>
          <w:jc w:val="center"/>
        </w:trPr>
        <w:tc>
          <w:tcPr>
            <w:tcW w:w="1413" w:type="dxa"/>
          </w:tcPr>
          <w:p w14:paraId="5B2916F9" w14:textId="77777777" w:rsidR="00D32348" w:rsidRPr="008F4601" w:rsidRDefault="32564F7D" w:rsidP="00721C21">
            <w:pPr>
              <w:pStyle w:val="Tabletext"/>
              <w:rPr>
                <w:sz w:val="20"/>
              </w:rPr>
            </w:pPr>
            <w:r w:rsidRPr="008F4601">
              <w:rPr>
                <w:sz w:val="20"/>
              </w:rPr>
              <w:t>Category 3</w:t>
            </w:r>
          </w:p>
        </w:tc>
        <w:tc>
          <w:tcPr>
            <w:tcW w:w="2268" w:type="dxa"/>
          </w:tcPr>
          <w:p w14:paraId="526330E9" w14:textId="77777777" w:rsidR="00D32348" w:rsidRPr="008F4601" w:rsidRDefault="32564F7D" w:rsidP="00721C21">
            <w:pPr>
              <w:pStyle w:val="Tabletext"/>
              <w:rPr>
                <w:sz w:val="20"/>
              </w:rPr>
            </w:pPr>
            <w:r w:rsidRPr="008F4601">
              <w:rPr>
                <w:sz w:val="20"/>
              </w:rPr>
              <w:t>Travel on duty</w:t>
            </w:r>
          </w:p>
        </w:tc>
        <w:tc>
          <w:tcPr>
            <w:tcW w:w="6058" w:type="dxa"/>
          </w:tcPr>
          <w:p w14:paraId="42584E69" w14:textId="77777777" w:rsidR="00D32348" w:rsidRPr="008F4601" w:rsidRDefault="32564F7D" w:rsidP="00721C21">
            <w:pPr>
              <w:pStyle w:val="Tabletext"/>
              <w:rPr>
                <w:sz w:val="20"/>
              </w:rPr>
            </w:pPr>
            <w:r w:rsidRPr="008F4601">
              <w:rPr>
                <w:sz w:val="20"/>
              </w:rPr>
              <w:t>Covers official travel for missions, conferences and meetings, including travel tickets, daily subsistence allowance, terminal expenses and insurance. It also includes travel for delegates attending Council sessions, missions of staff of the Sectors and General Secretariat and their consultants, and fellowship programmes. Travel related to recruitment, home leave and repatriation is excluded from this category.</w:t>
            </w:r>
          </w:p>
        </w:tc>
      </w:tr>
      <w:tr w:rsidR="00D32348" w:rsidRPr="008F4601" w14:paraId="120E096F" w14:textId="77777777" w:rsidTr="008F4601">
        <w:trPr>
          <w:cantSplit/>
          <w:jc w:val="center"/>
        </w:trPr>
        <w:tc>
          <w:tcPr>
            <w:tcW w:w="1413" w:type="dxa"/>
          </w:tcPr>
          <w:p w14:paraId="2B846C67" w14:textId="77777777" w:rsidR="00D32348" w:rsidRPr="008F4601" w:rsidRDefault="32564F7D" w:rsidP="00721C21">
            <w:pPr>
              <w:pStyle w:val="Tabletext"/>
              <w:rPr>
                <w:sz w:val="20"/>
              </w:rPr>
            </w:pPr>
            <w:r w:rsidRPr="008F4601">
              <w:rPr>
                <w:sz w:val="20"/>
              </w:rPr>
              <w:t>Category 4</w:t>
            </w:r>
          </w:p>
        </w:tc>
        <w:tc>
          <w:tcPr>
            <w:tcW w:w="2268" w:type="dxa"/>
          </w:tcPr>
          <w:p w14:paraId="123F882F" w14:textId="77777777" w:rsidR="00D32348" w:rsidRPr="008F4601" w:rsidRDefault="32564F7D" w:rsidP="00721C21">
            <w:pPr>
              <w:pStyle w:val="Tabletext"/>
              <w:rPr>
                <w:sz w:val="20"/>
              </w:rPr>
            </w:pPr>
            <w:r w:rsidRPr="008F4601">
              <w:rPr>
                <w:sz w:val="20"/>
              </w:rPr>
              <w:t>Contractual services</w:t>
            </w:r>
          </w:p>
        </w:tc>
        <w:tc>
          <w:tcPr>
            <w:tcW w:w="6058" w:type="dxa"/>
          </w:tcPr>
          <w:p w14:paraId="2A58219B" w14:textId="77777777" w:rsidR="00D32348" w:rsidRPr="008F4601" w:rsidRDefault="32564F7D" w:rsidP="00721C21">
            <w:pPr>
              <w:pStyle w:val="Tabletext"/>
              <w:rPr>
                <w:sz w:val="20"/>
              </w:rPr>
            </w:pPr>
            <w:r w:rsidRPr="008F4601">
              <w:rPr>
                <w:sz w:val="20"/>
              </w:rPr>
              <w:t>Covers fees, honoraria and travel to and from the place of residence for consultants and firms engaged for contractual work and arrangements. Special Service Agreements are included under this category, as are training costs and externally purchased services such as printing and computer services.</w:t>
            </w:r>
          </w:p>
        </w:tc>
      </w:tr>
      <w:tr w:rsidR="00D32348" w:rsidRPr="008F4601" w14:paraId="23BFF1B7" w14:textId="77777777" w:rsidTr="008F4601">
        <w:trPr>
          <w:cantSplit/>
          <w:jc w:val="center"/>
        </w:trPr>
        <w:tc>
          <w:tcPr>
            <w:tcW w:w="1413" w:type="dxa"/>
          </w:tcPr>
          <w:p w14:paraId="3F8C9DCC" w14:textId="77777777" w:rsidR="00D32348" w:rsidRPr="008F4601" w:rsidRDefault="32564F7D" w:rsidP="00721C21">
            <w:pPr>
              <w:pStyle w:val="Tabletext"/>
              <w:rPr>
                <w:sz w:val="20"/>
              </w:rPr>
            </w:pPr>
            <w:r w:rsidRPr="008F4601">
              <w:rPr>
                <w:sz w:val="20"/>
              </w:rPr>
              <w:t>Category 5</w:t>
            </w:r>
          </w:p>
        </w:tc>
        <w:tc>
          <w:tcPr>
            <w:tcW w:w="2268" w:type="dxa"/>
          </w:tcPr>
          <w:p w14:paraId="108E76FA" w14:textId="77777777" w:rsidR="00D32348" w:rsidRPr="008F4601" w:rsidRDefault="32564F7D" w:rsidP="00721C21">
            <w:pPr>
              <w:pStyle w:val="Tabletext"/>
              <w:rPr>
                <w:sz w:val="20"/>
              </w:rPr>
            </w:pPr>
            <w:r w:rsidRPr="008F4601">
              <w:rPr>
                <w:sz w:val="20"/>
              </w:rPr>
              <w:t>Rental and maintenance of premises and equipment</w:t>
            </w:r>
          </w:p>
        </w:tc>
        <w:tc>
          <w:tcPr>
            <w:tcW w:w="6058" w:type="dxa"/>
          </w:tcPr>
          <w:p w14:paraId="4476FC75" w14:textId="77777777" w:rsidR="00D32348" w:rsidRPr="008F4601" w:rsidRDefault="32564F7D" w:rsidP="00721C21">
            <w:pPr>
              <w:pStyle w:val="Tabletext"/>
              <w:rPr>
                <w:sz w:val="20"/>
              </w:rPr>
            </w:pPr>
            <w:r w:rsidRPr="008F4601">
              <w:rPr>
                <w:sz w:val="20"/>
              </w:rPr>
              <w:t>Covers rental of conference halls, meeting rooms, storage and parking spaces, computer equipment and other office machines, as well as maintenance of buildings, grounds, vehicles, technical and computer equipment and related insurance against fire, flood and other damage.</w:t>
            </w:r>
          </w:p>
        </w:tc>
      </w:tr>
      <w:tr w:rsidR="00D32348" w:rsidRPr="008F4601" w14:paraId="6A312825" w14:textId="77777777" w:rsidTr="008F4601">
        <w:trPr>
          <w:cantSplit/>
          <w:jc w:val="center"/>
        </w:trPr>
        <w:tc>
          <w:tcPr>
            <w:tcW w:w="1413" w:type="dxa"/>
          </w:tcPr>
          <w:p w14:paraId="15A8D1D3" w14:textId="77777777" w:rsidR="00D32348" w:rsidRPr="008F4601" w:rsidRDefault="32564F7D" w:rsidP="00721C21">
            <w:pPr>
              <w:pStyle w:val="Tabletext"/>
              <w:rPr>
                <w:sz w:val="20"/>
              </w:rPr>
            </w:pPr>
            <w:r w:rsidRPr="008F4601">
              <w:rPr>
                <w:sz w:val="20"/>
              </w:rPr>
              <w:t>Category 6</w:t>
            </w:r>
          </w:p>
        </w:tc>
        <w:tc>
          <w:tcPr>
            <w:tcW w:w="2268" w:type="dxa"/>
          </w:tcPr>
          <w:p w14:paraId="0886450D" w14:textId="77777777" w:rsidR="00D32348" w:rsidRPr="008F4601" w:rsidRDefault="32564F7D" w:rsidP="00721C21">
            <w:pPr>
              <w:pStyle w:val="Tabletext"/>
              <w:rPr>
                <w:sz w:val="20"/>
              </w:rPr>
            </w:pPr>
            <w:r w:rsidRPr="008F4601">
              <w:rPr>
                <w:sz w:val="20"/>
              </w:rPr>
              <w:t>Materials and supplies</w:t>
            </w:r>
          </w:p>
        </w:tc>
        <w:tc>
          <w:tcPr>
            <w:tcW w:w="6058" w:type="dxa"/>
          </w:tcPr>
          <w:p w14:paraId="2213BC72" w14:textId="77777777" w:rsidR="00D32348" w:rsidRPr="008F4601" w:rsidRDefault="32564F7D" w:rsidP="00721C21">
            <w:pPr>
              <w:pStyle w:val="Tabletext"/>
              <w:rPr>
                <w:sz w:val="20"/>
              </w:rPr>
            </w:pPr>
            <w:r w:rsidRPr="008F4601">
              <w:rPr>
                <w:sz w:val="20"/>
              </w:rPr>
              <w:t>Covers office stationery, printing supplies, forms, maps, journals, books and bindings, computer supplies and computer software.</w:t>
            </w:r>
          </w:p>
        </w:tc>
      </w:tr>
      <w:tr w:rsidR="00D32348" w:rsidRPr="008F4601" w14:paraId="27CC0E6A" w14:textId="77777777" w:rsidTr="008F4601">
        <w:trPr>
          <w:cantSplit/>
          <w:jc w:val="center"/>
        </w:trPr>
        <w:tc>
          <w:tcPr>
            <w:tcW w:w="1413" w:type="dxa"/>
          </w:tcPr>
          <w:p w14:paraId="7ADDFF43" w14:textId="77777777" w:rsidR="00D32348" w:rsidRPr="008F4601" w:rsidRDefault="32564F7D" w:rsidP="00721C21">
            <w:pPr>
              <w:pStyle w:val="Tabletext"/>
              <w:rPr>
                <w:sz w:val="20"/>
              </w:rPr>
            </w:pPr>
            <w:r w:rsidRPr="008F4601">
              <w:rPr>
                <w:sz w:val="20"/>
              </w:rPr>
              <w:t>Category 7</w:t>
            </w:r>
          </w:p>
        </w:tc>
        <w:tc>
          <w:tcPr>
            <w:tcW w:w="2268" w:type="dxa"/>
          </w:tcPr>
          <w:p w14:paraId="319695CB" w14:textId="77777777" w:rsidR="00D32348" w:rsidRPr="008F4601" w:rsidRDefault="32564F7D" w:rsidP="00721C21">
            <w:pPr>
              <w:pStyle w:val="Tabletext"/>
              <w:rPr>
                <w:sz w:val="20"/>
              </w:rPr>
            </w:pPr>
            <w:r w:rsidRPr="008F4601">
              <w:rPr>
                <w:sz w:val="20"/>
              </w:rPr>
              <w:t>Acquisition of premises, furniture and equipment</w:t>
            </w:r>
          </w:p>
        </w:tc>
        <w:tc>
          <w:tcPr>
            <w:tcW w:w="6058" w:type="dxa"/>
          </w:tcPr>
          <w:p w14:paraId="78FD4850" w14:textId="787603AD" w:rsidR="00D32348" w:rsidRPr="008F4601" w:rsidRDefault="32564F7D" w:rsidP="00721C21">
            <w:pPr>
              <w:pStyle w:val="Tabletext"/>
              <w:rPr>
                <w:sz w:val="20"/>
              </w:rPr>
            </w:pPr>
            <w:r w:rsidRPr="008F4601">
              <w:rPr>
                <w:sz w:val="20"/>
              </w:rPr>
              <w:t>Covers items of a capital nature, including instalments for the purchase of the Union’s buildings and other premises, and the purchase of furniture, computer</w:t>
            </w:r>
            <w:r w:rsidR="00ED4228">
              <w:rPr>
                <w:sz w:val="20"/>
              </w:rPr>
              <w:t>s</w:t>
            </w:r>
            <w:r w:rsidRPr="008F4601">
              <w:rPr>
                <w:sz w:val="20"/>
              </w:rPr>
              <w:t xml:space="preserve"> and other technical equipment and installations.</w:t>
            </w:r>
          </w:p>
        </w:tc>
      </w:tr>
      <w:tr w:rsidR="00D32348" w:rsidRPr="008F4601" w14:paraId="0C752014" w14:textId="77777777" w:rsidTr="008F4601">
        <w:trPr>
          <w:cantSplit/>
          <w:jc w:val="center"/>
        </w:trPr>
        <w:tc>
          <w:tcPr>
            <w:tcW w:w="1413" w:type="dxa"/>
          </w:tcPr>
          <w:p w14:paraId="5A51BAF8" w14:textId="77777777" w:rsidR="00D32348" w:rsidRPr="008F4601" w:rsidRDefault="32564F7D" w:rsidP="00721C21">
            <w:pPr>
              <w:pStyle w:val="Tabletext"/>
              <w:rPr>
                <w:sz w:val="20"/>
              </w:rPr>
            </w:pPr>
            <w:r w:rsidRPr="008F4601">
              <w:rPr>
                <w:sz w:val="20"/>
              </w:rPr>
              <w:t>Category 8</w:t>
            </w:r>
          </w:p>
        </w:tc>
        <w:tc>
          <w:tcPr>
            <w:tcW w:w="2268" w:type="dxa"/>
          </w:tcPr>
          <w:p w14:paraId="0C7E9A5B" w14:textId="77777777" w:rsidR="00D32348" w:rsidRPr="008F4601" w:rsidRDefault="32564F7D" w:rsidP="00721C21">
            <w:pPr>
              <w:pStyle w:val="Tabletext"/>
              <w:rPr>
                <w:sz w:val="20"/>
              </w:rPr>
            </w:pPr>
            <w:r w:rsidRPr="008F4601">
              <w:rPr>
                <w:sz w:val="20"/>
              </w:rPr>
              <w:t>Public and internal service utilities</w:t>
            </w:r>
          </w:p>
        </w:tc>
        <w:tc>
          <w:tcPr>
            <w:tcW w:w="6058" w:type="dxa"/>
          </w:tcPr>
          <w:p w14:paraId="6FF45BDD" w14:textId="77777777" w:rsidR="00D32348" w:rsidRPr="008F4601" w:rsidRDefault="32564F7D" w:rsidP="00721C21">
            <w:pPr>
              <w:pStyle w:val="Tabletext"/>
              <w:rPr>
                <w:sz w:val="20"/>
              </w:rPr>
            </w:pPr>
            <w:r w:rsidRPr="008F4601">
              <w:rPr>
                <w:sz w:val="20"/>
              </w:rPr>
              <w:t>Covers official services such as electricity, gas, water, postal, telephone and telegraph services, heating and building servicing.</w:t>
            </w:r>
          </w:p>
        </w:tc>
      </w:tr>
      <w:tr w:rsidR="00D32348" w:rsidRPr="008F4601" w14:paraId="74F525B2" w14:textId="77777777" w:rsidTr="008F4601">
        <w:trPr>
          <w:cantSplit/>
          <w:jc w:val="center"/>
        </w:trPr>
        <w:tc>
          <w:tcPr>
            <w:tcW w:w="1413" w:type="dxa"/>
          </w:tcPr>
          <w:p w14:paraId="045C5D3C" w14:textId="77777777" w:rsidR="00D32348" w:rsidRPr="008F4601" w:rsidRDefault="32564F7D" w:rsidP="00721C21">
            <w:pPr>
              <w:pStyle w:val="Tabletext"/>
              <w:rPr>
                <w:sz w:val="20"/>
              </w:rPr>
            </w:pPr>
            <w:r w:rsidRPr="008F4601">
              <w:rPr>
                <w:sz w:val="20"/>
              </w:rPr>
              <w:t>Category 9</w:t>
            </w:r>
          </w:p>
        </w:tc>
        <w:tc>
          <w:tcPr>
            <w:tcW w:w="2268" w:type="dxa"/>
          </w:tcPr>
          <w:p w14:paraId="66718296" w14:textId="77777777" w:rsidR="00D32348" w:rsidRPr="008F4601" w:rsidRDefault="32564F7D" w:rsidP="00721C21">
            <w:pPr>
              <w:pStyle w:val="Tabletext"/>
              <w:rPr>
                <w:sz w:val="20"/>
              </w:rPr>
            </w:pPr>
            <w:r w:rsidRPr="008F4601">
              <w:rPr>
                <w:sz w:val="20"/>
              </w:rPr>
              <w:t>Audit and inter-agency fees and miscellaneous</w:t>
            </w:r>
          </w:p>
        </w:tc>
        <w:tc>
          <w:tcPr>
            <w:tcW w:w="6058" w:type="dxa"/>
          </w:tcPr>
          <w:p w14:paraId="2BABB2BF" w14:textId="77777777" w:rsidR="00D32348" w:rsidRPr="008F4601" w:rsidRDefault="32564F7D" w:rsidP="00721C21">
            <w:pPr>
              <w:pStyle w:val="Tabletext"/>
              <w:rPr>
                <w:sz w:val="20"/>
              </w:rPr>
            </w:pPr>
            <w:r w:rsidRPr="008F4601">
              <w:rPr>
                <w:sz w:val="20"/>
              </w:rPr>
              <w:t>Covers the statutory annual external audit of the Union’s accounts and ITU’s participation in UN inter-agency boards and services, including bodies such as the Joint Inspection Unit, the High-Level Committee on Management and the Inter-organization Board for Information Systems. It also covers miscellaneous expenses that are foreseen but cannot reasonably be classified under the other categories, including representation and hospitality expenses.</w:t>
            </w:r>
          </w:p>
        </w:tc>
      </w:tr>
    </w:tbl>
    <w:p w14:paraId="743F1E8B" w14:textId="61E6F648" w:rsidR="003D3C48" w:rsidRDefault="003D3C48">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br w:type="page"/>
      </w:r>
    </w:p>
    <w:p w14:paraId="74832249" w14:textId="3428B182" w:rsidR="003D3C48" w:rsidRDefault="003D3C48" w:rsidP="008F4601">
      <w:pPr>
        <w:pStyle w:val="AnnexNo"/>
      </w:pPr>
      <w:bookmarkStart w:id="14" w:name="Annex3"/>
      <w:bookmarkEnd w:id="14"/>
      <w:r>
        <w:lastRenderedPageBreak/>
        <w:t xml:space="preserve">Annex </w:t>
      </w:r>
      <w:r w:rsidR="2B536E02">
        <w:t>3</w:t>
      </w:r>
    </w:p>
    <w:p w14:paraId="2A6933BF" w14:textId="77777777" w:rsidR="003D3C48" w:rsidRDefault="003D3C48" w:rsidP="003D3C48">
      <w:pPr>
        <w:pStyle w:val="Annexref"/>
      </w:pPr>
    </w:p>
    <w:p w14:paraId="1198E3FF" w14:textId="539E69D5" w:rsidR="00B565B1" w:rsidRDefault="4E5E17CD" w:rsidP="00B313D5">
      <w:pPr>
        <w:pStyle w:val="Tabletitle"/>
      </w:pPr>
      <w:r>
        <w:t>Annual salary estimates by staff grade and country</w:t>
      </w:r>
      <w:r w:rsidR="025E57F8">
        <w:t xml:space="preserve"> (CHF)</w:t>
      </w:r>
    </w:p>
    <w:tbl>
      <w:tblPr>
        <w:tblStyle w:val="TableGrid"/>
        <w:tblW w:w="2972" w:type="dxa"/>
        <w:jc w:val="center"/>
        <w:tblLayout w:type="fixed"/>
        <w:tblLook w:val="04A0" w:firstRow="1" w:lastRow="0" w:firstColumn="1" w:lastColumn="0" w:noHBand="0" w:noVBand="1"/>
      </w:tblPr>
      <w:tblGrid>
        <w:gridCol w:w="1129"/>
        <w:gridCol w:w="1843"/>
      </w:tblGrid>
      <w:tr w:rsidR="00394FFA" w:rsidRPr="00C51F21" w14:paraId="238A50B9" w14:textId="77777777" w:rsidTr="5C0064B9">
        <w:trPr>
          <w:cantSplit/>
          <w:jc w:val="center"/>
        </w:trPr>
        <w:tc>
          <w:tcPr>
            <w:tcW w:w="1129" w:type="dxa"/>
          </w:tcPr>
          <w:p w14:paraId="0C52140B" w14:textId="77777777" w:rsidR="00394FFA" w:rsidRPr="00C51F21" w:rsidRDefault="49FC6093" w:rsidP="00721C21">
            <w:pPr>
              <w:pStyle w:val="Tablehead"/>
              <w:rPr>
                <w:sz w:val="24"/>
              </w:rPr>
            </w:pPr>
            <w:r w:rsidRPr="00C51F21">
              <w:t>Staff</w:t>
            </w:r>
          </w:p>
        </w:tc>
        <w:tc>
          <w:tcPr>
            <w:tcW w:w="1843" w:type="dxa"/>
          </w:tcPr>
          <w:p w14:paraId="43D7ADBB" w14:textId="77777777" w:rsidR="00394FFA" w:rsidRPr="00C51F21" w:rsidRDefault="49FC6093" w:rsidP="00721C21">
            <w:pPr>
              <w:pStyle w:val="Tablehead"/>
              <w:rPr>
                <w:sz w:val="24"/>
              </w:rPr>
            </w:pPr>
            <w:r w:rsidRPr="00C51F21">
              <w:t>Fiji</w:t>
            </w:r>
          </w:p>
        </w:tc>
      </w:tr>
      <w:tr w:rsidR="00BF1219" w:rsidRPr="00B03DDD" w14:paraId="045EE2F8" w14:textId="77777777" w:rsidTr="5C0064B9">
        <w:trPr>
          <w:cantSplit/>
          <w:jc w:val="center"/>
        </w:trPr>
        <w:tc>
          <w:tcPr>
            <w:tcW w:w="1129" w:type="dxa"/>
          </w:tcPr>
          <w:p w14:paraId="0C479A95" w14:textId="77777777" w:rsidR="00BF1219" w:rsidRPr="00516A95" w:rsidRDefault="3BF1AA9B" w:rsidP="008F4601">
            <w:pPr>
              <w:pStyle w:val="Tabletext"/>
              <w:jc w:val="center"/>
              <w:rPr>
                <w:sz w:val="24"/>
              </w:rPr>
            </w:pPr>
            <w:r>
              <w:t>P5</w:t>
            </w:r>
          </w:p>
        </w:tc>
        <w:tc>
          <w:tcPr>
            <w:tcW w:w="1843" w:type="dxa"/>
          </w:tcPr>
          <w:p w14:paraId="320203A5" w14:textId="317C711E" w:rsidR="00BF1219" w:rsidRPr="00516A95" w:rsidRDefault="3BF1AA9B" w:rsidP="008F4601">
            <w:pPr>
              <w:pStyle w:val="Tabletext"/>
              <w:jc w:val="right"/>
              <w:rPr>
                <w:sz w:val="24"/>
              </w:rPr>
            </w:pPr>
            <w:r w:rsidRPr="17ED7D2A">
              <w:t>193</w:t>
            </w:r>
            <w:r w:rsidR="00C51F21">
              <w:t> </w:t>
            </w:r>
            <w:r w:rsidRPr="17ED7D2A">
              <w:t>206</w:t>
            </w:r>
          </w:p>
        </w:tc>
      </w:tr>
      <w:tr w:rsidR="00BF1219" w:rsidRPr="00B03DDD" w14:paraId="15A89D55" w14:textId="77777777" w:rsidTr="5C0064B9">
        <w:trPr>
          <w:cantSplit/>
          <w:jc w:val="center"/>
        </w:trPr>
        <w:tc>
          <w:tcPr>
            <w:tcW w:w="1129" w:type="dxa"/>
          </w:tcPr>
          <w:p w14:paraId="7DD1D083" w14:textId="77777777" w:rsidR="00BF1219" w:rsidRPr="00516A95" w:rsidRDefault="3BF1AA9B" w:rsidP="008F4601">
            <w:pPr>
              <w:pStyle w:val="Tabletext"/>
              <w:jc w:val="center"/>
              <w:rPr>
                <w:sz w:val="24"/>
              </w:rPr>
            </w:pPr>
            <w:r>
              <w:t>P3</w:t>
            </w:r>
          </w:p>
        </w:tc>
        <w:tc>
          <w:tcPr>
            <w:tcW w:w="1843" w:type="dxa"/>
          </w:tcPr>
          <w:p w14:paraId="75393E74" w14:textId="0F6A21DD" w:rsidR="00BF1219" w:rsidRPr="00516A95" w:rsidRDefault="3BF1AA9B" w:rsidP="008F4601">
            <w:pPr>
              <w:pStyle w:val="Tabletext"/>
              <w:jc w:val="right"/>
              <w:rPr>
                <w:sz w:val="24"/>
              </w:rPr>
            </w:pPr>
            <w:r w:rsidRPr="17ED7D2A">
              <w:t>140</w:t>
            </w:r>
            <w:r w:rsidR="00C51F21">
              <w:t> </w:t>
            </w:r>
            <w:r w:rsidRPr="17ED7D2A">
              <w:t>937</w:t>
            </w:r>
          </w:p>
        </w:tc>
      </w:tr>
      <w:tr w:rsidR="00BF1219" w:rsidRPr="00B03DDD" w14:paraId="258BCD57" w14:textId="77777777" w:rsidTr="5C0064B9">
        <w:trPr>
          <w:cantSplit/>
          <w:jc w:val="center"/>
        </w:trPr>
        <w:tc>
          <w:tcPr>
            <w:tcW w:w="1129" w:type="dxa"/>
          </w:tcPr>
          <w:p w14:paraId="369CD0F2" w14:textId="77777777" w:rsidR="00BF1219" w:rsidRPr="00516A95" w:rsidRDefault="3BF1AA9B" w:rsidP="008F4601">
            <w:pPr>
              <w:pStyle w:val="Tabletext"/>
              <w:jc w:val="center"/>
              <w:rPr>
                <w:sz w:val="24"/>
              </w:rPr>
            </w:pPr>
            <w:r>
              <w:t>G5</w:t>
            </w:r>
          </w:p>
        </w:tc>
        <w:tc>
          <w:tcPr>
            <w:tcW w:w="1843" w:type="dxa"/>
          </w:tcPr>
          <w:p w14:paraId="39089780" w14:textId="56263976" w:rsidR="00BF1219" w:rsidRPr="00516A95" w:rsidRDefault="3BF1AA9B" w:rsidP="008F4601">
            <w:pPr>
              <w:pStyle w:val="Tabletext"/>
              <w:jc w:val="right"/>
              <w:rPr>
                <w:sz w:val="24"/>
              </w:rPr>
            </w:pPr>
            <w:r w:rsidRPr="17ED7D2A">
              <w:t>46</w:t>
            </w:r>
            <w:r w:rsidR="00C51F21">
              <w:t> </w:t>
            </w:r>
            <w:r w:rsidRPr="17ED7D2A">
              <w:t>934</w:t>
            </w:r>
          </w:p>
        </w:tc>
      </w:tr>
    </w:tbl>
    <w:p w14:paraId="5E3C64E9" w14:textId="5F8EE168" w:rsidR="00B86D8E" w:rsidRPr="00B86D8E" w:rsidRDefault="00B86D8E" w:rsidP="00721C21">
      <w:pPr>
        <w:pStyle w:val="Tablefin"/>
      </w:pPr>
    </w:p>
    <w:p w14:paraId="1E20D560" w14:textId="6F26FC87" w:rsidR="000C4025" w:rsidRPr="00516A95" w:rsidRDefault="1F9D1831" w:rsidP="00B313D5">
      <w:pPr>
        <w:pStyle w:val="Tabletitle"/>
      </w:pPr>
      <w:r>
        <w:t xml:space="preserve">Non-staff salary total budget estimates for PIFS premises </w:t>
      </w:r>
      <w:r w:rsidR="1A112041">
        <w:br/>
      </w:r>
      <w:r>
        <w:t>(</w:t>
      </w:r>
      <w:r w:rsidR="66BB2C9B">
        <w:t xml:space="preserve">all </w:t>
      </w:r>
      <w:r>
        <w:t>3 staff)</w:t>
      </w:r>
    </w:p>
    <w:tbl>
      <w:tblPr>
        <w:tblStyle w:val="TableGrid"/>
        <w:tblW w:w="9634" w:type="dxa"/>
        <w:jc w:val="center"/>
        <w:tblLayout w:type="fixed"/>
        <w:tblCellMar>
          <w:left w:w="28" w:type="dxa"/>
          <w:right w:w="28" w:type="dxa"/>
        </w:tblCellMar>
        <w:tblLook w:val="04A0" w:firstRow="1" w:lastRow="0" w:firstColumn="1" w:lastColumn="0" w:noHBand="0" w:noVBand="1"/>
      </w:tblPr>
      <w:tblGrid>
        <w:gridCol w:w="824"/>
        <w:gridCol w:w="2087"/>
        <w:gridCol w:w="1364"/>
        <w:gridCol w:w="1300"/>
        <w:gridCol w:w="1372"/>
        <w:gridCol w:w="1266"/>
        <w:gridCol w:w="1421"/>
      </w:tblGrid>
      <w:tr w:rsidR="009C5C67" w:rsidRPr="008F4601" w14:paraId="03716988" w14:textId="77777777" w:rsidTr="00ED4EC0">
        <w:trPr>
          <w:cantSplit/>
          <w:jc w:val="center"/>
        </w:trPr>
        <w:tc>
          <w:tcPr>
            <w:tcW w:w="824" w:type="dxa"/>
            <w:hideMark/>
          </w:tcPr>
          <w:p w14:paraId="7CFC051F" w14:textId="486857BF" w:rsidR="009C5C67" w:rsidRPr="008F4601" w:rsidRDefault="182F406F" w:rsidP="00721C21">
            <w:pPr>
              <w:pStyle w:val="Tablehead"/>
              <w:rPr>
                <w:sz w:val="20"/>
              </w:rPr>
            </w:pPr>
            <w:r w:rsidRPr="008F4601">
              <w:rPr>
                <w:sz w:val="20"/>
              </w:rPr>
              <w:t>Category</w:t>
            </w:r>
            <w:r w:rsidR="2FC53093" w:rsidRPr="008F4601">
              <w:rPr>
                <w:sz w:val="20"/>
              </w:rPr>
              <w:t xml:space="preserve"> </w:t>
            </w:r>
          </w:p>
        </w:tc>
        <w:tc>
          <w:tcPr>
            <w:tcW w:w="2087" w:type="dxa"/>
            <w:noWrap/>
            <w:hideMark/>
          </w:tcPr>
          <w:p w14:paraId="6B5D72A4" w14:textId="3D344EA1" w:rsidR="009C5C67" w:rsidRPr="008F4601" w:rsidRDefault="5D5E12AD" w:rsidP="00721C21">
            <w:pPr>
              <w:pStyle w:val="Tablehead"/>
              <w:rPr>
                <w:sz w:val="20"/>
              </w:rPr>
            </w:pPr>
            <w:r w:rsidRPr="008F4601">
              <w:rPr>
                <w:sz w:val="20"/>
              </w:rPr>
              <w:t>Budget heads</w:t>
            </w:r>
          </w:p>
        </w:tc>
        <w:tc>
          <w:tcPr>
            <w:tcW w:w="1364" w:type="dxa"/>
            <w:noWrap/>
            <w:hideMark/>
          </w:tcPr>
          <w:p w14:paraId="7B03EB7F" w14:textId="662BED3A" w:rsidR="009C5C67" w:rsidRPr="008F4601" w:rsidRDefault="026122D1" w:rsidP="00721C21">
            <w:pPr>
              <w:pStyle w:val="Tablehead"/>
              <w:rPr>
                <w:sz w:val="20"/>
              </w:rPr>
            </w:pPr>
            <w:r w:rsidRPr="008F4601">
              <w:rPr>
                <w:sz w:val="20"/>
              </w:rPr>
              <w:t xml:space="preserve">Year 1 </w:t>
            </w:r>
            <w:r w:rsidR="00423068" w:rsidRPr="008F4601">
              <w:rPr>
                <w:sz w:val="20"/>
              </w:rPr>
              <w:t xml:space="preserve">budget </w:t>
            </w:r>
            <w:r w:rsidR="00423068" w:rsidRPr="008F4601">
              <w:rPr>
                <w:sz w:val="20"/>
              </w:rPr>
              <w:br/>
            </w:r>
            <w:r w:rsidR="2FC53093" w:rsidRPr="008F4601">
              <w:rPr>
                <w:sz w:val="20"/>
              </w:rPr>
              <w:t>(CHF)</w:t>
            </w:r>
          </w:p>
        </w:tc>
        <w:tc>
          <w:tcPr>
            <w:tcW w:w="1300" w:type="dxa"/>
            <w:noWrap/>
            <w:hideMark/>
          </w:tcPr>
          <w:p w14:paraId="606E52F5" w14:textId="19600735" w:rsidR="009C5C67" w:rsidRPr="008F4601" w:rsidRDefault="7413F037" w:rsidP="00721C21">
            <w:pPr>
              <w:pStyle w:val="Tablehead"/>
              <w:rPr>
                <w:sz w:val="20"/>
              </w:rPr>
            </w:pPr>
            <w:r w:rsidRPr="008F4601">
              <w:rPr>
                <w:sz w:val="20"/>
              </w:rPr>
              <w:t xml:space="preserve">Year </w:t>
            </w:r>
            <w:r w:rsidR="0786C720" w:rsidRPr="008F4601">
              <w:rPr>
                <w:sz w:val="20"/>
              </w:rPr>
              <w:t xml:space="preserve">2 </w:t>
            </w:r>
            <w:r w:rsidR="00423068" w:rsidRPr="008F4601">
              <w:rPr>
                <w:sz w:val="20"/>
              </w:rPr>
              <w:t xml:space="preserve">budget </w:t>
            </w:r>
            <w:r w:rsidR="00423068" w:rsidRPr="008F4601">
              <w:rPr>
                <w:sz w:val="20"/>
              </w:rPr>
              <w:br/>
            </w:r>
            <w:r w:rsidR="0786C720" w:rsidRPr="008F4601">
              <w:rPr>
                <w:sz w:val="20"/>
              </w:rPr>
              <w:t>(CHF)</w:t>
            </w:r>
          </w:p>
        </w:tc>
        <w:tc>
          <w:tcPr>
            <w:tcW w:w="1372" w:type="dxa"/>
          </w:tcPr>
          <w:p w14:paraId="10EFD028" w14:textId="0634F800" w:rsidR="7B999418" w:rsidRPr="008F4601" w:rsidRDefault="7B999418" w:rsidP="00721C21">
            <w:pPr>
              <w:pStyle w:val="Tablehead"/>
              <w:rPr>
                <w:sz w:val="20"/>
              </w:rPr>
            </w:pPr>
            <w:r w:rsidRPr="008F4601">
              <w:rPr>
                <w:sz w:val="20"/>
              </w:rPr>
              <w:t>Year 3 budget (CHF)</w:t>
            </w:r>
          </w:p>
        </w:tc>
        <w:tc>
          <w:tcPr>
            <w:tcW w:w="1266" w:type="dxa"/>
          </w:tcPr>
          <w:p w14:paraId="3525A6C6" w14:textId="1E7F0025" w:rsidR="7B999418" w:rsidRPr="008F4601" w:rsidRDefault="7B999418" w:rsidP="00721C21">
            <w:pPr>
              <w:pStyle w:val="Tablehead"/>
              <w:rPr>
                <w:sz w:val="20"/>
              </w:rPr>
            </w:pPr>
            <w:r w:rsidRPr="008F4601">
              <w:rPr>
                <w:sz w:val="20"/>
              </w:rPr>
              <w:t>Year 4 budget (CHF)</w:t>
            </w:r>
          </w:p>
        </w:tc>
        <w:tc>
          <w:tcPr>
            <w:tcW w:w="1421" w:type="dxa"/>
          </w:tcPr>
          <w:p w14:paraId="35986AC3" w14:textId="6BD60446" w:rsidR="7B999418" w:rsidRPr="008F4601" w:rsidRDefault="7B999418" w:rsidP="00721C21">
            <w:pPr>
              <w:pStyle w:val="Tablehead"/>
              <w:rPr>
                <w:sz w:val="20"/>
              </w:rPr>
            </w:pPr>
            <w:r w:rsidRPr="008F4601">
              <w:rPr>
                <w:sz w:val="20"/>
              </w:rPr>
              <w:t>Total for 4 years (CHF)</w:t>
            </w:r>
          </w:p>
        </w:tc>
      </w:tr>
      <w:tr w:rsidR="000472DB" w:rsidRPr="00937C14" w14:paraId="6DB58DE5" w14:textId="77777777" w:rsidTr="00ED4EC0">
        <w:trPr>
          <w:cantSplit/>
          <w:jc w:val="center"/>
        </w:trPr>
        <w:tc>
          <w:tcPr>
            <w:tcW w:w="824" w:type="dxa"/>
          </w:tcPr>
          <w:p w14:paraId="43A4A8A6" w14:textId="71C8E0D5" w:rsidR="000472DB" w:rsidRPr="00937C14" w:rsidRDefault="5278BA16" w:rsidP="00664077">
            <w:pPr>
              <w:pStyle w:val="Tabletext"/>
              <w:jc w:val="center"/>
              <w:rPr>
                <w:sz w:val="20"/>
              </w:rPr>
            </w:pPr>
            <w:r w:rsidRPr="00937C14">
              <w:rPr>
                <w:sz w:val="20"/>
              </w:rPr>
              <w:t>Cat. 2</w:t>
            </w:r>
          </w:p>
        </w:tc>
        <w:tc>
          <w:tcPr>
            <w:tcW w:w="2087" w:type="dxa"/>
            <w:noWrap/>
          </w:tcPr>
          <w:p w14:paraId="1EE6BC14" w14:textId="31A57C7C" w:rsidR="000472DB" w:rsidRPr="00937C14" w:rsidRDefault="5278BA16" w:rsidP="00937C14">
            <w:pPr>
              <w:pStyle w:val="Tabletext"/>
              <w:rPr>
                <w:sz w:val="20"/>
              </w:rPr>
            </w:pPr>
            <w:r w:rsidRPr="00937C14">
              <w:rPr>
                <w:sz w:val="20"/>
              </w:rPr>
              <w:t>Educational Grant</w:t>
            </w:r>
          </w:p>
        </w:tc>
        <w:tc>
          <w:tcPr>
            <w:tcW w:w="1364" w:type="dxa"/>
            <w:noWrap/>
          </w:tcPr>
          <w:p w14:paraId="14CA0197" w14:textId="0D678CB6" w:rsidR="000472DB" w:rsidRPr="00937C14" w:rsidRDefault="460D446C" w:rsidP="00937C14">
            <w:pPr>
              <w:pStyle w:val="Tabletext"/>
              <w:jc w:val="right"/>
              <w:rPr>
                <w:sz w:val="20"/>
              </w:rPr>
            </w:pPr>
            <w:r w:rsidRPr="00937C14">
              <w:rPr>
                <w:sz w:val="20"/>
              </w:rPr>
              <w:t>30</w:t>
            </w:r>
            <w:r w:rsidR="5278BA16" w:rsidRPr="00937C14">
              <w:rPr>
                <w:sz w:val="20"/>
              </w:rPr>
              <w:t xml:space="preserve"> 000</w:t>
            </w:r>
          </w:p>
        </w:tc>
        <w:tc>
          <w:tcPr>
            <w:tcW w:w="1300" w:type="dxa"/>
            <w:noWrap/>
          </w:tcPr>
          <w:p w14:paraId="24ABCBC8" w14:textId="588DE613" w:rsidR="000472DB" w:rsidRPr="00937C14" w:rsidRDefault="59E89493" w:rsidP="00937C14">
            <w:pPr>
              <w:pStyle w:val="Tabletext"/>
              <w:jc w:val="right"/>
              <w:rPr>
                <w:sz w:val="20"/>
              </w:rPr>
            </w:pPr>
            <w:r w:rsidRPr="00937C14">
              <w:rPr>
                <w:sz w:val="20"/>
              </w:rPr>
              <w:t>30</w:t>
            </w:r>
            <w:r w:rsidR="5278BA16" w:rsidRPr="00937C14">
              <w:rPr>
                <w:sz w:val="20"/>
              </w:rPr>
              <w:t xml:space="preserve"> 000</w:t>
            </w:r>
          </w:p>
        </w:tc>
        <w:tc>
          <w:tcPr>
            <w:tcW w:w="1372" w:type="dxa"/>
          </w:tcPr>
          <w:p w14:paraId="62CC502E" w14:textId="411656E6" w:rsidR="6A9B0767" w:rsidRPr="00937C14" w:rsidRDefault="6A9B0767" w:rsidP="00937C14">
            <w:pPr>
              <w:pStyle w:val="Tabletext"/>
              <w:jc w:val="right"/>
              <w:rPr>
                <w:sz w:val="20"/>
              </w:rPr>
            </w:pPr>
            <w:r w:rsidRPr="00937C14">
              <w:rPr>
                <w:sz w:val="20"/>
              </w:rPr>
              <w:t>30 000</w:t>
            </w:r>
          </w:p>
        </w:tc>
        <w:tc>
          <w:tcPr>
            <w:tcW w:w="1266" w:type="dxa"/>
          </w:tcPr>
          <w:p w14:paraId="61DC6DDA" w14:textId="1CA8E3A4" w:rsidR="6A9B0767" w:rsidRPr="00937C14" w:rsidRDefault="6A9B0767" w:rsidP="00937C14">
            <w:pPr>
              <w:pStyle w:val="Tabletext"/>
              <w:jc w:val="right"/>
              <w:rPr>
                <w:sz w:val="20"/>
              </w:rPr>
            </w:pPr>
            <w:r w:rsidRPr="00937C14">
              <w:rPr>
                <w:sz w:val="20"/>
              </w:rPr>
              <w:t>30 000</w:t>
            </w:r>
          </w:p>
        </w:tc>
        <w:tc>
          <w:tcPr>
            <w:tcW w:w="1421" w:type="dxa"/>
          </w:tcPr>
          <w:p w14:paraId="2E544690" w14:textId="4B8577E5" w:rsidR="6A9B0767" w:rsidRPr="00937C14" w:rsidRDefault="6A9B0767" w:rsidP="00937C14">
            <w:pPr>
              <w:pStyle w:val="Tabletext"/>
              <w:jc w:val="right"/>
              <w:rPr>
                <w:sz w:val="20"/>
              </w:rPr>
            </w:pPr>
            <w:r w:rsidRPr="00937C14">
              <w:rPr>
                <w:sz w:val="20"/>
              </w:rPr>
              <w:t>120 000</w:t>
            </w:r>
          </w:p>
        </w:tc>
      </w:tr>
      <w:tr w:rsidR="006242B0" w:rsidRPr="00937C14" w14:paraId="1BCEC97E" w14:textId="77777777" w:rsidTr="00ED4EC0">
        <w:trPr>
          <w:cantSplit/>
          <w:jc w:val="center"/>
        </w:trPr>
        <w:tc>
          <w:tcPr>
            <w:tcW w:w="824" w:type="dxa"/>
          </w:tcPr>
          <w:p w14:paraId="04DAADCF" w14:textId="63A32C17" w:rsidR="006242B0" w:rsidRPr="00937C14" w:rsidRDefault="006242B0" w:rsidP="00664077">
            <w:pPr>
              <w:pStyle w:val="Tabletext"/>
              <w:jc w:val="center"/>
              <w:rPr>
                <w:sz w:val="20"/>
              </w:rPr>
            </w:pPr>
            <w:r w:rsidRPr="00937C14">
              <w:rPr>
                <w:sz w:val="20"/>
                <w:lang w:eastAsia="en-IN"/>
              </w:rPr>
              <w:t>Cat. 2</w:t>
            </w:r>
          </w:p>
        </w:tc>
        <w:tc>
          <w:tcPr>
            <w:tcW w:w="2087" w:type="dxa"/>
            <w:noWrap/>
          </w:tcPr>
          <w:p w14:paraId="544A8D7A" w14:textId="70041C0E" w:rsidR="006242B0" w:rsidRPr="00937C14" w:rsidRDefault="006242B0" w:rsidP="00937C14">
            <w:pPr>
              <w:pStyle w:val="Tabletext"/>
              <w:rPr>
                <w:sz w:val="20"/>
              </w:rPr>
            </w:pPr>
            <w:r w:rsidRPr="00937C14">
              <w:rPr>
                <w:sz w:val="20"/>
                <w:lang w:eastAsia="en-IN"/>
              </w:rPr>
              <w:t>Home Leave Entitlements</w:t>
            </w:r>
          </w:p>
        </w:tc>
        <w:tc>
          <w:tcPr>
            <w:tcW w:w="1364" w:type="dxa"/>
            <w:noWrap/>
          </w:tcPr>
          <w:p w14:paraId="4B2272C3" w14:textId="3DF7E414" w:rsidR="006242B0" w:rsidRPr="00937C14" w:rsidRDefault="0051008C" w:rsidP="00937C14">
            <w:pPr>
              <w:pStyle w:val="Tabletext"/>
              <w:jc w:val="right"/>
              <w:rPr>
                <w:sz w:val="20"/>
              </w:rPr>
            </w:pPr>
            <w:r w:rsidRPr="00937C14">
              <w:rPr>
                <w:sz w:val="20"/>
              </w:rPr>
              <w:t>0</w:t>
            </w:r>
          </w:p>
        </w:tc>
        <w:tc>
          <w:tcPr>
            <w:tcW w:w="1300" w:type="dxa"/>
            <w:noWrap/>
          </w:tcPr>
          <w:p w14:paraId="03997CD5" w14:textId="0E8726D6" w:rsidR="006242B0" w:rsidRPr="00937C14" w:rsidRDefault="0051008C" w:rsidP="00937C14">
            <w:pPr>
              <w:pStyle w:val="Tabletext"/>
              <w:jc w:val="right"/>
              <w:rPr>
                <w:sz w:val="20"/>
              </w:rPr>
            </w:pPr>
            <w:r w:rsidRPr="00937C14">
              <w:rPr>
                <w:sz w:val="20"/>
              </w:rPr>
              <w:t>0</w:t>
            </w:r>
          </w:p>
        </w:tc>
        <w:tc>
          <w:tcPr>
            <w:tcW w:w="1372" w:type="dxa"/>
          </w:tcPr>
          <w:p w14:paraId="3256B0A0" w14:textId="68B53759" w:rsidR="006242B0" w:rsidRPr="00937C14" w:rsidRDefault="006242B0" w:rsidP="00937C14">
            <w:pPr>
              <w:pStyle w:val="Tabletext"/>
              <w:jc w:val="right"/>
              <w:rPr>
                <w:sz w:val="20"/>
              </w:rPr>
            </w:pPr>
            <w:r w:rsidRPr="00937C14">
              <w:rPr>
                <w:sz w:val="20"/>
                <w:lang w:eastAsia="en-IN"/>
              </w:rPr>
              <w:t>50 000</w:t>
            </w:r>
          </w:p>
        </w:tc>
        <w:tc>
          <w:tcPr>
            <w:tcW w:w="1266" w:type="dxa"/>
          </w:tcPr>
          <w:p w14:paraId="42C2BB46" w14:textId="52AAFE96" w:rsidR="006242B0" w:rsidRPr="00937C14" w:rsidRDefault="0051008C" w:rsidP="00937C14">
            <w:pPr>
              <w:pStyle w:val="Tabletext"/>
              <w:jc w:val="right"/>
              <w:rPr>
                <w:sz w:val="20"/>
              </w:rPr>
            </w:pPr>
            <w:r w:rsidRPr="00937C14">
              <w:rPr>
                <w:sz w:val="20"/>
              </w:rPr>
              <w:t>0</w:t>
            </w:r>
          </w:p>
        </w:tc>
        <w:tc>
          <w:tcPr>
            <w:tcW w:w="1421" w:type="dxa"/>
          </w:tcPr>
          <w:p w14:paraId="43973B67" w14:textId="0B1951B0" w:rsidR="006242B0" w:rsidRPr="00937C14" w:rsidRDefault="006242B0" w:rsidP="00937C14">
            <w:pPr>
              <w:pStyle w:val="Tabletext"/>
              <w:jc w:val="right"/>
              <w:rPr>
                <w:sz w:val="20"/>
              </w:rPr>
            </w:pPr>
            <w:r w:rsidRPr="00937C14">
              <w:rPr>
                <w:sz w:val="20"/>
                <w:lang w:eastAsia="en-IN"/>
              </w:rPr>
              <w:t>50 000</w:t>
            </w:r>
          </w:p>
        </w:tc>
      </w:tr>
      <w:tr w:rsidR="009C5C67" w:rsidRPr="008F4601" w14:paraId="511EE8B6" w14:textId="77777777" w:rsidTr="00ED4EC0">
        <w:trPr>
          <w:cantSplit/>
          <w:jc w:val="center"/>
        </w:trPr>
        <w:tc>
          <w:tcPr>
            <w:tcW w:w="824" w:type="dxa"/>
            <w:noWrap/>
            <w:hideMark/>
          </w:tcPr>
          <w:p w14:paraId="30EA48CB" w14:textId="77777777" w:rsidR="009C5C67" w:rsidRPr="008F4601" w:rsidRDefault="2FC53093" w:rsidP="00664077">
            <w:pPr>
              <w:pStyle w:val="Tabletext"/>
              <w:jc w:val="center"/>
              <w:rPr>
                <w:color w:val="000000"/>
                <w:sz w:val="20"/>
                <w:lang w:eastAsia="en-IN"/>
              </w:rPr>
            </w:pPr>
            <w:r w:rsidRPr="008F4601">
              <w:rPr>
                <w:sz w:val="20"/>
                <w:lang w:eastAsia="en-IN"/>
              </w:rPr>
              <w:t>Cat. 3</w:t>
            </w:r>
          </w:p>
        </w:tc>
        <w:tc>
          <w:tcPr>
            <w:tcW w:w="2087" w:type="dxa"/>
            <w:noWrap/>
            <w:hideMark/>
          </w:tcPr>
          <w:p w14:paraId="26F76B0A" w14:textId="77777777" w:rsidR="009C5C67" w:rsidRPr="008F4601" w:rsidRDefault="4A430C2D" w:rsidP="00721C21">
            <w:pPr>
              <w:pStyle w:val="Tabletext"/>
              <w:rPr>
                <w:color w:val="000000"/>
                <w:sz w:val="20"/>
                <w:lang w:eastAsia="en-IN"/>
              </w:rPr>
            </w:pPr>
            <w:r w:rsidRPr="008F4601">
              <w:rPr>
                <w:sz w:val="20"/>
                <w:lang w:eastAsia="en-IN"/>
              </w:rPr>
              <w:t>Mission cost/ Travel on duty (to/ from HQ)</w:t>
            </w:r>
          </w:p>
        </w:tc>
        <w:tc>
          <w:tcPr>
            <w:tcW w:w="1364" w:type="dxa"/>
            <w:noWrap/>
            <w:hideMark/>
          </w:tcPr>
          <w:p w14:paraId="7CD2298F"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00" w:type="dxa"/>
            <w:noWrap/>
            <w:hideMark/>
          </w:tcPr>
          <w:p w14:paraId="2591455E"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3459A198" w14:textId="6E64BD54" w:rsidR="67C27119" w:rsidRPr="008F4601" w:rsidRDefault="67C27119" w:rsidP="00937C14">
            <w:pPr>
              <w:pStyle w:val="Tabletext"/>
              <w:jc w:val="right"/>
              <w:rPr>
                <w:sz w:val="20"/>
                <w:lang w:eastAsia="en-IN"/>
              </w:rPr>
            </w:pPr>
            <w:r w:rsidRPr="008F4601">
              <w:rPr>
                <w:sz w:val="20"/>
                <w:lang w:eastAsia="en-IN"/>
              </w:rPr>
              <w:t>0</w:t>
            </w:r>
          </w:p>
        </w:tc>
        <w:tc>
          <w:tcPr>
            <w:tcW w:w="1266" w:type="dxa"/>
          </w:tcPr>
          <w:p w14:paraId="71D858A2" w14:textId="747E7D8D" w:rsidR="67C27119" w:rsidRPr="008F4601" w:rsidRDefault="67C27119" w:rsidP="00937C14">
            <w:pPr>
              <w:pStyle w:val="Tabletext"/>
              <w:jc w:val="right"/>
              <w:rPr>
                <w:sz w:val="20"/>
                <w:lang w:eastAsia="en-IN"/>
              </w:rPr>
            </w:pPr>
            <w:r w:rsidRPr="008F4601">
              <w:rPr>
                <w:sz w:val="20"/>
                <w:lang w:eastAsia="en-IN"/>
              </w:rPr>
              <w:t>0</w:t>
            </w:r>
          </w:p>
        </w:tc>
        <w:tc>
          <w:tcPr>
            <w:tcW w:w="1421" w:type="dxa"/>
          </w:tcPr>
          <w:p w14:paraId="47F270BF" w14:textId="139CFB65" w:rsidR="4B937039" w:rsidRPr="008F4601" w:rsidRDefault="4B937039" w:rsidP="00937C14">
            <w:pPr>
              <w:jc w:val="right"/>
              <w:rPr>
                <w:rFonts w:asciiTheme="minorHAnsi" w:hAnsiTheme="minorHAnsi"/>
                <w:color w:val="000000" w:themeColor="text1"/>
                <w:sz w:val="20"/>
                <w:lang w:val="en-IN" w:eastAsia="en-IN"/>
              </w:rPr>
            </w:pPr>
            <w:r w:rsidRPr="008F4601">
              <w:rPr>
                <w:rFonts w:asciiTheme="minorHAnsi" w:hAnsiTheme="minorHAnsi"/>
                <w:color w:val="000000" w:themeColor="text1"/>
                <w:sz w:val="20"/>
                <w:lang w:val="en-IN" w:eastAsia="en-IN"/>
              </w:rPr>
              <w:t>0</w:t>
            </w:r>
          </w:p>
        </w:tc>
      </w:tr>
      <w:tr w:rsidR="009C5C67" w:rsidRPr="008F4601" w14:paraId="0352FD8B" w14:textId="77777777" w:rsidTr="00ED4EC0">
        <w:trPr>
          <w:cantSplit/>
          <w:jc w:val="center"/>
        </w:trPr>
        <w:tc>
          <w:tcPr>
            <w:tcW w:w="824" w:type="dxa"/>
            <w:noWrap/>
            <w:hideMark/>
          </w:tcPr>
          <w:p w14:paraId="29D2657C" w14:textId="77777777" w:rsidR="009C5C67" w:rsidRPr="008F4601" w:rsidRDefault="2FC53093" w:rsidP="00664077">
            <w:pPr>
              <w:pStyle w:val="Tabletext"/>
              <w:jc w:val="center"/>
              <w:rPr>
                <w:color w:val="000000"/>
                <w:sz w:val="20"/>
                <w:lang w:eastAsia="en-IN"/>
              </w:rPr>
            </w:pPr>
            <w:r w:rsidRPr="008F4601">
              <w:rPr>
                <w:sz w:val="20"/>
                <w:lang w:eastAsia="en-IN"/>
              </w:rPr>
              <w:t>Cat. 3</w:t>
            </w:r>
          </w:p>
        </w:tc>
        <w:tc>
          <w:tcPr>
            <w:tcW w:w="2087" w:type="dxa"/>
            <w:noWrap/>
            <w:hideMark/>
          </w:tcPr>
          <w:p w14:paraId="078C17F3" w14:textId="77777777" w:rsidR="009C5C67" w:rsidRPr="008F4601" w:rsidRDefault="2FC53093" w:rsidP="00721C21">
            <w:pPr>
              <w:pStyle w:val="Tabletext"/>
              <w:rPr>
                <w:color w:val="000000"/>
                <w:sz w:val="20"/>
                <w:lang w:eastAsia="en-IN"/>
              </w:rPr>
            </w:pPr>
            <w:r w:rsidRPr="008F4601">
              <w:rPr>
                <w:sz w:val="20"/>
                <w:lang w:eastAsia="en-IN"/>
              </w:rPr>
              <w:t>Travel on duty for Initial set up (to/ from HQ)</w:t>
            </w:r>
          </w:p>
        </w:tc>
        <w:tc>
          <w:tcPr>
            <w:tcW w:w="1364" w:type="dxa"/>
            <w:noWrap/>
            <w:hideMark/>
          </w:tcPr>
          <w:p w14:paraId="247F66D9" w14:textId="04C727F7" w:rsidR="009C5C67" w:rsidRPr="008F4601" w:rsidRDefault="2FC53093" w:rsidP="00937C14">
            <w:pPr>
              <w:pStyle w:val="Tabletext"/>
              <w:jc w:val="right"/>
              <w:rPr>
                <w:color w:val="FA7D00"/>
                <w:sz w:val="20"/>
                <w:lang w:eastAsia="en-IN"/>
              </w:rPr>
            </w:pPr>
            <w:r w:rsidRPr="008F4601">
              <w:rPr>
                <w:sz w:val="20"/>
                <w:lang w:eastAsia="en-IN"/>
              </w:rPr>
              <w:t>7</w:t>
            </w:r>
            <w:r w:rsidR="00423068" w:rsidRPr="008F4601">
              <w:rPr>
                <w:sz w:val="20"/>
                <w:lang w:eastAsia="en-IN"/>
              </w:rPr>
              <w:t> </w:t>
            </w:r>
            <w:r w:rsidRPr="008F4601">
              <w:rPr>
                <w:sz w:val="20"/>
                <w:lang w:eastAsia="en-IN"/>
              </w:rPr>
              <w:t>286</w:t>
            </w:r>
          </w:p>
        </w:tc>
        <w:tc>
          <w:tcPr>
            <w:tcW w:w="1300" w:type="dxa"/>
            <w:noWrap/>
            <w:hideMark/>
          </w:tcPr>
          <w:p w14:paraId="469954B2"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6F9E2316" w14:textId="4582F26D" w:rsidR="666462F4" w:rsidRPr="008F4601" w:rsidRDefault="666462F4" w:rsidP="00937C14">
            <w:pPr>
              <w:pStyle w:val="Tabletext"/>
              <w:jc w:val="right"/>
              <w:rPr>
                <w:sz w:val="20"/>
                <w:lang w:eastAsia="en-IN"/>
              </w:rPr>
            </w:pPr>
            <w:r w:rsidRPr="008F4601">
              <w:rPr>
                <w:sz w:val="20"/>
                <w:lang w:eastAsia="en-IN"/>
              </w:rPr>
              <w:t>0</w:t>
            </w:r>
          </w:p>
        </w:tc>
        <w:tc>
          <w:tcPr>
            <w:tcW w:w="1266" w:type="dxa"/>
          </w:tcPr>
          <w:p w14:paraId="149AD47A" w14:textId="4DAE1DA6" w:rsidR="666462F4" w:rsidRPr="008F4601" w:rsidRDefault="666462F4" w:rsidP="00937C14">
            <w:pPr>
              <w:pStyle w:val="Tabletext"/>
              <w:jc w:val="right"/>
              <w:rPr>
                <w:sz w:val="20"/>
                <w:lang w:eastAsia="en-IN"/>
              </w:rPr>
            </w:pPr>
            <w:r w:rsidRPr="008F4601">
              <w:rPr>
                <w:sz w:val="20"/>
                <w:lang w:eastAsia="en-IN"/>
              </w:rPr>
              <w:t>0</w:t>
            </w:r>
          </w:p>
        </w:tc>
        <w:tc>
          <w:tcPr>
            <w:tcW w:w="1421" w:type="dxa"/>
          </w:tcPr>
          <w:p w14:paraId="6F664F99" w14:textId="6067AE36" w:rsidR="666462F4" w:rsidRPr="008F4601" w:rsidRDefault="666462F4" w:rsidP="00937C14">
            <w:pPr>
              <w:pStyle w:val="Tabletext"/>
              <w:jc w:val="right"/>
              <w:rPr>
                <w:sz w:val="20"/>
                <w:lang w:eastAsia="en-IN"/>
              </w:rPr>
            </w:pPr>
            <w:r w:rsidRPr="008F4601">
              <w:rPr>
                <w:sz w:val="20"/>
                <w:lang w:eastAsia="en-IN"/>
              </w:rPr>
              <w:t>7 286</w:t>
            </w:r>
          </w:p>
        </w:tc>
      </w:tr>
      <w:tr w:rsidR="009C5C67" w:rsidRPr="008F4601" w14:paraId="22F7300D" w14:textId="77777777" w:rsidTr="00ED4EC0">
        <w:trPr>
          <w:cantSplit/>
          <w:jc w:val="center"/>
        </w:trPr>
        <w:tc>
          <w:tcPr>
            <w:tcW w:w="824" w:type="dxa"/>
            <w:noWrap/>
            <w:hideMark/>
          </w:tcPr>
          <w:p w14:paraId="21D57EE9" w14:textId="77777777" w:rsidR="009C5C67" w:rsidRPr="008F4601" w:rsidRDefault="2FC53093" w:rsidP="00664077">
            <w:pPr>
              <w:pStyle w:val="Tabletext"/>
              <w:jc w:val="center"/>
              <w:rPr>
                <w:color w:val="000000"/>
                <w:sz w:val="20"/>
                <w:lang w:eastAsia="en-IN"/>
              </w:rPr>
            </w:pPr>
            <w:r w:rsidRPr="008F4601">
              <w:rPr>
                <w:sz w:val="20"/>
                <w:lang w:eastAsia="en-IN"/>
              </w:rPr>
              <w:t>Cat. 4</w:t>
            </w:r>
          </w:p>
        </w:tc>
        <w:tc>
          <w:tcPr>
            <w:tcW w:w="2087" w:type="dxa"/>
            <w:noWrap/>
            <w:hideMark/>
          </w:tcPr>
          <w:p w14:paraId="16727A14" w14:textId="77777777" w:rsidR="009C5C67" w:rsidRPr="008F4601" w:rsidRDefault="2FC53093" w:rsidP="00721C21">
            <w:pPr>
              <w:pStyle w:val="Tabletext"/>
              <w:rPr>
                <w:color w:val="000000"/>
                <w:sz w:val="20"/>
                <w:lang w:eastAsia="en-IN"/>
              </w:rPr>
            </w:pPr>
            <w:r w:rsidRPr="008F4601">
              <w:rPr>
                <w:sz w:val="20"/>
                <w:lang w:eastAsia="en-IN"/>
              </w:rPr>
              <w:t>Contractual Services</w:t>
            </w:r>
          </w:p>
        </w:tc>
        <w:tc>
          <w:tcPr>
            <w:tcW w:w="1364" w:type="dxa"/>
            <w:noWrap/>
            <w:hideMark/>
          </w:tcPr>
          <w:p w14:paraId="40C21C0B"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00" w:type="dxa"/>
            <w:noWrap/>
            <w:hideMark/>
          </w:tcPr>
          <w:p w14:paraId="71BAB679"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0D09AD28" w14:textId="6CBF394D" w:rsidR="6C19BFA2" w:rsidRPr="008F4601" w:rsidRDefault="6C19BFA2" w:rsidP="00937C14">
            <w:pPr>
              <w:pStyle w:val="Tabletext"/>
              <w:jc w:val="right"/>
              <w:rPr>
                <w:sz w:val="20"/>
                <w:lang w:eastAsia="en-IN"/>
              </w:rPr>
            </w:pPr>
            <w:r w:rsidRPr="008F4601">
              <w:rPr>
                <w:sz w:val="20"/>
                <w:lang w:eastAsia="en-IN"/>
              </w:rPr>
              <w:t>0</w:t>
            </w:r>
          </w:p>
        </w:tc>
        <w:tc>
          <w:tcPr>
            <w:tcW w:w="1266" w:type="dxa"/>
          </w:tcPr>
          <w:p w14:paraId="341F3E14" w14:textId="26ED644C" w:rsidR="6C19BFA2" w:rsidRPr="008F4601" w:rsidRDefault="6C19BFA2" w:rsidP="00937C14">
            <w:pPr>
              <w:pStyle w:val="Tabletext"/>
              <w:jc w:val="right"/>
              <w:rPr>
                <w:sz w:val="20"/>
                <w:lang w:eastAsia="en-IN"/>
              </w:rPr>
            </w:pPr>
            <w:r w:rsidRPr="008F4601">
              <w:rPr>
                <w:sz w:val="20"/>
                <w:lang w:eastAsia="en-IN"/>
              </w:rPr>
              <w:t>0</w:t>
            </w:r>
          </w:p>
        </w:tc>
        <w:tc>
          <w:tcPr>
            <w:tcW w:w="1421" w:type="dxa"/>
          </w:tcPr>
          <w:p w14:paraId="283347E4" w14:textId="51336702" w:rsidR="6C19BFA2" w:rsidRPr="008F4601" w:rsidRDefault="6C19BFA2" w:rsidP="00937C14">
            <w:pPr>
              <w:pStyle w:val="Tabletext"/>
              <w:jc w:val="right"/>
              <w:rPr>
                <w:sz w:val="20"/>
                <w:lang w:eastAsia="en-IN"/>
              </w:rPr>
            </w:pPr>
            <w:r w:rsidRPr="008F4601">
              <w:rPr>
                <w:sz w:val="20"/>
                <w:lang w:eastAsia="en-IN"/>
              </w:rPr>
              <w:t>0</w:t>
            </w:r>
          </w:p>
        </w:tc>
      </w:tr>
      <w:tr w:rsidR="009C5C67" w:rsidRPr="008F4601" w14:paraId="62E919DB" w14:textId="77777777" w:rsidTr="00ED4EC0">
        <w:trPr>
          <w:cantSplit/>
          <w:jc w:val="center"/>
        </w:trPr>
        <w:tc>
          <w:tcPr>
            <w:tcW w:w="824" w:type="dxa"/>
            <w:noWrap/>
            <w:hideMark/>
          </w:tcPr>
          <w:p w14:paraId="7FFB325E" w14:textId="77777777" w:rsidR="009C5C67" w:rsidRPr="008F4601" w:rsidRDefault="2FC53093" w:rsidP="00664077">
            <w:pPr>
              <w:pStyle w:val="Tabletext"/>
              <w:jc w:val="center"/>
              <w:rPr>
                <w:color w:val="000000"/>
                <w:sz w:val="20"/>
                <w:lang w:eastAsia="en-IN"/>
              </w:rPr>
            </w:pPr>
            <w:r w:rsidRPr="008F4601">
              <w:rPr>
                <w:sz w:val="20"/>
                <w:lang w:eastAsia="en-IN"/>
              </w:rPr>
              <w:t>Cat. 5</w:t>
            </w:r>
          </w:p>
        </w:tc>
        <w:tc>
          <w:tcPr>
            <w:tcW w:w="2087" w:type="dxa"/>
            <w:noWrap/>
            <w:hideMark/>
          </w:tcPr>
          <w:p w14:paraId="62C84392" w14:textId="77777777" w:rsidR="009C5C67" w:rsidRPr="008F4601" w:rsidRDefault="2FC53093" w:rsidP="00721C21">
            <w:pPr>
              <w:pStyle w:val="Tabletext"/>
              <w:rPr>
                <w:color w:val="000000"/>
                <w:sz w:val="20"/>
                <w:lang w:eastAsia="en-IN"/>
              </w:rPr>
            </w:pPr>
            <w:r w:rsidRPr="008F4601">
              <w:rPr>
                <w:sz w:val="20"/>
                <w:lang w:eastAsia="en-IN"/>
              </w:rPr>
              <w:t>Rental (IT and other equipment)</w:t>
            </w:r>
          </w:p>
        </w:tc>
        <w:tc>
          <w:tcPr>
            <w:tcW w:w="1364" w:type="dxa"/>
            <w:noWrap/>
            <w:hideMark/>
          </w:tcPr>
          <w:p w14:paraId="37D528F5" w14:textId="77777777" w:rsidR="009C5C67" w:rsidRPr="008F4601" w:rsidRDefault="2FC53093" w:rsidP="00937C14">
            <w:pPr>
              <w:pStyle w:val="Tabletext"/>
              <w:jc w:val="right"/>
              <w:rPr>
                <w:sz w:val="20"/>
                <w:lang w:eastAsia="en-IN"/>
              </w:rPr>
            </w:pPr>
            <w:r w:rsidRPr="008F4601">
              <w:rPr>
                <w:sz w:val="20"/>
                <w:lang w:eastAsia="en-IN"/>
              </w:rPr>
              <w:t>0</w:t>
            </w:r>
          </w:p>
        </w:tc>
        <w:tc>
          <w:tcPr>
            <w:tcW w:w="1300" w:type="dxa"/>
            <w:noWrap/>
            <w:hideMark/>
          </w:tcPr>
          <w:p w14:paraId="07910E95"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6A5F0306" w14:textId="275E0C5E" w:rsidR="7A139871" w:rsidRPr="008F4601" w:rsidRDefault="7A139871" w:rsidP="00937C14">
            <w:pPr>
              <w:pStyle w:val="Tabletext"/>
              <w:jc w:val="right"/>
              <w:rPr>
                <w:sz w:val="20"/>
                <w:lang w:eastAsia="en-IN"/>
              </w:rPr>
            </w:pPr>
            <w:r w:rsidRPr="008F4601">
              <w:rPr>
                <w:sz w:val="20"/>
                <w:lang w:eastAsia="en-IN"/>
              </w:rPr>
              <w:t>0</w:t>
            </w:r>
          </w:p>
        </w:tc>
        <w:tc>
          <w:tcPr>
            <w:tcW w:w="1266" w:type="dxa"/>
          </w:tcPr>
          <w:p w14:paraId="38ED4D73" w14:textId="0D1DAFE9" w:rsidR="7A139871" w:rsidRPr="008F4601" w:rsidRDefault="7A139871" w:rsidP="00937C14">
            <w:pPr>
              <w:pStyle w:val="Tabletext"/>
              <w:jc w:val="right"/>
              <w:rPr>
                <w:sz w:val="20"/>
                <w:lang w:eastAsia="en-IN"/>
              </w:rPr>
            </w:pPr>
            <w:r w:rsidRPr="008F4601">
              <w:rPr>
                <w:sz w:val="20"/>
                <w:lang w:eastAsia="en-IN"/>
              </w:rPr>
              <w:t>0</w:t>
            </w:r>
          </w:p>
        </w:tc>
        <w:tc>
          <w:tcPr>
            <w:tcW w:w="1421" w:type="dxa"/>
          </w:tcPr>
          <w:p w14:paraId="1A2BFCAC" w14:textId="7686E3E7" w:rsidR="7A139871" w:rsidRPr="008F4601" w:rsidRDefault="7A139871" w:rsidP="00937C14">
            <w:pPr>
              <w:pStyle w:val="Tabletext"/>
              <w:jc w:val="right"/>
              <w:rPr>
                <w:sz w:val="20"/>
                <w:lang w:eastAsia="en-IN"/>
              </w:rPr>
            </w:pPr>
            <w:r w:rsidRPr="008F4601">
              <w:rPr>
                <w:sz w:val="20"/>
                <w:lang w:eastAsia="en-IN"/>
              </w:rPr>
              <w:t>0</w:t>
            </w:r>
          </w:p>
        </w:tc>
      </w:tr>
      <w:tr w:rsidR="009C5C67" w:rsidRPr="008F4601" w14:paraId="774B202D" w14:textId="77777777" w:rsidTr="00ED4EC0">
        <w:trPr>
          <w:cantSplit/>
          <w:jc w:val="center"/>
        </w:trPr>
        <w:tc>
          <w:tcPr>
            <w:tcW w:w="824" w:type="dxa"/>
            <w:noWrap/>
            <w:hideMark/>
          </w:tcPr>
          <w:p w14:paraId="2391DB73" w14:textId="77777777" w:rsidR="009C5C67" w:rsidRPr="008F4601" w:rsidRDefault="2FC53093" w:rsidP="00664077">
            <w:pPr>
              <w:pStyle w:val="Tabletext"/>
              <w:jc w:val="center"/>
              <w:rPr>
                <w:color w:val="000000"/>
                <w:sz w:val="20"/>
                <w:lang w:eastAsia="en-IN"/>
              </w:rPr>
            </w:pPr>
            <w:r w:rsidRPr="008F4601">
              <w:rPr>
                <w:sz w:val="20"/>
                <w:lang w:eastAsia="en-IN"/>
              </w:rPr>
              <w:t>Cat. 7</w:t>
            </w:r>
          </w:p>
        </w:tc>
        <w:tc>
          <w:tcPr>
            <w:tcW w:w="2087" w:type="dxa"/>
            <w:noWrap/>
            <w:hideMark/>
          </w:tcPr>
          <w:p w14:paraId="2D9C8C0B" w14:textId="77777777" w:rsidR="009C5C67" w:rsidRPr="008F4601" w:rsidRDefault="5D5E12AD" w:rsidP="00721C21">
            <w:pPr>
              <w:pStyle w:val="Tabletext"/>
              <w:rPr>
                <w:color w:val="000000"/>
                <w:sz w:val="20"/>
                <w:lang w:eastAsia="en-IN"/>
              </w:rPr>
            </w:pPr>
            <w:r w:rsidRPr="008F4601">
              <w:rPr>
                <w:sz w:val="20"/>
                <w:lang w:eastAsia="en-IN"/>
              </w:rPr>
              <w:t>IT Equipment (3-year lifecycle)</w:t>
            </w:r>
          </w:p>
        </w:tc>
        <w:tc>
          <w:tcPr>
            <w:tcW w:w="1364" w:type="dxa"/>
            <w:noWrap/>
            <w:hideMark/>
          </w:tcPr>
          <w:p w14:paraId="69B53D7D" w14:textId="4125DE04" w:rsidR="009C5C67" w:rsidRPr="008F4601" w:rsidRDefault="2FC53093" w:rsidP="00937C14">
            <w:pPr>
              <w:pStyle w:val="Tabletext"/>
              <w:jc w:val="right"/>
              <w:rPr>
                <w:sz w:val="20"/>
                <w:lang w:eastAsia="en-IN"/>
              </w:rPr>
            </w:pPr>
            <w:r w:rsidRPr="008F4601">
              <w:rPr>
                <w:sz w:val="20"/>
                <w:lang w:eastAsia="en-IN"/>
              </w:rPr>
              <w:t>10</w:t>
            </w:r>
            <w:r w:rsidR="00423068" w:rsidRPr="008F4601">
              <w:rPr>
                <w:sz w:val="20"/>
                <w:lang w:eastAsia="en-IN"/>
              </w:rPr>
              <w:t> </w:t>
            </w:r>
            <w:r w:rsidRPr="008F4601">
              <w:rPr>
                <w:sz w:val="20"/>
                <w:lang w:eastAsia="en-IN"/>
              </w:rPr>
              <w:t>583</w:t>
            </w:r>
          </w:p>
        </w:tc>
        <w:tc>
          <w:tcPr>
            <w:tcW w:w="1300" w:type="dxa"/>
            <w:noWrap/>
            <w:hideMark/>
          </w:tcPr>
          <w:p w14:paraId="6904C6CA"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3EF19EBD" w14:textId="5FA9ABF6" w:rsidR="0734D1E2" w:rsidRPr="008F4601" w:rsidRDefault="0734D1E2" w:rsidP="00937C14">
            <w:pPr>
              <w:pStyle w:val="Tabletext"/>
              <w:jc w:val="right"/>
              <w:rPr>
                <w:sz w:val="20"/>
                <w:lang w:eastAsia="en-IN"/>
              </w:rPr>
            </w:pPr>
            <w:r w:rsidRPr="008F4601">
              <w:rPr>
                <w:sz w:val="20"/>
                <w:lang w:eastAsia="en-IN"/>
              </w:rPr>
              <w:t>0</w:t>
            </w:r>
          </w:p>
        </w:tc>
        <w:tc>
          <w:tcPr>
            <w:tcW w:w="1266" w:type="dxa"/>
          </w:tcPr>
          <w:p w14:paraId="0670090F" w14:textId="6158A579" w:rsidR="0734D1E2" w:rsidRPr="008F4601" w:rsidRDefault="0734D1E2" w:rsidP="00937C14">
            <w:pPr>
              <w:pStyle w:val="Tabletext"/>
              <w:jc w:val="right"/>
              <w:rPr>
                <w:sz w:val="20"/>
                <w:lang w:eastAsia="en-IN"/>
              </w:rPr>
            </w:pPr>
            <w:r w:rsidRPr="008F4601">
              <w:rPr>
                <w:sz w:val="20"/>
                <w:lang w:eastAsia="en-IN"/>
              </w:rPr>
              <w:t>10 583</w:t>
            </w:r>
          </w:p>
        </w:tc>
        <w:tc>
          <w:tcPr>
            <w:tcW w:w="1421" w:type="dxa"/>
          </w:tcPr>
          <w:p w14:paraId="39614D2F" w14:textId="36C88CDC" w:rsidR="0734D1E2" w:rsidRPr="008F4601" w:rsidRDefault="0734D1E2" w:rsidP="00937C14">
            <w:pPr>
              <w:pStyle w:val="Tabletext"/>
              <w:jc w:val="right"/>
              <w:rPr>
                <w:sz w:val="20"/>
                <w:lang w:eastAsia="en-IN"/>
              </w:rPr>
            </w:pPr>
            <w:r w:rsidRPr="008F4601">
              <w:rPr>
                <w:sz w:val="20"/>
                <w:lang w:eastAsia="en-IN"/>
              </w:rPr>
              <w:t>21 166</w:t>
            </w:r>
          </w:p>
        </w:tc>
      </w:tr>
      <w:tr w:rsidR="009C5C67" w:rsidRPr="008F4601" w14:paraId="71A77E4E" w14:textId="77777777" w:rsidTr="00ED4EC0">
        <w:trPr>
          <w:cantSplit/>
          <w:jc w:val="center"/>
        </w:trPr>
        <w:tc>
          <w:tcPr>
            <w:tcW w:w="824" w:type="dxa"/>
            <w:noWrap/>
            <w:hideMark/>
          </w:tcPr>
          <w:p w14:paraId="181E54AA" w14:textId="77777777" w:rsidR="009C5C67" w:rsidRPr="008F4601" w:rsidRDefault="2FC53093" w:rsidP="00664077">
            <w:pPr>
              <w:pStyle w:val="Tabletext"/>
              <w:jc w:val="center"/>
              <w:rPr>
                <w:color w:val="000000"/>
                <w:sz w:val="20"/>
                <w:lang w:eastAsia="en-IN"/>
              </w:rPr>
            </w:pPr>
            <w:r w:rsidRPr="008F4601">
              <w:rPr>
                <w:sz w:val="20"/>
                <w:lang w:eastAsia="en-IN"/>
              </w:rPr>
              <w:t>Cat. 7</w:t>
            </w:r>
          </w:p>
        </w:tc>
        <w:tc>
          <w:tcPr>
            <w:tcW w:w="2087" w:type="dxa"/>
            <w:noWrap/>
            <w:hideMark/>
          </w:tcPr>
          <w:p w14:paraId="5EA2AA0A" w14:textId="463D23FD" w:rsidR="009C5C67" w:rsidRPr="008F4601" w:rsidRDefault="67834BA1" w:rsidP="00721C21">
            <w:pPr>
              <w:pStyle w:val="Tabletext"/>
              <w:rPr>
                <w:color w:val="000000"/>
                <w:sz w:val="20"/>
                <w:lang w:eastAsia="en-IN"/>
              </w:rPr>
            </w:pPr>
            <w:r w:rsidRPr="008F4601">
              <w:rPr>
                <w:sz w:val="20"/>
                <w:lang w:eastAsia="en-IN"/>
              </w:rPr>
              <w:t>Furniture (4</w:t>
            </w:r>
            <w:r w:rsidR="475FA629" w:rsidRPr="008F4601">
              <w:rPr>
                <w:sz w:val="20"/>
                <w:lang w:eastAsia="en-IN"/>
              </w:rPr>
              <w:t>-</w:t>
            </w:r>
            <w:r w:rsidRPr="008F4601">
              <w:rPr>
                <w:sz w:val="20"/>
                <w:lang w:eastAsia="en-IN"/>
              </w:rPr>
              <w:t>year lifecycle)</w:t>
            </w:r>
          </w:p>
        </w:tc>
        <w:tc>
          <w:tcPr>
            <w:tcW w:w="1364" w:type="dxa"/>
            <w:noWrap/>
            <w:hideMark/>
          </w:tcPr>
          <w:p w14:paraId="216228E3" w14:textId="77777777" w:rsidR="009C5C67" w:rsidRPr="008F4601" w:rsidRDefault="2FC53093" w:rsidP="00937C14">
            <w:pPr>
              <w:pStyle w:val="Tabletext"/>
              <w:jc w:val="right"/>
              <w:rPr>
                <w:sz w:val="20"/>
                <w:lang w:eastAsia="en-IN"/>
              </w:rPr>
            </w:pPr>
            <w:r w:rsidRPr="008F4601">
              <w:rPr>
                <w:sz w:val="20"/>
                <w:lang w:eastAsia="en-IN"/>
              </w:rPr>
              <w:t>0</w:t>
            </w:r>
          </w:p>
        </w:tc>
        <w:tc>
          <w:tcPr>
            <w:tcW w:w="1300" w:type="dxa"/>
            <w:noWrap/>
            <w:hideMark/>
          </w:tcPr>
          <w:p w14:paraId="4DC74B7B"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7BB6B291" w14:textId="2D482EC9" w:rsidR="56FF3C2B" w:rsidRPr="008F4601" w:rsidRDefault="56FF3C2B" w:rsidP="00937C14">
            <w:pPr>
              <w:pStyle w:val="Tabletext"/>
              <w:jc w:val="right"/>
              <w:rPr>
                <w:sz w:val="20"/>
                <w:lang w:eastAsia="en-IN"/>
              </w:rPr>
            </w:pPr>
            <w:r w:rsidRPr="008F4601">
              <w:rPr>
                <w:sz w:val="20"/>
                <w:lang w:eastAsia="en-IN"/>
              </w:rPr>
              <w:t>0</w:t>
            </w:r>
          </w:p>
        </w:tc>
        <w:tc>
          <w:tcPr>
            <w:tcW w:w="1266" w:type="dxa"/>
          </w:tcPr>
          <w:p w14:paraId="4112C6AF" w14:textId="5584B39A" w:rsidR="56FF3C2B" w:rsidRPr="008F4601" w:rsidRDefault="56FF3C2B" w:rsidP="00937C14">
            <w:pPr>
              <w:pStyle w:val="Tabletext"/>
              <w:jc w:val="right"/>
              <w:rPr>
                <w:sz w:val="20"/>
                <w:lang w:eastAsia="en-IN"/>
              </w:rPr>
            </w:pPr>
            <w:r w:rsidRPr="008F4601">
              <w:rPr>
                <w:sz w:val="20"/>
                <w:lang w:eastAsia="en-IN"/>
              </w:rPr>
              <w:t>0</w:t>
            </w:r>
          </w:p>
        </w:tc>
        <w:tc>
          <w:tcPr>
            <w:tcW w:w="1421" w:type="dxa"/>
          </w:tcPr>
          <w:p w14:paraId="740B69E4" w14:textId="0DDB6581" w:rsidR="56FF3C2B" w:rsidRPr="008F4601" w:rsidRDefault="56FF3C2B" w:rsidP="00937C14">
            <w:pPr>
              <w:pStyle w:val="Tabletext"/>
              <w:jc w:val="right"/>
              <w:rPr>
                <w:sz w:val="20"/>
                <w:lang w:eastAsia="en-IN"/>
              </w:rPr>
            </w:pPr>
            <w:r w:rsidRPr="008F4601">
              <w:rPr>
                <w:sz w:val="20"/>
                <w:lang w:eastAsia="en-IN"/>
              </w:rPr>
              <w:t>0</w:t>
            </w:r>
          </w:p>
        </w:tc>
      </w:tr>
      <w:tr w:rsidR="009C5C67" w:rsidRPr="008F4601" w14:paraId="7A390A3B" w14:textId="77777777" w:rsidTr="00ED4EC0">
        <w:trPr>
          <w:cantSplit/>
          <w:jc w:val="center"/>
        </w:trPr>
        <w:tc>
          <w:tcPr>
            <w:tcW w:w="824" w:type="dxa"/>
            <w:noWrap/>
            <w:hideMark/>
          </w:tcPr>
          <w:p w14:paraId="41A56142" w14:textId="77777777" w:rsidR="009C5C67" w:rsidRPr="008F4601" w:rsidRDefault="2FC53093" w:rsidP="00664077">
            <w:pPr>
              <w:pStyle w:val="Tabletext"/>
              <w:jc w:val="center"/>
              <w:rPr>
                <w:color w:val="000000"/>
                <w:sz w:val="20"/>
                <w:lang w:eastAsia="en-IN"/>
              </w:rPr>
            </w:pPr>
            <w:r w:rsidRPr="008F4601">
              <w:rPr>
                <w:sz w:val="20"/>
                <w:lang w:eastAsia="en-IN"/>
              </w:rPr>
              <w:t>Cat. 7</w:t>
            </w:r>
          </w:p>
        </w:tc>
        <w:tc>
          <w:tcPr>
            <w:tcW w:w="2087" w:type="dxa"/>
            <w:noWrap/>
            <w:hideMark/>
          </w:tcPr>
          <w:p w14:paraId="0091029D" w14:textId="77777777" w:rsidR="009C5C67" w:rsidRPr="008F4601" w:rsidRDefault="5D5E12AD" w:rsidP="00721C21">
            <w:pPr>
              <w:pStyle w:val="Tabletext"/>
              <w:rPr>
                <w:color w:val="000000"/>
                <w:sz w:val="20"/>
                <w:lang w:eastAsia="en-IN"/>
              </w:rPr>
            </w:pPr>
            <w:r w:rsidRPr="008F4601">
              <w:rPr>
                <w:sz w:val="20"/>
                <w:lang w:eastAsia="en-IN"/>
              </w:rPr>
              <w:t>Installation</w:t>
            </w:r>
          </w:p>
        </w:tc>
        <w:tc>
          <w:tcPr>
            <w:tcW w:w="1364" w:type="dxa"/>
            <w:noWrap/>
            <w:hideMark/>
          </w:tcPr>
          <w:p w14:paraId="561DE826" w14:textId="2D7CEF19" w:rsidR="009C5C67" w:rsidRPr="008F4601" w:rsidRDefault="2FC53093" w:rsidP="00937C14">
            <w:pPr>
              <w:pStyle w:val="Tabletext"/>
              <w:jc w:val="right"/>
              <w:rPr>
                <w:color w:val="000000"/>
                <w:sz w:val="20"/>
                <w:lang w:eastAsia="en-IN"/>
              </w:rPr>
            </w:pPr>
            <w:r w:rsidRPr="008F4601">
              <w:rPr>
                <w:sz w:val="20"/>
                <w:lang w:eastAsia="en-IN"/>
              </w:rPr>
              <w:t>21</w:t>
            </w:r>
            <w:r w:rsidR="00423068" w:rsidRPr="008F4601">
              <w:rPr>
                <w:sz w:val="20"/>
                <w:lang w:eastAsia="en-IN"/>
              </w:rPr>
              <w:t> </w:t>
            </w:r>
            <w:r w:rsidRPr="008F4601">
              <w:rPr>
                <w:sz w:val="20"/>
                <w:lang w:eastAsia="en-IN"/>
              </w:rPr>
              <w:t>000</w:t>
            </w:r>
          </w:p>
        </w:tc>
        <w:tc>
          <w:tcPr>
            <w:tcW w:w="1300" w:type="dxa"/>
            <w:noWrap/>
            <w:hideMark/>
          </w:tcPr>
          <w:p w14:paraId="545FCC9A"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4C05B9C3" w14:textId="3D2DBD4F" w:rsidR="7B650709" w:rsidRPr="008F4601" w:rsidRDefault="7B650709" w:rsidP="00937C14">
            <w:pPr>
              <w:pStyle w:val="Tabletext"/>
              <w:jc w:val="right"/>
              <w:rPr>
                <w:sz w:val="20"/>
                <w:lang w:eastAsia="en-IN"/>
              </w:rPr>
            </w:pPr>
            <w:r w:rsidRPr="008F4601">
              <w:rPr>
                <w:sz w:val="20"/>
                <w:lang w:eastAsia="en-IN"/>
              </w:rPr>
              <w:t>0</w:t>
            </w:r>
          </w:p>
        </w:tc>
        <w:tc>
          <w:tcPr>
            <w:tcW w:w="1266" w:type="dxa"/>
          </w:tcPr>
          <w:p w14:paraId="1A05CA72" w14:textId="78D9D28A" w:rsidR="7B650709" w:rsidRPr="008F4601" w:rsidRDefault="7B650709" w:rsidP="00937C14">
            <w:pPr>
              <w:pStyle w:val="Tabletext"/>
              <w:jc w:val="right"/>
              <w:rPr>
                <w:sz w:val="20"/>
                <w:lang w:eastAsia="en-IN"/>
              </w:rPr>
            </w:pPr>
            <w:r w:rsidRPr="008F4601">
              <w:rPr>
                <w:sz w:val="20"/>
                <w:lang w:eastAsia="en-IN"/>
              </w:rPr>
              <w:t>0</w:t>
            </w:r>
          </w:p>
        </w:tc>
        <w:tc>
          <w:tcPr>
            <w:tcW w:w="1421" w:type="dxa"/>
          </w:tcPr>
          <w:p w14:paraId="252A7087" w14:textId="4DDA9A4D" w:rsidR="7B650709" w:rsidRPr="008F4601" w:rsidRDefault="7B650709" w:rsidP="00937C14">
            <w:pPr>
              <w:pStyle w:val="Tabletext"/>
              <w:jc w:val="right"/>
              <w:rPr>
                <w:sz w:val="20"/>
                <w:lang w:eastAsia="en-IN"/>
              </w:rPr>
            </w:pPr>
            <w:r w:rsidRPr="008F4601">
              <w:rPr>
                <w:sz w:val="20"/>
                <w:lang w:eastAsia="en-IN"/>
              </w:rPr>
              <w:t>21 000</w:t>
            </w:r>
          </w:p>
        </w:tc>
      </w:tr>
      <w:tr w:rsidR="009C5C67" w:rsidRPr="008F4601" w14:paraId="37A39B6B" w14:textId="77777777" w:rsidTr="00ED4EC0">
        <w:trPr>
          <w:cantSplit/>
          <w:jc w:val="center"/>
        </w:trPr>
        <w:tc>
          <w:tcPr>
            <w:tcW w:w="824" w:type="dxa"/>
            <w:noWrap/>
            <w:hideMark/>
          </w:tcPr>
          <w:p w14:paraId="794A74EA" w14:textId="77777777" w:rsidR="009C5C67" w:rsidRPr="008F4601" w:rsidRDefault="2FC53093" w:rsidP="00664077">
            <w:pPr>
              <w:pStyle w:val="Tabletext"/>
              <w:jc w:val="center"/>
              <w:rPr>
                <w:color w:val="000000"/>
                <w:sz w:val="20"/>
                <w:lang w:eastAsia="en-IN"/>
              </w:rPr>
            </w:pPr>
            <w:r w:rsidRPr="008F4601">
              <w:rPr>
                <w:sz w:val="20"/>
                <w:lang w:eastAsia="en-IN"/>
              </w:rPr>
              <w:t>Cat. 7</w:t>
            </w:r>
          </w:p>
        </w:tc>
        <w:tc>
          <w:tcPr>
            <w:tcW w:w="2087" w:type="dxa"/>
            <w:noWrap/>
            <w:hideMark/>
          </w:tcPr>
          <w:p w14:paraId="38741C09" w14:textId="77777777" w:rsidR="009C5C67" w:rsidRPr="008F4601" w:rsidRDefault="5D5E12AD" w:rsidP="00721C21">
            <w:pPr>
              <w:pStyle w:val="Tabletext"/>
              <w:rPr>
                <w:color w:val="000000"/>
                <w:sz w:val="20"/>
                <w:lang w:eastAsia="en-IN"/>
              </w:rPr>
            </w:pPr>
            <w:r w:rsidRPr="008F4601">
              <w:rPr>
                <w:sz w:val="20"/>
                <w:lang w:eastAsia="en-IN"/>
              </w:rPr>
              <w:t>Security SRM-MOSS/ RSM (Security mission + DSA)</w:t>
            </w:r>
          </w:p>
        </w:tc>
        <w:tc>
          <w:tcPr>
            <w:tcW w:w="1364" w:type="dxa"/>
            <w:noWrap/>
            <w:hideMark/>
          </w:tcPr>
          <w:p w14:paraId="596455D1" w14:textId="298EC2B6" w:rsidR="009C5C67" w:rsidRPr="008F4601" w:rsidRDefault="2FC53093" w:rsidP="00937C14">
            <w:pPr>
              <w:pStyle w:val="Tabletext"/>
              <w:jc w:val="right"/>
              <w:rPr>
                <w:color w:val="FA7D00"/>
                <w:sz w:val="20"/>
                <w:lang w:eastAsia="en-IN"/>
              </w:rPr>
            </w:pPr>
            <w:r w:rsidRPr="008F4601">
              <w:rPr>
                <w:sz w:val="20"/>
                <w:lang w:eastAsia="en-IN"/>
              </w:rPr>
              <w:t>46</w:t>
            </w:r>
            <w:r w:rsidR="00423068" w:rsidRPr="008F4601">
              <w:rPr>
                <w:sz w:val="20"/>
                <w:lang w:eastAsia="en-IN"/>
              </w:rPr>
              <w:t> </w:t>
            </w:r>
            <w:r w:rsidRPr="008F4601">
              <w:rPr>
                <w:sz w:val="20"/>
                <w:lang w:eastAsia="en-IN"/>
              </w:rPr>
              <w:t>860</w:t>
            </w:r>
          </w:p>
        </w:tc>
        <w:tc>
          <w:tcPr>
            <w:tcW w:w="1300" w:type="dxa"/>
            <w:noWrap/>
            <w:hideMark/>
          </w:tcPr>
          <w:p w14:paraId="793D16E1" w14:textId="77777777" w:rsidR="009C5C67" w:rsidRPr="008F4601" w:rsidRDefault="2FC53093" w:rsidP="00937C14">
            <w:pPr>
              <w:pStyle w:val="Tabletext"/>
              <w:jc w:val="right"/>
              <w:rPr>
                <w:color w:val="000000"/>
                <w:sz w:val="20"/>
                <w:lang w:eastAsia="en-IN"/>
              </w:rPr>
            </w:pPr>
            <w:r w:rsidRPr="008F4601">
              <w:rPr>
                <w:sz w:val="20"/>
                <w:lang w:eastAsia="en-IN"/>
              </w:rPr>
              <w:t>0</w:t>
            </w:r>
          </w:p>
        </w:tc>
        <w:tc>
          <w:tcPr>
            <w:tcW w:w="1372" w:type="dxa"/>
          </w:tcPr>
          <w:p w14:paraId="580E03DA" w14:textId="336FD48E" w:rsidR="1D54F2E6" w:rsidRPr="008F4601" w:rsidRDefault="1D54F2E6" w:rsidP="00937C14">
            <w:pPr>
              <w:pStyle w:val="Tabletext"/>
              <w:jc w:val="right"/>
              <w:rPr>
                <w:sz w:val="20"/>
                <w:lang w:eastAsia="en-IN"/>
              </w:rPr>
            </w:pPr>
            <w:r w:rsidRPr="008F4601">
              <w:rPr>
                <w:sz w:val="20"/>
                <w:lang w:eastAsia="en-IN"/>
              </w:rPr>
              <w:t>0</w:t>
            </w:r>
          </w:p>
        </w:tc>
        <w:tc>
          <w:tcPr>
            <w:tcW w:w="1266" w:type="dxa"/>
          </w:tcPr>
          <w:p w14:paraId="1B139F4B" w14:textId="45A099E7" w:rsidR="1D54F2E6" w:rsidRPr="008F4601" w:rsidRDefault="1D54F2E6" w:rsidP="00937C14">
            <w:pPr>
              <w:pStyle w:val="Tabletext"/>
              <w:jc w:val="right"/>
              <w:rPr>
                <w:sz w:val="20"/>
                <w:lang w:eastAsia="en-IN"/>
              </w:rPr>
            </w:pPr>
            <w:r w:rsidRPr="008F4601">
              <w:rPr>
                <w:sz w:val="20"/>
                <w:lang w:eastAsia="en-IN"/>
              </w:rPr>
              <w:t>0</w:t>
            </w:r>
          </w:p>
        </w:tc>
        <w:tc>
          <w:tcPr>
            <w:tcW w:w="1421" w:type="dxa"/>
          </w:tcPr>
          <w:p w14:paraId="39C30F5C" w14:textId="644C712C" w:rsidR="1D54F2E6" w:rsidRPr="008F4601" w:rsidRDefault="1D54F2E6" w:rsidP="00937C14">
            <w:pPr>
              <w:pStyle w:val="Tabletext"/>
              <w:jc w:val="right"/>
              <w:rPr>
                <w:sz w:val="20"/>
                <w:lang w:eastAsia="en-IN"/>
              </w:rPr>
            </w:pPr>
            <w:r w:rsidRPr="008F4601">
              <w:rPr>
                <w:sz w:val="20"/>
                <w:lang w:eastAsia="en-IN"/>
              </w:rPr>
              <w:t>46 860</w:t>
            </w:r>
          </w:p>
        </w:tc>
      </w:tr>
      <w:tr w:rsidR="009C5C67" w:rsidRPr="008F4601" w14:paraId="5D8EB3C1" w14:textId="77777777" w:rsidTr="00ED4EC0">
        <w:trPr>
          <w:cantSplit/>
          <w:jc w:val="center"/>
        </w:trPr>
        <w:tc>
          <w:tcPr>
            <w:tcW w:w="824" w:type="dxa"/>
            <w:noWrap/>
            <w:hideMark/>
          </w:tcPr>
          <w:p w14:paraId="1A8E1E15" w14:textId="77777777" w:rsidR="009C5C67" w:rsidRPr="008F4601" w:rsidRDefault="2FC53093" w:rsidP="00664077">
            <w:pPr>
              <w:pStyle w:val="Tabletext"/>
              <w:jc w:val="center"/>
              <w:rPr>
                <w:color w:val="000000"/>
                <w:sz w:val="20"/>
                <w:lang w:eastAsia="en-IN"/>
              </w:rPr>
            </w:pPr>
            <w:r w:rsidRPr="008F4601">
              <w:rPr>
                <w:sz w:val="20"/>
                <w:lang w:eastAsia="en-IN"/>
              </w:rPr>
              <w:t>Cat. 8</w:t>
            </w:r>
          </w:p>
        </w:tc>
        <w:tc>
          <w:tcPr>
            <w:tcW w:w="2087" w:type="dxa"/>
            <w:noWrap/>
            <w:hideMark/>
          </w:tcPr>
          <w:p w14:paraId="5924C6AC" w14:textId="77777777" w:rsidR="009C5C67" w:rsidRPr="008F4601" w:rsidRDefault="5D5E12AD" w:rsidP="00721C21">
            <w:pPr>
              <w:pStyle w:val="Tabletext"/>
              <w:rPr>
                <w:color w:val="000000"/>
                <w:sz w:val="20"/>
                <w:lang w:eastAsia="en-IN"/>
              </w:rPr>
            </w:pPr>
            <w:r w:rsidRPr="008F4601">
              <w:rPr>
                <w:sz w:val="20"/>
                <w:lang w:eastAsia="en-IN"/>
              </w:rPr>
              <w:t>Public Services</w:t>
            </w:r>
          </w:p>
        </w:tc>
        <w:tc>
          <w:tcPr>
            <w:tcW w:w="1364" w:type="dxa"/>
            <w:noWrap/>
            <w:hideMark/>
          </w:tcPr>
          <w:p w14:paraId="72E6936A" w14:textId="30D78760" w:rsidR="009C5C67" w:rsidRPr="008F4601" w:rsidRDefault="2FC53093" w:rsidP="00937C14">
            <w:pPr>
              <w:pStyle w:val="Tabletext"/>
              <w:jc w:val="right"/>
              <w:rPr>
                <w:color w:val="000000"/>
                <w:sz w:val="20"/>
                <w:lang w:eastAsia="en-IN"/>
              </w:rPr>
            </w:pPr>
            <w:r w:rsidRPr="008F4601">
              <w:rPr>
                <w:sz w:val="20"/>
                <w:lang w:eastAsia="en-IN"/>
              </w:rPr>
              <w:t>5</w:t>
            </w:r>
            <w:r w:rsidR="00423068" w:rsidRPr="008F4601">
              <w:rPr>
                <w:sz w:val="20"/>
                <w:lang w:eastAsia="en-IN"/>
              </w:rPr>
              <w:t> </w:t>
            </w:r>
            <w:r w:rsidRPr="008F4601">
              <w:rPr>
                <w:sz w:val="20"/>
                <w:lang w:eastAsia="en-IN"/>
              </w:rPr>
              <w:t>000</w:t>
            </w:r>
          </w:p>
        </w:tc>
        <w:tc>
          <w:tcPr>
            <w:tcW w:w="1300" w:type="dxa"/>
            <w:noWrap/>
            <w:hideMark/>
          </w:tcPr>
          <w:p w14:paraId="12B24F08" w14:textId="78DF5FF6" w:rsidR="009C5C67" w:rsidRPr="008F4601" w:rsidRDefault="2FC53093" w:rsidP="00937C14">
            <w:pPr>
              <w:pStyle w:val="Tabletext"/>
              <w:jc w:val="right"/>
              <w:rPr>
                <w:color w:val="000000"/>
                <w:sz w:val="20"/>
                <w:lang w:eastAsia="en-IN"/>
              </w:rPr>
            </w:pPr>
            <w:r w:rsidRPr="008F4601">
              <w:rPr>
                <w:sz w:val="20"/>
                <w:lang w:eastAsia="en-IN"/>
              </w:rPr>
              <w:t>5</w:t>
            </w:r>
            <w:r w:rsidR="00423068" w:rsidRPr="008F4601">
              <w:rPr>
                <w:sz w:val="20"/>
                <w:lang w:eastAsia="en-IN"/>
              </w:rPr>
              <w:t> </w:t>
            </w:r>
            <w:r w:rsidRPr="008F4601">
              <w:rPr>
                <w:sz w:val="20"/>
                <w:lang w:eastAsia="en-IN"/>
              </w:rPr>
              <w:t>000</w:t>
            </w:r>
          </w:p>
        </w:tc>
        <w:tc>
          <w:tcPr>
            <w:tcW w:w="1372" w:type="dxa"/>
          </w:tcPr>
          <w:p w14:paraId="5B12C492" w14:textId="6725922F" w:rsidR="3B3767C1" w:rsidRPr="008F4601" w:rsidRDefault="3B3767C1" w:rsidP="00937C14">
            <w:pPr>
              <w:pStyle w:val="Tabletext"/>
              <w:jc w:val="right"/>
              <w:rPr>
                <w:sz w:val="20"/>
                <w:lang w:eastAsia="en-IN"/>
              </w:rPr>
            </w:pPr>
            <w:r w:rsidRPr="008F4601">
              <w:rPr>
                <w:sz w:val="20"/>
                <w:lang w:eastAsia="en-IN"/>
              </w:rPr>
              <w:t>5 000</w:t>
            </w:r>
          </w:p>
        </w:tc>
        <w:tc>
          <w:tcPr>
            <w:tcW w:w="1266" w:type="dxa"/>
          </w:tcPr>
          <w:p w14:paraId="16ADBB96" w14:textId="3878F7FB" w:rsidR="3B3767C1" w:rsidRPr="008F4601" w:rsidRDefault="3B3767C1" w:rsidP="00937C14">
            <w:pPr>
              <w:pStyle w:val="Tabletext"/>
              <w:jc w:val="right"/>
              <w:rPr>
                <w:sz w:val="20"/>
                <w:lang w:eastAsia="en-IN"/>
              </w:rPr>
            </w:pPr>
            <w:r w:rsidRPr="008F4601">
              <w:rPr>
                <w:sz w:val="20"/>
                <w:lang w:eastAsia="en-IN"/>
              </w:rPr>
              <w:t>5 000</w:t>
            </w:r>
          </w:p>
        </w:tc>
        <w:tc>
          <w:tcPr>
            <w:tcW w:w="1421" w:type="dxa"/>
          </w:tcPr>
          <w:p w14:paraId="1E7612C0" w14:textId="4C61037D" w:rsidR="3B3767C1" w:rsidRPr="008F4601" w:rsidRDefault="3B3767C1" w:rsidP="00937C14">
            <w:pPr>
              <w:pStyle w:val="Tabletext"/>
              <w:jc w:val="right"/>
              <w:rPr>
                <w:sz w:val="20"/>
                <w:lang w:eastAsia="en-IN"/>
              </w:rPr>
            </w:pPr>
            <w:r w:rsidRPr="008F4601">
              <w:rPr>
                <w:sz w:val="20"/>
                <w:lang w:eastAsia="en-IN"/>
              </w:rPr>
              <w:t>20 000</w:t>
            </w:r>
          </w:p>
        </w:tc>
      </w:tr>
      <w:tr w:rsidR="009C5C67" w:rsidRPr="008F4601" w14:paraId="623BEBCC" w14:textId="77777777" w:rsidTr="00ED4EC0">
        <w:trPr>
          <w:cantSplit/>
          <w:jc w:val="center"/>
        </w:trPr>
        <w:tc>
          <w:tcPr>
            <w:tcW w:w="824" w:type="dxa"/>
            <w:tcBorders>
              <w:bottom w:val="double" w:sz="4" w:space="0" w:color="auto"/>
            </w:tcBorders>
            <w:noWrap/>
            <w:hideMark/>
          </w:tcPr>
          <w:p w14:paraId="4692E8C0" w14:textId="77777777" w:rsidR="009C5C67" w:rsidRPr="008F4601" w:rsidRDefault="2FC53093" w:rsidP="00664077">
            <w:pPr>
              <w:pStyle w:val="Tabletext"/>
              <w:jc w:val="center"/>
              <w:rPr>
                <w:color w:val="000000"/>
                <w:sz w:val="20"/>
                <w:lang w:eastAsia="en-IN"/>
              </w:rPr>
            </w:pPr>
            <w:r w:rsidRPr="008F4601">
              <w:rPr>
                <w:sz w:val="20"/>
                <w:lang w:eastAsia="en-IN"/>
              </w:rPr>
              <w:t>Cat. 9</w:t>
            </w:r>
          </w:p>
        </w:tc>
        <w:tc>
          <w:tcPr>
            <w:tcW w:w="2087" w:type="dxa"/>
            <w:tcBorders>
              <w:bottom w:val="double" w:sz="4" w:space="0" w:color="auto"/>
            </w:tcBorders>
            <w:noWrap/>
            <w:hideMark/>
          </w:tcPr>
          <w:p w14:paraId="0CF7EE56" w14:textId="77777777" w:rsidR="009C5C67" w:rsidRPr="008F4601" w:rsidRDefault="5D5E12AD" w:rsidP="00721C21">
            <w:pPr>
              <w:pStyle w:val="Tabletext"/>
              <w:rPr>
                <w:color w:val="000000"/>
                <w:sz w:val="20"/>
                <w:lang w:eastAsia="en-IN"/>
              </w:rPr>
            </w:pPr>
            <w:r w:rsidRPr="008F4601">
              <w:rPr>
                <w:sz w:val="20"/>
                <w:lang w:eastAsia="en-IN"/>
              </w:rPr>
              <w:t>Interagency, Bank charges, Miscellaneous</w:t>
            </w:r>
          </w:p>
        </w:tc>
        <w:tc>
          <w:tcPr>
            <w:tcW w:w="1364" w:type="dxa"/>
            <w:tcBorders>
              <w:bottom w:val="double" w:sz="4" w:space="0" w:color="auto"/>
            </w:tcBorders>
            <w:noWrap/>
            <w:hideMark/>
          </w:tcPr>
          <w:p w14:paraId="1E7F11E4" w14:textId="301B262E" w:rsidR="009C5C67" w:rsidRPr="008F4601" w:rsidRDefault="2FC53093" w:rsidP="00937C14">
            <w:pPr>
              <w:pStyle w:val="Tabletext"/>
              <w:jc w:val="right"/>
              <w:rPr>
                <w:color w:val="000000"/>
                <w:sz w:val="20"/>
                <w:lang w:eastAsia="en-IN"/>
              </w:rPr>
            </w:pPr>
            <w:r w:rsidRPr="008F4601">
              <w:rPr>
                <w:sz w:val="20"/>
                <w:lang w:eastAsia="en-IN"/>
              </w:rPr>
              <w:t>20</w:t>
            </w:r>
            <w:r w:rsidR="00423068" w:rsidRPr="008F4601">
              <w:rPr>
                <w:sz w:val="20"/>
                <w:lang w:eastAsia="en-IN"/>
              </w:rPr>
              <w:t> </w:t>
            </w:r>
            <w:r w:rsidRPr="008F4601">
              <w:rPr>
                <w:sz w:val="20"/>
                <w:lang w:eastAsia="en-IN"/>
              </w:rPr>
              <w:t>000</w:t>
            </w:r>
          </w:p>
        </w:tc>
        <w:tc>
          <w:tcPr>
            <w:tcW w:w="1300" w:type="dxa"/>
            <w:tcBorders>
              <w:bottom w:val="double" w:sz="4" w:space="0" w:color="auto"/>
            </w:tcBorders>
            <w:noWrap/>
            <w:hideMark/>
          </w:tcPr>
          <w:p w14:paraId="0BDE1798" w14:textId="644511A6" w:rsidR="009C5C67" w:rsidRPr="008F4601" w:rsidRDefault="2FC53093" w:rsidP="00937C14">
            <w:pPr>
              <w:pStyle w:val="Tabletext"/>
              <w:jc w:val="right"/>
              <w:rPr>
                <w:color w:val="000000"/>
                <w:sz w:val="20"/>
                <w:lang w:eastAsia="en-IN"/>
              </w:rPr>
            </w:pPr>
            <w:r w:rsidRPr="008F4601">
              <w:rPr>
                <w:sz w:val="20"/>
                <w:lang w:eastAsia="en-IN"/>
              </w:rPr>
              <w:t>20</w:t>
            </w:r>
            <w:r w:rsidR="00423068" w:rsidRPr="008F4601">
              <w:rPr>
                <w:sz w:val="20"/>
                <w:lang w:eastAsia="en-IN"/>
              </w:rPr>
              <w:t> </w:t>
            </w:r>
            <w:r w:rsidRPr="008F4601">
              <w:rPr>
                <w:sz w:val="20"/>
                <w:lang w:eastAsia="en-IN"/>
              </w:rPr>
              <w:t>000</w:t>
            </w:r>
          </w:p>
        </w:tc>
        <w:tc>
          <w:tcPr>
            <w:tcW w:w="1372" w:type="dxa"/>
            <w:tcBorders>
              <w:bottom w:val="double" w:sz="4" w:space="0" w:color="auto"/>
            </w:tcBorders>
          </w:tcPr>
          <w:p w14:paraId="3E1ECCF7" w14:textId="49F46969" w:rsidR="00D095BC" w:rsidRPr="008F4601" w:rsidRDefault="00D095BC" w:rsidP="00937C14">
            <w:pPr>
              <w:pStyle w:val="Tabletext"/>
              <w:jc w:val="right"/>
              <w:rPr>
                <w:sz w:val="20"/>
                <w:lang w:eastAsia="en-IN"/>
              </w:rPr>
            </w:pPr>
            <w:r w:rsidRPr="008F4601">
              <w:rPr>
                <w:sz w:val="20"/>
                <w:lang w:eastAsia="en-IN"/>
              </w:rPr>
              <w:t>20 000</w:t>
            </w:r>
          </w:p>
        </w:tc>
        <w:tc>
          <w:tcPr>
            <w:tcW w:w="1266" w:type="dxa"/>
            <w:tcBorders>
              <w:bottom w:val="double" w:sz="4" w:space="0" w:color="auto"/>
            </w:tcBorders>
          </w:tcPr>
          <w:p w14:paraId="495E62CB" w14:textId="73BDDD30" w:rsidR="00D095BC" w:rsidRPr="008F4601" w:rsidRDefault="00D095BC" w:rsidP="00937C14">
            <w:pPr>
              <w:pStyle w:val="Tabletext"/>
              <w:jc w:val="right"/>
              <w:rPr>
                <w:sz w:val="20"/>
                <w:lang w:eastAsia="en-IN"/>
              </w:rPr>
            </w:pPr>
            <w:r w:rsidRPr="008F4601">
              <w:rPr>
                <w:sz w:val="20"/>
                <w:lang w:eastAsia="en-IN"/>
              </w:rPr>
              <w:t>20 000</w:t>
            </w:r>
          </w:p>
        </w:tc>
        <w:tc>
          <w:tcPr>
            <w:tcW w:w="1421" w:type="dxa"/>
            <w:tcBorders>
              <w:bottom w:val="double" w:sz="4" w:space="0" w:color="auto"/>
            </w:tcBorders>
          </w:tcPr>
          <w:p w14:paraId="08125FAE" w14:textId="6D58ADD9" w:rsidR="00D095BC" w:rsidRPr="008F4601" w:rsidRDefault="00D095BC" w:rsidP="00937C14">
            <w:pPr>
              <w:pStyle w:val="Tabletext"/>
              <w:jc w:val="right"/>
              <w:rPr>
                <w:sz w:val="20"/>
                <w:lang w:eastAsia="en-IN"/>
              </w:rPr>
            </w:pPr>
            <w:r w:rsidRPr="008F4601">
              <w:rPr>
                <w:sz w:val="20"/>
                <w:lang w:eastAsia="en-IN"/>
              </w:rPr>
              <w:t>80 000</w:t>
            </w:r>
          </w:p>
        </w:tc>
      </w:tr>
      <w:tr w:rsidR="009C5C67" w:rsidRPr="00937C14" w14:paraId="13AEF432" w14:textId="77777777" w:rsidTr="00ED4EC0">
        <w:trPr>
          <w:cantSplit/>
          <w:jc w:val="center"/>
        </w:trPr>
        <w:tc>
          <w:tcPr>
            <w:tcW w:w="824" w:type="dxa"/>
            <w:tcBorders>
              <w:top w:val="double" w:sz="4" w:space="0" w:color="auto"/>
              <w:right w:val="nil"/>
            </w:tcBorders>
            <w:noWrap/>
            <w:hideMark/>
          </w:tcPr>
          <w:p w14:paraId="2FD1D930" w14:textId="77777777" w:rsidR="009C5C67" w:rsidRPr="00937C14" w:rsidRDefault="009C5C67" w:rsidP="00721C21">
            <w:pPr>
              <w:pStyle w:val="Tabletext"/>
              <w:rPr>
                <w:b/>
                <w:bCs/>
                <w:sz w:val="20"/>
              </w:rPr>
            </w:pPr>
          </w:p>
        </w:tc>
        <w:tc>
          <w:tcPr>
            <w:tcW w:w="2087" w:type="dxa"/>
            <w:tcBorders>
              <w:top w:val="double" w:sz="4" w:space="0" w:color="auto"/>
              <w:left w:val="nil"/>
            </w:tcBorders>
            <w:noWrap/>
            <w:hideMark/>
          </w:tcPr>
          <w:p w14:paraId="2085C561" w14:textId="3B174D5F" w:rsidR="009C5C67" w:rsidRPr="00937C14" w:rsidRDefault="2FC53093" w:rsidP="00721C21">
            <w:pPr>
              <w:pStyle w:val="Tabletext"/>
              <w:rPr>
                <w:b/>
                <w:bCs/>
                <w:sz w:val="20"/>
              </w:rPr>
            </w:pPr>
            <w:r w:rsidRPr="00937C14">
              <w:rPr>
                <w:b/>
                <w:bCs/>
                <w:sz w:val="20"/>
              </w:rPr>
              <w:t xml:space="preserve">Total </w:t>
            </w:r>
            <w:r w:rsidR="00423068" w:rsidRPr="00937C14">
              <w:rPr>
                <w:b/>
                <w:bCs/>
                <w:sz w:val="20"/>
              </w:rPr>
              <w:t>costs</w:t>
            </w:r>
          </w:p>
        </w:tc>
        <w:tc>
          <w:tcPr>
            <w:tcW w:w="1364" w:type="dxa"/>
            <w:tcBorders>
              <w:top w:val="double" w:sz="4" w:space="0" w:color="auto"/>
            </w:tcBorders>
            <w:noWrap/>
            <w:hideMark/>
          </w:tcPr>
          <w:p w14:paraId="48C090DF" w14:textId="41B38844" w:rsidR="009C5C67" w:rsidRPr="00937C14" w:rsidRDefault="3042BAD8" w:rsidP="00937C14">
            <w:pPr>
              <w:pStyle w:val="Tabletext"/>
              <w:jc w:val="right"/>
              <w:rPr>
                <w:b/>
                <w:bCs/>
                <w:sz w:val="20"/>
              </w:rPr>
            </w:pPr>
            <w:r w:rsidRPr="00937C14">
              <w:rPr>
                <w:b/>
                <w:bCs/>
                <w:sz w:val="20"/>
              </w:rPr>
              <w:t>140 729</w:t>
            </w:r>
          </w:p>
        </w:tc>
        <w:tc>
          <w:tcPr>
            <w:tcW w:w="1300" w:type="dxa"/>
            <w:tcBorders>
              <w:top w:val="double" w:sz="4" w:space="0" w:color="auto"/>
            </w:tcBorders>
            <w:noWrap/>
            <w:hideMark/>
          </w:tcPr>
          <w:p w14:paraId="1E829C32" w14:textId="36CF6BE9" w:rsidR="009C5C67" w:rsidRPr="00937C14" w:rsidRDefault="710E5208" w:rsidP="00937C14">
            <w:pPr>
              <w:pStyle w:val="Tabletext"/>
              <w:jc w:val="right"/>
              <w:rPr>
                <w:b/>
                <w:bCs/>
                <w:sz w:val="20"/>
              </w:rPr>
            </w:pPr>
            <w:r w:rsidRPr="00937C14">
              <w:rPr>
                <w:b/>
                <w:bCs/>
                <w:sz w:val="20"/>
              </w:rPr>
              <w:t xml:space="preserve"> 55 000</w:t>
            </w:r>
          </w:p>
        </w:tc>
        <w:tc>
          <w:tcPr>
            <w:tcW w:w="1372" w:type="dxa"/>
            <w:tcBorders>
              <w:top w:val="double" w:sz="4" w:space="0" w:color="auto"/>
            </w:tcBorders>
          </w:tcPr>
          <w:p w14:paraId="79FEAF54" w14:textId="604EB33E" w:rsidR="710E5208" w:rsidRPr="00937C14" w:rsidRDefault="710E5208" w:rsidP="00937C14">
            <w:pPr>
              <w:pStyle w:val="Tabletext"/>
              <w:jc w:val="right"/>
              <w:rPr>
                <w:b/>
                <w:bCs/>
                <w:sz w:val="20"/>
              </w:rPr>
            </w:pPr>
            <w:r w:rsidRPr="00937C14">
              <w:rPr>
                <w:b/>
                <w:bCs/>
                <w:sz w:val="20"/>
              </w:rPr>
              <w:t>105 000</w:t>
            </w:r>
          </w:p>
        </w:tc>
        <w:tc>
          <w:tcPr>
            <w:tcW w:w="1266" w:type="dxa"/>
            <w:tcBorders>
              <w:top w:val="double" w:sz="4" w:space="0" w:color="auto"/>
            </w:tcBorders>
          </w:tcPr>
          <w:p w14:paraId="26F2015F" w14:textId="177F6D46" w:rsidR="710E5208" w:rsidRPr="00937C14" w:rsidRDefault="710E5208" w:rsidP="00937C14">
            <w:pPr>
              <w:pStyle w:val="Tabletext"/>
              <w:jc w:val="right"/>
              <w:rPr>
                <w:b/>
                <w:bCs/>
                <w:sz w:val="20"/>
              </w:rPr>
            </w:pPr>
            <w:r w:rsidRPr="00937C14">
              <w:rPr>
                <w:b/>
                <w:bCs/>
                <w:sz w:val="20"/>
              </w:rPr>
              <w:t>65 583</w:t>
            </w:r>
          </w:p>
        </w:tc>
        <w:tc>
          <w:tcPr>
            <w:tcW w:w="1421" w:type="dxa"/>
            <w:tcBorders>
              <w:top w:val="double" w:sz="4" w:space="0" w:color="auto"/>
            </w:tcBorders>
          </w:tcPr>
          <w:p w14:paraId="76B66231" w14:textId="47721511" w:rsidR="702F4EDF" w:rsidRPr="00937C14" w:rsidRDefault="702F4EDF" w:rsidP="00937C14">
            <w:pPr>
              <w:pStyle w:val="Tabletext"/>
              <w:jc w:val="right"/>
              <w:rPr>
                <w:b/>
                <w:bCs/>
                <w:sz w:val="20"/>
              </w:rPr>
            </w:pPr>
            <w:r w:rsidRPr="00937C14">
              <w:rPr>
                <w:b/>
                <w:bCs/>
                <w:sz w:val="20"/>
              </w:rPr>
              <w:t>366 312</w:t>
            </w:r>
          </w:p>
        </w:tc>
      </w:tr>
    </w:tbl>
    <w:p w14:paraId="0D880B9D" w14:textId="4A6CEC2C" w:rsidR="17ED7D2A" w:rsidRDefault="17ED7D2A" w:rsidP="00721C21">
      <w:pPr>
        <w:pStyle w:val="Tablefin"/>
      </w:pPr>
    </w:p>
    <w:p w14:paraId="4F1C0222" w14:textId="77777777" w:rsidR="00423068" w:rsidRDefault="00423068" w:rsidP="00423068"/>
    <w:p w14:paraId="008ABF60" w14:textId="62689807" w:rsidR="003D3C48" w:rsidRPr="0008540E" w:rsidRDefault="00423068">
      <w:pPr>
        <w:jc w:val="center"/>
      </w:pPr>
      <w:r>
        <w:t>______________</w:t>
      </w:r>
      <w:bookmarkEnd w:id="11"/>
    </w:p>
    <w:sectPr w:rsidR="003D3C48" w:rsidRPr="0008540E" w:rsidSect="00361097">
      <w:headerReference w:type="default" r:id="rId33"/>
      <w:footerReference w:type="first" r:id="rId34"/>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53925" w14:textId="77777777" w:rsidR="009726A3" w:rsidRDefault="009726A3">
      <w:r>
        <w:separator/>
      </w:r>
    </w:p>
  </w:endnote>
  <w:endnote w:type="continuationSeparator" w:id="0">
    <w:p w14:paraId="03067AA3" w14:textId="77777777" w:rsidR="009726A3" w:rsidRDefault="00972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30D158A" w:rsidR="001D3A41" w:rsidRPr="003F2E54" w:rsidRDefault="001D3A41"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C8074" w14:textId="77777777" w:rsidR="009726A3" w:rsidRDefault="009726A3">
      <w:r>
        <w:t>____________________</w:t>
      </w:r>
    </w:p>
  </w:footnote>
  <w:footnote w:type="continuationSeparator" w:id="0">
    <w:p w14:paraId="52C9FA7A" w14:textId="77777777" w:rsidR="009726A3" w:rsidRDefault="009726A3">
      <w:r>
        <w:continuationSeparator/>
      </w:r>
    </w:p>
  </w:footnote>
  <w:footnote w:id="1">
    <w:p w14:paraId="64716DA8" w14:textId="6A5C5FBB" w:rsidR="67C7819D" w:rsidRDefault="67C7819D" w:rsidP="001F2301">
      <w:pPr>
        <w:pStyle w:val="FootnoteText"/>
      </w:pPr>
      <w:r w:rsidRPr="67C7819D">
        <w:rPr>
          <w:rStyle w:val="FootnoteReference"/>
        </w:rPr>
        <w:footnoteRef/>
      </w:r>
      <w:r>
        <w:t xml:space="preserve"> </w:t>
      </w:r>
      <w:r w:rsidR="001F2301">
        <w:tab/>
      </w:r>
      <w:r w:rsidRPr="001F2301">
        <w:rPr>
          <w:sz w:val="22"/>
          <w:szCs w:val="22"/>
        </w:rPr>
        <w:t xml:space="preserve">The draft Pacific Feasibility Study is available at </w:t>
      </w:r>
      <w:hyperlink r:id="rId1" w:history="1">
        <w:r w:rsidRPr="001F2301">
          <w:rPr>
            <w:rStyle w:val="Hyperlink"/>
            <w:sz w:val="22"/>
            <w:szCs w:val="22"/>
          </w:rPr>
          <w:t>https://www.itu.int/en/ITU-D/Regional-Presence/AsiaPacific/Documents/Projects/Pacific%20Feasibility%20Study/29092026%20ITU%20Pacific%20Regional%20Presence%20Feasibility%20Study%20Draft%20for%20Review.pdf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1D3A41" w:rsidRDefault="001D3A41" w:rsidP="00CE1B90">
    <w:pPr>
      <w:pStyle w:val="Header"/>
    </w:pPr>
    <w:r>
      <w:fldChar w:fldCharType="begin"/>
    </w:r>
    <w:r>
      <w:instrText xml:space="preserve"> PAGE   \* MERGEFORMAT </w:instrText>
    </w:r>
    <w:r>
      <w:fldChar w:fldCharType="separate"/>
    </w:r>
    <w:r>
      <w:rPr>
        <w:noProof/>
      </w:rPr>
      <w:t>2</w:t>
    </w:r>
    <w:r>
      <w:fldChar w:fldCharType="end"/>
    </w:r>
  </w:p>
  <w:p w14:paraId="63F0C33F" w14:textId="4331A913" w:rsidR="001D3A41" w:rsidRDefault="001D3A41" w:rsidP="008F1724">
    <w:pPr>
      <w:pStyle w:val="Header"/>
    </w:pPr>
    <w:r>
      <w:t>PP26/</w:t>
    </w:r>
    <w:r w:rsidR="008F1724">
      <w:t>66</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B480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427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40DF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FE7B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8839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F41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9874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148C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66A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E02C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162C08"/>
    <w:multiLevelType w:val="multilevel"/>
    <w:tmpl w:val="FA64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510A38"/>
    <w:multiLevelType w:val="multilevel"/>
    <w:tmpl w:val="7564E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6B5D7E"/>
    <w:multiLevelType w:val="hybridMultilevel"/>
    <w:tmpl w:val="CCDC9C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907094A"/>
    <w:multiLevelType w:val="multilevel"/>
    <w:tmpl w:val="230E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43CEC5"/>
    <w:multiLevelType w:val="hybridMultilevel"/>
    <w:tmpl w:val="18084AA0"/>
    <w:lvl w:ilvl="0" w:tplc="714CCAEC">
      <w:start w:val="1"/>
      <w:numFmt w:val="decimal"/>
      <w:lvlText w:val="5)"/>
      <w:lvlJc w:val="left"/>
      <w:pPr>
        <w:ind w:left="720" w:hanging="360"/>
      </w:pPr>
    </w:lvl>
    <w:lvl w:ilvl="1" w:tplc="75467840">
      <w:start w:val="1"/>
      <w:numFmt w:val="lowerLetter"/>
      <w:lvlText w:val="%2."/>
      <w:lvlJc w:val="left"/>
      <w:pPr>
        <w:ind w:left="1440" w:hanging="360"/>
      </w:pPr>
    </w:lvl>
    <w:lvl w:ilvl="2" w:tplc="AAB0A4CE">
      <w:start w:val="1"/>
      <w:numFmt w:val="lowerRoman"/>
      <w:lvlText w:val="%3."/>
      <w:lvlJc w:val="right"/>
      <w:pPr>
        <w:ind w:left="2160" w:hanging="180"/>
      </w:pPr>
    </w:lvl>
    <w:lvl w:ilvl="3" w:tplc="DCE854C2">
      <w:start w:val="1"/>
      <w:numFmt w:val="decimal"/>
      <w:lvlText w:val="%4."/>
      <w:lvlJc w:val="left"/>
      <w:pPr>
        <w:ind w:left="2880" w:hanging="360"/>
      </w:pPr>
    </w:lvl>
    <w:lvl w:ilvl="4" w:tplc="F776F90E">
      <w:start w:val="1"/>
      <w:numFmt w:val="lowerLetter"/>
      <w:lvlText w:val="%5."/>
      <w:lvlJc w:val="left"/>
      <w:pPr>
        <w:ind w:left="3600" w:hanging="360"/>
      </w:pPr>
    </w:lvl>
    <w:lvl w:ilvl="5" w:tplc="1A266F64">
      <w:start w:val="1"/>
      <w:numFmt w:val="lowerRoman"/>
      <w:lvlText w:val="%6."/>
      <w:lvlJc w:val="right"/>
      <w:pPr>
        <w:ind w:left="4320" w:hanging="180"/>
      </w:pPr>
    </w:lvl>
    <w:lvl w:ilvl="6" w:tplc="D2660DC2">
      <w:start w:val="1"/>
      <w:numFmt w:val="decimal"/>
      <w:lvlText w:val="%7."/>
      <w:lvlJc w:val="left"/>
      <w:pPr>
        <w:ind w:left="5040" w:hanging="360"/>
      </w:pPr>
    </w:lvl>
    <w:lvl w:ilvl="7" w:tplc="366AED06">
      <w:start w:val="1"/>
      <w:numFmt w:val="lowerLetter"/>
      <w:lvlText w:val="%8."/>
      <w:lvlJc w:val="left"/>
      <w:pPr>
        <w:ind w:left="5760" w:hanging="360"/>
      </w:pPr>
    </w:lvl>
    <w:lvl w:ilvl="8" w:tplc="9D6A584C">
      <w:start w:val="1"/>
      <w:numFmt w:val="lowerRoman"/>
      <w:lvlText w:val="%9."/>
      <w:lvlJc w:val="right"/>
      <w:pPr>
        <w:ind w:left="6480" w:hanging="180"/>
      </w:pPr>
    </w:lvl>
  </w:abstractNum>
  <w:num w:numId="1" w16cid:durableId="1720742489">
    <w:abstractNumId w:val="14"/>
  </w:num>
  <w:num w:numId="2" w16cid:durableId="1058358738">
    <w:abstractNumId w:val="12"/>
  </w:num>
  <w:num w:numId="3" w16cid:durableId="1940215380">
    <w:abstractNumId w:val="9"/>
  </w:num>
  <w:num w:numId="4" w16cid:durableId="210924111">
    <w:abstractNumId w:val="7"/>
  </w:num>
  <w:num w:numId="5" w16cid:durableId="997076387">
    <w:abstractNumId w:val="6"/>
  </w:num>
  <w:num w:numId="6" w16cid:durableId="286741146">
    <w:abstractNumId w:val="5"/>
  </w:num>
  <w:num w:numId="7" w16cid:durableId="149903441">
    <w:abstractNumId w:val="4"/>
  </w:num>
  <w:num w:numId="8" w16cid:durableId="1610818179">
    <w:abstractNumId w:val="8"/>
  </w:num>
  <w:num w:numId="9" w16cid:durableId="1037463191">
    <w:abstractNumId w:val="3"/>
  </w:num>
  <w:num w:numId="10" w16cid:durableId="306251779">
    <w:abstractNumId w:val="2"/>
  </w:num>
  <w:num w:numId="11" w16cid:durableId="1683124518">
    <w:abstractNumId w:val="1"/>
  </w:num>
  <w:num w:numId="12" w16cid:durableId="1675497877">
    <w:abstractNumId w:val="0"/>
  </w:num>
  <w:num w:numId="13" w16cid:durableId="1833570543">
    <w:abstractNumId w:val="11"/>
  </w:num>
  <w:num w:numId="14" w16cid:durableId="1064715897">
    <w:abstractNumId w:val="10"/>
  </w:num>
  <w:num w:numId="15" w16cid:durableId="1188565554">
    <w:abstractNumId w:val="13"/>
  </w:num>
  <w:num w:numId="16" w16cid:durableId="2080981601">
    <w:abstractNumId w:val="8"/>
  </w:num>
  <w:num w:numId="17" w16cid:durableId="1826048472">
    <w:abstractNumId w:val="3"/>
  </w:num>
  <w:num w:numId="18" w16cid:durableId="192155360">
    <w:abstractNumId w:val="2"/>
  </w:num>
  <w:num w:numId="19" w16cid:durableId="545066975">
    <w:abstractNumId w:val="1"/>
  </w:num>
  <w:num w:numId="20" w16cid:durableId="423037646">
    <w:abstractNumId w:val="0"/>
  </w:num>
  <w:num w:numId="21" w16cid:durableId="302656137">
    <w:abstractNumId w:val="8"/>
  </w:num>
  <w:num w:numId="22" w16cid:durableId="1157957913">
    <w:abstractNumId w:val="3"/>
  </w:num>
  <w:num w:numId="23" w16cid:durableId="1980452043">
    <w:abstractNumId w:val="2"/>
  </w:num>
  <w:num w:numId="24" w16cid:durableId="1957254966">
    <w:abstractNumId w:val="1"/>
  </w:num>
  <w:num w:numId="25" w16cid:durableId="1919948354">
    <w:abstractNumId w:val="0"/>
  </w:num>
  <w:num w:numId="26" w16cid:durableId="687408154">
    <w:abstractNumId w:val="8"/>
  </w:num>
  <w:num w:numId="27" w16cid:durableId="523253423">
    <w:abstractNumId w:val="3"/>
  </w:num>
  <w:num w:numId="28" w16cid:durableId="1425146179">
    <w:abstractNumId w:val="2"/>
  </w:num>
  <w:num w:numId="29" w16cid:durableId="1903371707">
    <w:abstractNumId w:val="1"/>
  </w:num>
  <w:num w:numId="30" w16cid:durableId="1752696118">
    <w:abstractNumId w:val="0"/>
  </w:num>
  <w:num w:numId="31" w16cid:durableId="437916808">
    <w:abstractNumId w:val="8"/>
  </w:num>
  <w:num w:numId="32" w16cid:durableId="366880476">
    <w:abstractNumId w:val="3"/>
  </w:num>
  <w:num w:numId="33" w16cid:durableId="959148077">
    <w:abstractNumId w:val="2"/>
  </w:num>
  <w:num w:numId="34" w16cid:durableId="1668513237">
    <w:abstractNumId w:val="1"/>
  </w:num>
  <w:num w:numId="35" w16cid:durableId="358622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573"/>
    <w:rsid w:val="00001935"/>
    <w:rsid w:val="000035FC"/>
    <w:rsid w:val="00004486"/>
    <w:rsid w:val="000048E4"/>
    <w:rsid w:val="00004F8B"/>
    <w:rsid w:val="00007F31"/>
    <w:rsid w:val="00010B2A"/>
    <w:rsid w:val="00011021"/>
    <w:rsid w:val="00011208"/>
    <w:rsid w:val="00012DC2"/>
    <w:rsid w:val="000143FA"/>
    <w:rsid w:val="00014808"/>
    <w:rsid w:val="00015E97"/>
    <w:rsid w:val="00016B63"/>
    <w:rsid w:val="000205DB"/>
    <w:rsid w:val="00021A7F"/>
    <w:rsid w:val="000235EC"/>
    <w:rsid w:val="000238FF"/>
    <w:rsid w:val="00032D7C"/>
    <w:rsid w:val="0003467E"/>
    <w:rsid w:val="00037B0D"/>
    <w:rsid w:val="00037BBC"/>
    <w:rsid w:val="00037E13"/>
    <w:rsid w:val="00037F4B"/>
    <w:rsid w:val="00041924"/>
    <w:rsid w:val="00045617"/>
    <w:rsid w:val="000472DB"/>
    <w:rsid w:val="000507C1"/>
    <w:rsid w:val="00052EF4"/>
    <w:rsid w:val="00053B97"/>
    <w:rsid w:val="00055519"/>
    <w:rsid w:val="00062571"/>
    <w:rsid w:val="000737EB"/>
    <w:rsid w:val="000743E9"/>
    <w:rsid w:val="00074ABC"/>
    <w:rsid w:val="0007655B"/>
    <w:rsid w:val="000766C5"/>
    <w:rsid w:val="0007730D"/>
    <w:rsid w:val="00080FB9"/>
    <w:rsid w:val="000827CE"/>
    <w:rsid w:val="00082EB9"/>
    <w:rsid w:val="000830FD"/>
    <w:rsid w:val="000842DF"/>
    <w:rsid w:val="0008540E"/>
    <w:rsid w:val="00087A7C"/>
    <w:rsid w:val="000932E2"/>
    <w:rsid w:val="00094B4F"/>
    <w:rsid w:val="00095F1F"/>
    <w:rsid w:val="000960AD"/>
    <w:rsid w:val="000968AB"/>
    <w:rsid w:val="00097DB2"/>
    <w:rsid w:val="000A07A1"/>
    <w:rsid w:val="000A1015"/>
    <w:rsid w:val="000A29C0"/>
    <w:rsid w:val="000A46AA"/>
    <w:rsid w:val="000A660E"/>
    <w:rsid w:val="000A67A6"/>
    <w:rsid w:val="000B03D1"/>
    <w:rsid w:val="000B03F9"/>
    <w:rsid w:val="000B07DA"/>
    <w:rsid w:val="000B0A77"/>
    <w:rsid w:val="000B0D6C"/>
    <w:rsid w:val="000B12B7"/>
    <w:rsid w:val="000B26B6"/>
    <w:rsid w:val="000B596F"/>
    <w:rsid w:val="000B5B2C"/>
    <w:rsid w:val="000B5BB9"/>
    <w:rsid w:val="000B699F"/>
    <w:rsid w:val="000B7152"/>
    <w:rsid w:val="000C24B9"/>
    <w:rsid w:val="000C2978"/>
    <w:rsid w:val="000C4025"/>
    <w:rsid w:val="000C4701"/>
    <w:rsid w:val="000C555D"/>
    <w:rsid w:val="000E4C7A"/>
    <w:rsid w:val="000E4D9B"/>
    <w:rsid w:val="000E5C33"/>
    <w:rsid w:val="000E5E15"/>
    <w:rsid w:val="000E770D"/>
    <w:rsid w:val="000F1AE1"/>
    <w:rsid w:val="000F3B60"/>
    <w:rsid w:val="000F5A9A"/>
    <w:rsid w:val="000F6890"/>
    <w:rsid w:val="000F73D1"/>
    <w:rsid w:val="001001C5"/>
    <w:rsid w:val="00101BF3"/>
    <w:rsid w:val="001056FE"/>
    <w:rsid w:val="00105EFE"/>
    <w:rsid w:val="00106777"/>
    <w:rsid w:val="00107182"/>
    <w:rsid w:val="00112B4B"/>
    <w:rsid w:val="001135DE"/>
    <w:rsid w:val="0011489E"/>
    <w:rsid w:val="00114BA3"/>
    <w:rsid w:val="00115DEC"/>
    <w:rsid w:val="0012014C"/>
    <w:rsid w:val="001234F5"/>
    <w:rsid w:val="00123F09"/>
    <w:rsid w:val="0012679D"/>
    <w:rsid w:val="00127FA6"/>
    <w:rsid w:val="001323E7"/>
    <w:rsid w:val="00136175"/>
    <w:rsid w:val="00140FF0"/>
    <w:rsid w:val="00141EA8"/>
    <w:rsid w:val="00142F28"/>
    <w:rsid w:val="001444D8"/>
    <w:rsid w:val="00146057"/>
    <w:rsid w:val="00150940"/>
    <w:rsid w:val="00151315"/>
    <w:rsid w:val="001548BA"/>
    <w:rsid w:val="00157B51"/>
    <w:rsid w:val="00160837"/>
    <w:rsid w:val="00161C12"/>
    <w:rsid w:val="00161CDA"/>
    <w:rsid w:val="00163FC8"/>
    <w:rsid w:val="00164DE6"/>
    <w:rsid w:val="00164ED6"/>
    <w:rsid w:val="0016633C"/>
    <w:rsid w:val="00171990"/>
    <w:rsid w:val="00172914"/>
    <w:rsid w:val="00174D4F"/>
    <w:rsid w:val="00177749"/>
    <w:rsid w:val="00180E62"/>
    <w:rsid w:val="00183B97"/>
    <w:rsid w:val="00192F0E"/>
    <w:rsid w:val="00194872"/>
    <w:rsid w:val="00195B70"/>
    <w:rsid w:val="001A0EEB"/>
    <w:rsid w:val="001A16ED"/>
    <w:rsid w:val="001A727A"/>
    <w:rsid w:val="001B0401"/>
    <w:rsid w:val="001B18AB"/>
    <w:rsid w:val="001B5AAE"/>
    <w:rsid w:val="001B63DE"/>
    <w:rsid w:val="001B6517"/>
    <w:rsid w:val="001B70D1"/>
    <w:rsid w:val="001C2D51"/>
    <w:rsid w:val="001C3804"/>
    <w:rsid w:val="001D02C8"/>
    <w:rsid w:val="001D3322"/>
    <w:rsid w:val="001D3A1A"/>
    <w:rsid w:val="001D3A41"/>
    <w:rsid w:val="001E01A5"/>
    <w:rsid w:val="001E18AB"/>
    <w:rsid w:val="001E1C8F"/>
    <w:rsid w:val="001E4470"/>
    <w:rsid w:val="001E5A88"/>
    <w:rsid w:val="001F0499"/>
    <w:rsid w:val="001F08E4"/>
    <w:rsid w:val="001F0B24"/>
    <w:rsid w:val="001F2301"/>
    <w:rsid w:val="001F4060"/>
    <w:rsid w:val="001F4556"/>
    <w:rsid w:val="001F4DD1"/>
    <w:rsid w:val="001F58F3"/>
    <w:rsid w:val="001F659D"/>
    <w:rsid w:val="001F6A9A"/>
    <w:rsid w:val="001F6B22"/>
    <w:rsid w:val="001F72EB"/>
    <w:rsid w:val="00204415"/>
    <w:rsid w:val="002076E6"/>
    <w:rsid w:val="002115E0"/>
    <w:rsid w:val="00212B3F"/>
    <w:rsid w:val="00212CD4"/>
    <w:rsid w:val="00213909"/>
    <w:rsid w:val="0021540E"/>
    <w:rsid w:val="00215F12"/>
    <w:rsid w:val="00217CA9"/>
    <w:rsid w:val="0022114D"/>
    <w:rsid w:val="00223CA7"/>
    <w:rsid w:val="00230834"/>
    <w:rsid w:val="00230934"/>
    <w:rsid w:val="00230C69"/>
    <w:rsid w:val="00230C6F"/>
    <w:rsid w:val="0023201E"/>
    <w:rsid w:val="00232B31"/>
    <w:rsid w:val="00232F62"/>
    <w:rsid w:val="00235A3B"/>
    <w:rsid w:val="00235C84"/>
    <w:rsid w:val="00235DD5"/>
    <w:rsid w:val="00235F86"/>
    <w:rsid w:val="00243BE4"/>
    <w:rsid w:val="0024576F"/>
    <w:rsid w:val="002473CD"/>
    <w:rsid w:val="00252321"/>
    <w:rsid w:val="00257188"/>
    <w:rsid w:val="002575BB"/>
    <w:rsid w:val="00257824"/>
    <w:rsid w:val="002578B4"/>
    <w:rsid w:val="002628B2"/>
    <w:rsid w:val="00264530"/>
    <w:rsid w:val="002646C6"/>
    <w:rsid w:val="0026631F"/>
    <w:rsid w:val="00267D12"/>
    <w:rsid w:val="00267F83"/>
    <w:rsid w:val="00270AE2"/>
    <w:rsid w:val="00280A9D"/>
    <w:rsid w:val="00280CD1"/>
    <w:rsid w:val="002813FA"/>
    <w:rsid w:val="00281792"/>
    <w:rsid w:val="0028226B"/>
    <w:rsid w:val="00285FE8"/>
    <w:rsid w:val="0028799E"/>
    <w:rsid w:val="00291727"/>
    <w:rsid w:val="00291B92"/>
    <w:rsid w:val="002932A9"/>
    <w:rsid w:val="002962A8"/>
    <w:rsid w:val="002966B4"/>
    <w:rsid w:val="0029733D"/>
    <w:rsid w:val="002A0970"/>
    <w:rsid w:val="002A2410"/>
    <w:rsid w:val="002A360D"/>
    <w:rsid w:val="002A56C0"/>
    <w:rsid w:val="002A5BD1"/>
    <w:rsid w:val="002A6E2C"/>
    <w:rsid w:val="002A78CD"/>
    <w:rsid w:val="002B0186"/>
    <w:rsid w:val="002B09C9"/>
    <w:rsid w:val="002B2E88"/>
    <w:rsid w:val="002B32A0"/>
    <w:rsid w:val="002B4620"/>
    <w:rsid w:val="002B4C0A"/>
    <w:rsid w:val="002C23EE"/>
    <w:rsid w:val="002C2ABD"/>
    <w:rsid w:val="002C4C91"/>
    <w:rsid w:val="002C4E6E"/>
    <w:rsid w:val="002D51DD"/>
    <w:rsid w:val="002D734A"/>
    <w:rsid w:val="002E05DB"/>
    <w:rsid w:val="002E2461"/>
    <w:rsid w:val="002E5B02"/>
    <w:rsid w:val="002E77F4"/>
    <w:rsid w:val="002F09AC"/>
    <w:rsid w:val="002F2448"/>
    <w:rsid w:val="002F30F7"/>
    <w:rsid w:val="002F36B9"/>
    <w:rsid w:val="002F3EAA"/>
    <w:rsid w:val="002F5FA2"/>
    <w:rsid w:val="00300960"/>
    <w:rsid w:val="003011E4"/>
    <w:rsid w:val="003033EE"/>
    <w:rsid w:val="003038E3"/>
    <w:rsid w:val="00305382"/>
    <w:rsid w:val="00307305"/>
    <w:rsid w:val="00310A85"/>
    <w:rsid w:val="003126B0"/>
    <w:rsid w:val="00313F73"/>
    <w:rsid w:val="00314127"/>
    <w:rsid w:val="00314C12"/>
    <w:rsid w:val="00317431"/>
    <w:rsid w:val="003235B4"/>
    <w:rsid w:val="00324486"/>
    <w:rsid w:val="003261C3"/>
    <w:rsid w:val="00337102"/>
    <w:rsid w:val="00341DE6"/>
    <w:rsid w:val="0034511E"/>
    <w:rsid w:val="00345270"/>
    <w:rsid w:val="003453DA"/>
    <w:rsid w:val="0034729A"/>
    <w:rsid w:val="00347944"/>
    <w:rsid w:val="00351F29"/>
    <w:rsid w:val="00354179"/>
    <w:rsid w:val="00355EAF"/>
    <w:rsid w:val="00357754"/>
    <w:rsid w:val="003578E4"/>
    <w:rsid w:val="00361097"/>
    <w:rsid w:val="003614A0"/>
    <w:rsid w:val="003621B0"/>
    <w:rsid w:val="003623F7"/>
    <w:rsid w:val="00362429"/>
    <w:rsid w:val="00362CCB"/>
    <w:rsid w:val="00363D6A"/>
    <w:rsid w:val="00367CF7"/>
    <w:rsid w:val="00371E4F"/>
    <w:rsid w:val="0037303C"/>
    <w:rsid w:val="00373244"/>
    <w:rsid w:val="00373A0D"/>
    <w:rsid w:val="003740BC"/>
    <w:rsid w:val="00375076"/>
    <w:rsid w:val="00375B2F"/>
    <w:rsid w:val="00375BBA"/>
    <w:rsid w:val="00382266"/>
    <w:rsid w:val="003826EA"/>
    <w:rsid w:val="00383AB1"/>
    <w:rsid w:val="00393CB1"/>
    <w:rsid w:val="00394B4B"/>
    <w:rsid w:val="00394FFA"/>
    <w:rsid w:val="00395CE4"/>
    <w:rsid w:val="00396794"/>
    <w:rsid w:val="003A32AD"/>
    <w:rsid w:val="003A33F1"/>
    <w:rsid w:val="003A37DD"/>
    <w:rsid w:val="003A3916"/>
    <w:rsid w:val="003A3938"/>
    <w:rsid w:val="003A45D3"/>
    <w:rsid w:val="003A4D03"/>
    <w:rsid w:val="003A4E67"/>
    <w:rsid w:val="003A4FBD"/>
    <w:rsid w:val="003A5FFB"/>
    <w:rsid w:val="003A66EE"/>
    <w:rsid w:val="003A759A"/>
    <w:rsid w:val="003A7923"/>
    <w:rsid w:val="003A7FB6"/>
    <w:rsid w:val="003B3751"/>
    <w:rsid w:val="003C52E2"/>
    <w:rsid w:val="003C7BA7"/>
    <w:rsid w:val="003D3C48"/>
    <w:rsid w:val="003D4829"/>
    <w:rsid w:val="003D590C"/>
    <w:rsid w:val="003D7DFF"/>
    <w:rsid w:val="003E284C"/>
    <w:rsid w:val="003E50A5"/>
    <w:rsid w:val="003E740D"/>
    <w:rsid w:val="003E7C24"/>
    <w:rsid w:val="003F032B"/>
    <w:rsid w:val="003F0763"/>
    <w:rsid w:val="003F2121"/>
    <w:rsid w:val="003F2490"/>
    <w:rsid w:val="003F2E54"/>
    <w:rsid w:val="003F5483"/>
    <w:rsid w:val="003F5771"/>
    <w:rsid w:val="003F61F3"/>
    <w:rsid w:val="003F6386"/>
    <w:rsid w:val="004005FF"/>
    <w:rsid w:val="004014B0"/>
    <w:rsid w:val="0040374F"/>
    <w:rsid w:val="004059B0"/>
    <w:rsid w:val="00405CE2"/>
    <w:rsid w:val="0040601C"/>
    <w:rsid w:val="004063CA"/>
    <w:rsid w:val="0041030F"/>
    <w:rsid w:val="00412573"/>
    <w:rsid w:val="00423068"/>
    <w:rsid w:val="004242B0"/>
    <w:rsid w:val="00425320"/>
    <w:rsid w:val="00426381"/>
    <w:rsid w:val="0042639D"/>
    <w:rsid w:val="00426AC1"/>
    <w:rsid w:val="00430B4C"/>
    <w:rsid w:val="00430B4F"/>
    <w:rsid w:val="004318BC"/>
    <w:rsid w:val="004321DC"/>
    <w:rsid w:val="0043376F"/>
    <w:rsid w:val="00435AA4"/>
    <w:rsid w:val="00435EA8"/>
    <w:rsid w:val="004360BB"/>
    <w:rsid w:val="00440B32"/>
    <w:rsid w:val="00443BF5"/>
    <w:rsid w:val="004455D5"/>
    <w:rsid w:val="0044665A"/>
    <w:rsid w:val="004529ED"/>
    <w:rsid w:val="0045533C"/>
    <w:rsid w:val="004555A0"/>
    <w:rsid w:val="004606DA"/>
    <w:rsid w:val="004623B3"/>
    <w:rsid w:val="00463092"/>
    <w:rsid w:val="004642B4"/>
    <w:rsid w:val="004676C0"/>
    <w:rsid w:val="0047180F"/>
    <w:rsid w:val="00473E88"/>
    <w:rsid w:val="00474E00"/>
    <w:rsid w:val="0048004C"/>
    <w:rsid w:val="004835DB"/>
    <w:rsid w:val="00484BD6"/>
    <w:rsid w:val="00490204"/>
    <w:rsid w:val="0049145C"/>
    <w:rsid w:val="00491D2D"/>
    <w:rsid w:val="00492333"/>
    <w:rsid w:val="00492B57"/>
    <w:rsid w:val="00492B9B"/>
    <w:rsid w:val="00494797"/>
    <w:rsid w:val="00497224"/>
    <w:rsid w:val="004978CB"/>
    <w:rsid w:val="00497986"/>
    <w:rsid w:val="004A0460"/>
    <w:rsid w:val="004A46D6"/>
    <w:rsid w:val="004A63F4"/>
    <w:rsid w:val="004B062F"/>
    <w:rsid w:val="004B0C10"/>
    <w:rsid w:val="004B167B"/>
    <w:rsid w:val="004B5BD9"/>
    <w:rsid w:val="004C0EF7"/>
    <w:rsid w:val="004C19D7"/>
    <w:rsid w:val="004C297B"/>
    <w:rsid w:val="004C3AEC"/>
    <w:rsid w:val="004C49A2"/>
    <w:rsid w:val="004C73C9"/>
    <w:rsid w:val="004D18C1"/>
    <w:rsid w:val="004D552E"/>
    <w:rsid w:val="004D5E15"/>
    <w:rsid w:val="004D7CC5"/>
    <w:rsid w:val="004E01FA"/>
    <w:rsid w:val="004E5BCE"/>
    <w:rsid w:val="004E6764"/>
    <w:rsid w:val="004F041D"/>
    <w:rsid w:val="004F0E63"/>
    <w:rsid w:val="004F1C55"/>
    <w:rsid w:val="004F30DC"/>
    <w:rsid w:val="004F38F2"/>
    <w:rsid w:val="004F7925"/>
    <w:rsid w:val="00502714"/>
    <w:rsid w:val="00504EE4"/>
    <w:rsid w:val="00504FE5"/>
    <w:rsid w:val="00507348"/>
    <w:rsid w:val="00507387"/>
    <w:rsid w:val="0051008C"/>
    <w:rsid w:val="00512487"/>
    <w:rsid w:val="0051328E"/>
    <w:rsid w:val="0051518F"/>
    <w:rsid w:val="00516A95"/>
    <w:rsid w:val="00517093"/>
    <w:rsid w:val="00521433"/>
    <w:rsid w:val="00521B2C"/>
    <w:rsid w:val="00522C97"/>
    <w:rsid w:val="005255D7"/>
    <w:rsid w:val="0052586B"/>
    <w:rsid w:val="005356FD"/>
    <w:rsid w:val="00540B0E"/>
    <w:rsid w:val="00541728"/>
    <w:rsid w:val="00543571"/>
    <w:rsid w:val="00547D75"/>
    <w:rsid w:val="00551383"/>
    <w:rsid w:val="00551C8B"/>
    <w:rsid w:val="00551D44"/>
    <w:rsid w:val="00552C93"/>
    <w:rsid w:val="005549A9"/>
    <w:rsid w:val="00554E24"/>
    <w:rsid w:val="00555A0F"/>
    <w:rsid w:val="00555FFB"/>
    <w:rsid w:val="00555FFD"/>
    <w:rsid w:val="00560523"/>
    <w:rsid w:val="00561ACC"/>
    <w:rsid w:val="005647DC"/>
    <w:rsid w:val="00564E2A"/>
    <w:rsid w:val="00565401"/>
    <w:rsid w:val="00567130"/>
    <w:rsid w:val="0057034B"/>
    <w:rsid w:val="00570F8A"/>
    <w:rsid w:val="00572CFE"/>
    <w:rsid w:val="0057510D"/>
    <w:rsid w:val="005771C3"/>
    <w:rsid w:val="00581E8F"/>
    <w:rsid w:val="00582894"/>
    <w:rsid w:val="00585AC0"/>
    <w:rsid w:val="00586A98"/>
    <w:rsid w:val="005870DE"/>
    <w:rsid w:val="00587612"/>
    <w:rsid w:val="005909AD"/>
    <w:rsid w:val="00591624"/>
    <w:rsid w:val="005916EB"/>
    <w:rsid w:val="00591C15"/>
    <w:rsid w:val="00591C74"/>
    <w:rsid w:val="005927A4"/>
    <w:rsid w:val="00592E8C"/>
    <w:rsid w:val="00594634"/>
    <w:rsid w:val="00596B48"/>
    <w:rsid w:val="005A0280"/>
    <w:rsid w:val="005A0AEE"/>
    <w:rsid w:val="005A1568"/>
    <w:rsid w:val="005A457A"/>
    <w:rsid w:val="005A4D8B"/>
    <w:rsid w:val="005A51B8"/>
    <w:rsid w:val="005B10E8"/>
    <w:rsid w:val="005B1BC8"/>
    <w:rsid w:val="005B3DE5"/>
    <w:rsid w:val="005B5026"/>
    <w:rsid w:val="005B661F"/>
    <w:rsid w:val="005C3315"/>
    <w:rsid w:val="005D036B"/>
    <w:rsid w:val="005D1411"/>
    <w:rsid w:val="005E1CC3"/>
    <w:rsid w:val="005E6EA5"/>
    <w:rsid w:val="005F05C8"/>
    <w:rsid w:val="005F08A7"/>
    <w:rsid w:val="005F2731"/>
    <w:rsid w:val="005F3A52"/>
    <w:rsid w:val="005F5B4C"/>
    <w:rsid w:val="005F6A52"/>
    <w:rsid w:val="005F7C2B"/>
    <w:rsid w:val="0060073B"/>
    <w:rsid w:val="006028EC"/>
    <w:rsid w:val="00604079"/>
    <w:rsid w:val="00605696"/>
    <w:rsid w:val="00606A6A"/>
    <w:rsid w:val="006146D7"/>
    <w:rsid w:val="0061591B"/>
    <w:rsid w:val="00616111"/>
    <w:rsid w:val="00617BE4"/>
    <w:rsid w:val="00620233"/>
    <w:rsid w:val="00620549"/>
    <w:rsid w:val="00621759"/>
    <w:rsid w:val="006236AA"/>
    <w:rsid w:val="006242B0"/>
    <w:rsid w:val="0062486A"/>
    <w:rsid w:val="0062512C"/>
    <w:rsid w:val="00626520"/>
    <w:rsid w:val="00627DF4"/>
    <w:rsid w:val="00631221"/>
    <w:rsid w:val="006314E7"/>
    <w:rsid w:val="00631E21"/>
    <w:rsid w:val="00635959"/>
    <w:rsid w:val="006370FC"/>
    <w:rsid w:val="0063768C"/>
    <w:rsid w:val="006404B0"/>
    <w:rsid w:val="00640537"/>
    <w:rsid w:val="00640A1A"/>
    <w:rsid w:val="00642473"/>
    <w:rsid w:val="006427F9"/>
    <w:rsid w:val="00642EC9"/>
    <w:rsid w:val="006452CF"/>
    <w:rsid w:val="00647A87"/>
    <w:rsid w:val="00647C31"/>
    <w:rsid w:val="0065023A"/>
    <w:rsid w:val="006533B5"/>
    <w:rsid w:val="006542C4"/>
    <w:rsid w:val="00654A8F"/>
    <w:rsid w:val="00656FDD"/>
    <w:rsid w:val="00664077"/>
    <w:rsid w:val="0066499C"/>
    <w:rsid w:val="00665F05"/>
    <w:rsid w:val="00670D3A"/>
    <w:rsid w:val="006718DF"/>
    <w:rsid w:val="00673D77"/>
    <w:rsid w:val="00673EEC"/>
    <w:rsid w:val="0067502C"/>
    <w:rsid w:val="00676E68"/>
    <w:rsid w:val="006774FD"/>
    <w:rsid w:val="00683FD2"/>
    <w:rsid w:val="00692FB9"/>
    <w:rsid w:val="00696392"/>
    <w:rsid w:val="00697376"/>
    <w:rsid w:val="0069784D"/>
    <w:rsid w:val="006A0B21"/>
    <w:rsid w:val="006A16E4"/>
    <w:rsid w:val="006A1996"/>
    <w:rsid w:val="006A1DEB"/>
    <w:rsid w:val="006A7108"/>
    <w:rsid w:val="006B2035"/>
    <w:rsid w:val="006B4023"/>
    <w:rsid w:val="006B40DA"/>
    <w:rsid w:val="006B43E6"/>
    <w:rsid w:val="006B5533"/>
    <w:rsid w:val="006B63CF"/>
    <w:rsid w:val="006B79C0"/>
    <w:rsid w:val="006C1B6E"/>
    <w:rsid w:val="006C2B5C"/>
    <w:rsid w:val="006C3A85"/>
    <w:rsid w:val="006C4431"/>
    <w:rsid w:val="006C5D5D"/>
    <w:rsid w:val="006C5E91"/>
    <w:rsid w:val="006D12D6"/>
    <w:rsid w:val="006D139F"/>
    <w:rsid w:val="006D4736"/>
    <w:rsid w:val="006D4877"/>
    <w:rsid w:val="006E215D"/>
    <w:rsid w:val="006E310F"/>
    <w:rsid w:val="006E49EA"/>
    <w:rsid w:val="006E57C8"/>
    <w:rsid w:val="006E653C"/>
    <w:rsid w:val="006E70E1"/>
    <w:rsid w:val="006F27C9"/>
    <w:rsid w:val="006F431F"/>
    <w:rsid w:val="006F565E"/>
    <w:rsid w:val="006F6D3F"/>
    <w:rsid w:val="006F794B"/>
    <w:rsid w:val="007001E7"/>
    <w:rsid w:val="007010BA"/>
    <w:rsid w:val="00701ABB"/>
    <w:rsid w:val="00703785"/>
    <w:rsid w:val="007049C8"/>
    <w:rsid w:val="00711035"/>
    <w:rsid w:val="00711B1C"/>
    <w:rsid w:val="007130ED"/>
    <w:rsid w:val="007140CF"/>
    <w:rsid w:val="0071582A"/>
    <w:rsid w:val="0072196E"/>
    <w:rsid w:val="00721C21"/>
    <w:rsid w:val="00721D35"/>
    <w:rsid w:val="00722595"/>
    <w:rsid w:val="007236F8"/>
    <w:rsid w:val="00724811"/>
    <w:rsid w:val="00727ACA"/>
    <w:rsid w:val="00732732"/>
    <w:rsid w:val="0073319E"/>
    <w:rsid w:val="0073383C"/>
    <w:rsid w:val="00733C8A"/>
    <w:rsid w:val="00737F2E"/>
    <w:rsid w:val="00740185"/>
    <w:rsid w:val="00740859"/>
    <w:rsid w:val="007408F4"/>
    <w:rsid w:val="00745A37"/>
    <w:rsid w:val="00747200"/>
    <w:rsid w:val="00750829"/>
    <w:rsid w:val="00750A26"/>
    <w:rsid w:val="00750AF4"/>
    <w:rsid w:val="007538C9"/>
    <w:rsid w:val="00753F63"/>
    <w:rsid w:val="007542C4"/>
    <w:rsid w:val="00754729"/>
    <w:rsid w:val="00754C0B"/>
    <w:rsid w:val="00755067"/>
    <w:rsid w:val="007561B6"/>
    <w:rsid w:val="00756415"/>
    <w:rsid w:val="00757DED"/>
    <w:rsid w:val="0075D463"/>
    <w:rsid w:val="0076046B"/>
    <w:rsid w:val="00760DA2"/>
    <w:rsid w:val="00761A04"/>
    <w:rsid w:val="007648ED"/>
    <w:rsid w:val="007649DA"/>
    <w:rsid w:val="00765553"/>
    <w:rsid w:val="00765CA7"/>
    <w:rsid w:val="00773FAC"/>
    <w:rsid w:val="00776A0B"/>
    <w:rsid w:val="00777B8B"/>
    <w:rsid w:val="007805B1"/>
    <w:rsid w:val="00782574"/>
    <w:rsid w:val="00786962"/>
    <w:rsid w:val="00790998"/>
    <w:rsid w:val="00794688"/>
    <w:rsid w:val="00794795"/>
    <w:rsid w:val="007949EA"/>
    <w:rsid w:val="00795797"/>
    <w:rsid w:val="00796849"/>
    <w:rsid w:val="00796DAE"/>
    <w:rsid w:val="00796EB5"/>
    <w:rsid w:val="00797727"/>
    <w:rsid w:val="007A2D22"/>
    <w:rsid w:val="007A3EC3"/>
    <w:rsid w:val="007A59C3"/>
    <w:rsid w:val="007A78A4"/>
    <w:rsid w:val="007B0034"/>
    <w:rsid w:val="007B0E06"/>
    <w:rsid w:val="007B10E5"/>
    <w:rsid w:val="007B16AA"/>
    <w:rsid w:val="007B30FC"/>
    <w:rsid w:val="007B46D9"/>
    <w:rsid w:val="007B4877"/>
    <w:rsid w:val="007B7574"/>
    <w:rsid w:val="007C0C39"/>
    <w:rsid w:val="007C3643"/>
    <w:rsid w:val="007C5CDF"/>
    <w:rsid w:val="007C617F"/>
    <w:rsid w:val="007C71A7"/>
    <w:rsid w:val="007D3411"/>
    <w:rsid w:val="007D5061"/>
    <w:rsid w:val="007D544D"/>
    <w:rsid w:val="007D7003"/>
    <w:rsid w:val="007D744B"/>
    <w:rsid w:val="007E00D2"/>
    <w:rsid w:val="007E1819"/>
    <w:rsid w:val="007E2AD4"/>
    <w:rsid w:val="007E3469"/>
    <w:rsid w:val="007E4A15"/>
    <w:rsid w:val="007E5E17"/>
    <w:rsid w:val="007E7B63"/>
    <w:rsid w:val="007F06A2"/>
    <w:rsid w:val="007F1151"/>
    <w:rsid w:val="007F533D"/>
    <w:rsid w:val="0080473D"/>
    <w:rsid w:val="00810AD6"/>
    <w:rsid w:val="008146C8"/>
    <w:rsid w:val="00816DF3"/>
    <w:rsid w:val="008216B1"/>
    <w:rsid w:val="008220BF"/>
    <w:rsid w:val="00822896"/>
    <w:rsid w:val="0082780C"/>
    <w:rsid w:val="008333C7"/>
    <w:rsid w:val="00833E0F"/>
    <w:rsid w:val="008404FD"/>
    <w:rsid w:val="008417D1"/>
    <w:rsid w:val="00841AB4"/>
    <w:rsid w:val="00843316"/>
    <w:rsid w:val="00844C8E"/>
    <w:rsid w:val="00846DBA"/>
    <w:rsid w:val="00846F4B"/>
    <w:rsid w:val="00847E5F"/>
    <w:rsid w:val="0085021D"/>
    <w:rsid w:val="00850A52"/>
    <w:rsid w:val="00850AEF"/>
    <w:rsid w:val="00851B6D"/>
    <w:rsid w:val="008546DE"/>
    <w:rsid w:val="00855DAB"/>
    <w:rsid w:val="00857A12"/>
    <w:rsid w:val="00860C6A"/>
    <w:rsid w:val="00862891"/>
    <w:rsid w:val="00862BA9"/>
    <w:rsid w:val="00863978"/>
    <w:rsid w:val="00865435"/>
    <w:rsid w:val="0087007A"/>
    <w:rsid w:val="00875048"/>
    <w:rsid w:val="00875BE1"/>
    <w:rsid w:val="00876856"/>
    <w:rsid w:val="0087769A"/>
    <w:rsid w:val="00877715"/>
    <w:rsid w:val="00880862"/>
    <w:rsid w:val="00884F7E"/>
    <w:rsid w:val="00886BB8"/>
    <w:rsid w:val="00890D57"/>
    <w:rsid w:val="00895CE3"/>
    <w:rsid w:val="0089603F"/>
    <w:rsid w:val="00897970"/>
    <w:rsid w:val="008A0E3F"/>
    <w:rsid w:val="008A5B0B"/>
    <w:rsid w:val="008B2CBE"/>
    <w:rsid w:val="008B3020"/>
    <w:rsid w:val="008B5A71"/>
    <w:rsid w:val="008B5B2F"/>
    <w:rsid w:val="008C01F6"/>
    <w:rsid w:val="008C0234"/>
    <w:rsid w:val="008C072B"/>
    <w:rsid w:val="008C1C84"/>
    <w:rsid w:val="008C21DC"/>
    <w:rsid w:val="008C49F4"/>
    <w:rsid w:val="008C4B6B"/>
    <w:rsid w:val="008C6255"/>
    <w:rsid w:val="008D3058"/>
    <w:rsid w:val="008D3BE2"/>
    <w:rsid w:val="008D4225"/>
    <w:rsid w:val="008D4D98"/>
    <w:rsid w:val="008D61AD"/>
    <w:rsid w:val="008E06B1"/>
    <w:rsid w:val="008E2A7B"/>
    <w:rsid w:val="008E3A34"/>
    <w:rsid w:val="008E3AAE"/>
    <w:rsid w:val="008E4FA3"/>
    <w:rsid w:val="008E6E9B"/>
    <w:rsid w:val="008F1724"/>
    <w:rsid w:val="008F2BDA"/>
    <w:rsid w:val="008F2C56"/>
    <w:rsid w:val="008F3C99"/>
    <w:rsid w:val="008F3E98"/>
    <w:rsid w:val="008F4601"/>
    <w:rsid w:val="008F7EF9"/>
    <w:rsid w:val="00900D5B"/>
    <w:rsid w:val="0090222A"/>
    <w:rsid w:val="00906897"/>
    <w:rsid w:val="009100A2"/>
    <w:rsid w:val="00910C12"/>
    <w:rsid w:val="00912097"/>
    <w:rsid w:val="00915E08"/>
    <w:rsid w:val="0091755F"/>
    <w:rsid w:val="00921E02"/>
    <w:rsid w:val="0092286B"/>
    <w:rsid w:val="00922A3D"/>
    <w:rsid w:val="00923654"/>
    <w:rsid w:val="009236FE"/>
    <w:rsid w:val="009267C6"/>
    <w:rsid w:val="00930AD4"/>
    <w:rsid w:val="009313A3"/>
    <w:rsid w:val="009335E6"/>
    <w:rsid w:val="00936732"/>
    <w:rsid w:val="00937C14"/>
    <w:rsid w:val="00940E00"/>
    <w:rsid w:val="00941BA3"/>
    <w:rsid w:val="00944309"/>
    <w:rsid w:val="00945D4B"/>
    <w:rsid w:val="0094741F"/>
    <w:rsid w:val="009509A2"/>
    <w:rsid w:val="00950B0B"/>
    <w:rsid w:val="00950E0F"/>
    <w:rsid w:val="00950ED8"/>
    <w:rsid w:val="00954306"/>
    <w:rsid w:val="00961300"/>
    <w:rsid w:val="0096150D"/>
    <w:rsid w:val="009620D5"/>
    <w:rsid w:val="009630FA"/>
    <w:rsid w:val="0096666E"/>
    <w:rsid w:val="00966AB2"/>
    <w:rsid w:val="00967103"/>
    <w:rsid w:val="00967670"/>
    <w:rsid w:val="009676B2"/>
    <w:rsid w:val="00970996"/>
    <w:rsid w:val="009714B3"/>
    <w:rsid w:val="009718A3"/>
    <w:rsid w:val="009726A3"/>
    <w:rsid w:val="00975E4E"/>
    <w:rsid w:val="009800CC"/>
    <w:rsid w:val="00981459"/>
    <w:rsid w:val="00981CAB"/>
    <w:rsid w:val="00985F1B"/>
    <w:rsid w:val="00990E69"/>
    <w:rsid w:val="009914E0"/>
    <w:rsid w:val="00992B79"/>
    <w:rsid w:val="00993589"/>
    <w:rsid w:val="0099D345"/>
    <w:rsid w:val="009A078E"/>
    <w:rsid w:val="009A1264"/>
    <w:rsid w:val="009A2B30"/>
    <w:rsid w:val="009A33BE"/>
    <w:rsid w:val="009A34DA"/>
    <w:rsid w:val="009A4211"/>
    <w:rsid w:val="009A47A2"/>
    <w:rsid w:val="009A59DE"/>
    <w:rsid w:val="009A6B2E"/>
    <w:rsid w:val="009A6CAD"/>
    <w:rsid w:val="009A6E25"/>
    <w:rsid w:val="009A6F99"/>
    <w:rsid w:val="009B05DD"/>
    <w:rsid w:val="009B186A"/>
    <w:rsid w:val="009B2410"/>
    <w:rsid w:val="009B2A16"/>
    <w:rsid w:val="009B30C3"/>
    <w:rsid w:val="009C04F5"/>
    <w:rsid w:val="009C2483"/>
    <w:rsid w:val="009C4102"/>
    <w:rsid w:val="009C5C67"/>
    <w:rsid w:val="009C786D"/>
    <w:rsid w:val="009D3CB6"/>
    <w:rsid w:val="009D51E9"/>
    <w:rsid w:val="009D590E"/>
    <w:rsid w:val="009E02B4"/>
    <w:rsid w:val="009E425E"/>
    <w:rsid w:val="009E4322"/>
    <w:rsid w:val="009E600F"/>
    <w:rsid w:val="009F0183"/>
    <w:rsid w:val="009F296D"/>
    <w:rsid w:val="009F4384"/>
    <w:rsid w:val="009F43B9"/>
    <w:rsid w:val="009F442D"/>
    <w:rsid w:val="009F4DB5"/>
    <w:rsid w:val="009F50DA"/>
    <w:rsid w:val="009F603B"/>
    <w:rsid w:val="00A014FC"/>
    <w:rsid w:val="00A015AD"/>
    <w:rsid w:val="00A0176D"/>
    <w:rsid w:val="00A0252E"/>
    <w:rsid w:val="00A03CEA"/>
    <w:rsid w:val="00A03EFA"/>
    <w:rsid w:val="00A046DA"/>
    <w:rsid w:val="00A06D56"/>
    <w:rsid w:val="00A1030F"/>
    <w:rsid w:val="00A1063E"/>
    <w:rsid w:val="00A10706"/>
    <w:rsid w:val="00A10A40"/>
    <w:rsid w:val="00A124D0"/>
    <w:rsid w:val="00A13BA3"/>
    <w:rsid w:val="00A14610"/>
    <w:rsid w:val="00A2057D"/>
    <w:rsid w:val="00A20E5D"/>
    <w:rsid w:val="00A21662"/>
    <w:rsid w:val="00A25959"/>
    <w:rsid w:val="00A314A2"/>
    <w:rsid w:val="00A31EAF"/>
    <w:rsid w:val="00A32EDE"/>
    <w:rsid w:val="00A373AF"/>
    <w:rsid w:val="00A409B1"/>
    <w:rsid w:val="00A411D6"/>
    <w:rsid w:val="00A47CFC"/>
    <w:rsid w:val="00A516BB"/>
    <w:rsid w:val="00A52430"/>
    <w:rsid w:val="00A52918"/>
    <w:rsid w:val="00A5606A"/>
    <w:rsid w:val="00A619C5"/>
    <w:rsid w:val="00A641F1"/>
    <w:rsid w:val="00A6465E"/>
    <w:rsid w:val="00A66AC3"/>
    <w:rsid w:val="00A70579"/>
    <w:rsid w:val="00A729B6"/>
    <w:rsid w:val="00A73A6C"/>
    <w:rsid w:val="00A75CC1"/>
    <w:rsid w:val="00A760D0"/>
    <w:rsid w:val="00A808E1"/>
    <w:rsid w:val="00A8262F"/>
    <w:rsid w:val="00A84A96"/>
    <w:rsid w:val="00A84B32"/>
    <w:rsid w:val="00A84B3A"/>
    <w:rsid w:val="00A85BD2"/>
    <w:rsid w:val="00A87124"/>
    <w:rsid w:val="00A90ED4"/>
    <w:rsid w:val="00A91165"/>
    <w:rsid w:val="00A924EF"/>
    <w:rsid w:val="00A9376F"/>
    <w:rsid w:val="00A93B71"/>
    <w:rsid w:val="00A9611D"/>
    <w:rsid w:val="00AA3E6F"/>
    <w:rsid w:val="00AA7262"/>
    <w:rsid w:val="00AA7FBC"/>
    <w:rsid w:val="00AB0B32"/>
    <w:rsid w:val="00AB190D"/>
    <w:rsid w:val="00AB2D04"/>
    <w:rsid w:val="00AB39F2"/>
    <w:rsid w:val="00AB5C39"/>
    <w:rsid w:val="00AB65EB"/>
    <w:rsid w:val="00AB75A9"/>
    <w:rsid w:val="00AC0A18"/>
    <w:rsid w:val="00AC3966"/>
    <w:rsid w:val="00AC6D0B"/>
    <w:rsid w:val="00AC74CE"/>
    <w:rsid w:val="00AD1C5C"/>
    <w:rsid w:val="00AD2569"/>
    <w:rsid w:val="00AD4613"/>
    <w:rsid w:val="00AD566F"/>
    <w:rsid w:val="00AE0C22"/>
    <w:rsid w:val="00AE5983"/>
    <w:rsid w:val="00AE688B"/>
    <w:rsid w:val="00AF0849"/>
    <w:rsid w:val="00AF4C6C"/>
    <w:rsid w:val="00AF4F0A"/>
    <w:rsid w:val="00AF55B7"/>
    <w:rsid w:val="00AF55DA"/>
    <w:rsid w:val="00AF6EAE"/>
    <w:rsid w:val="00AF7C40"/>
    <w:rsid w:val="00B01FCF"/>
    <w:rsid w:val="00B02C23"/>
    <w:rsid w:val="00B03C85"/>
    <w:rsid w:val="00B073B4"/>
    <w:rsid w:val="00B1094B"/>
    <w:rsid w:val="00B131F7"/>
    <w:rsid w:val="00B13680"/>
    <w:rsid w:val="00B13F11"/>
    <w:rsid w:val="00B15016"/>
    <w:rsid w:val="00B156F9"/>
    <w:rsid w:val="00B1733E"/>
    <w:rsid w:val="00B17528"/>
    <w:rsid w:val="00B20652"/>
    <w:rsid w:val="00B22B0A"/>
    <w:rsid w:val="00B23CD4"/>
    <w:rsid w:val="00B24816"/>
    <w:rsid w:val="00B25A86"/>
    <w:rsid w:val="00B264F4"/>
    <w:rsid w:val="00B304B9"/>
    <w:rsid w:val="00B313D5"/>
    <w:rsid w:val="00B31A06"/>
    <w:rsid w:val="00B31C54"/>
    <w:rsid w:val="00B34C02"/>
    <w:rsid w:val="00B37303"/>
    <w:rsid w:val="00B4286F"/>
    <w:rsid w:val="00B44BAB"/>
    <w:rsid w:val="00B503B6"/>
    <w:rsid w:val="00B55E1A"/>
    <w:rsid w:val="00B565B1"/>
    <w:rsid w:val="00B57988"/>
    <w:rsid w:val="00B62032"/>
    <w:rsid w:val="00B63B9D"/>
    <w:rsid w:val="00B64F6E"/>
    <w:rsid w:val="00B65F8C"/>
    <w:rsid w:val="00B66AF3"/>
    <w:rsid w:val="00B6718E"/>
    <w:rsid w:val="00B72433"/>
    <w:rsid w:val="00B7263B"/>
    <w:rsid w:val="00B72D74"/>
    <w:rsid w:val="00B7383D"/>
    <w:rsid w:val="00B73F47"/>
    <w:rsid w:val="00B7638A"/>
    <w:rsid w:val="00B76D1C"/>
    <w:rsid w:val="00B771DD"/>
    <w:rsid w:val="00B80DF9"/>
    <w:rsid w:val="00B80E69"/>
    <w:rsid w:val="00B81C62"/>
    <w:rsid w:val="00B840D8"/>
    <w:rsid w:val="00B86D8E"/>
    <w:rsid w:val="00B92C2E"/>
    <w:rsid w:val="00B96467"/>
    <w:rsid w:val="00BA0F0D"/>
    <w:rsid w:val="00BA154E"/>
    <w:rsid w:val="00BA37CE"/>
    <w:rsid w:val="00BA4692"/>
    <w:rsid w:val="00BA6146"/>
    <w:rsid w:val="00BC0785"/>
    <w:rsid w:val="00BC3FE0"/>
    <w:rsid w:val="00BC40E8"/>
    <w:rsid w:val="00BC42AD"/>
    <w:rsid w:val="00BC6FDB"/>
    <w:rsid w:val="00BC7983"/>
    <w:rsid w:val="00BC7DE8"/>
    <w:rsid w:val="00BD1954"/>
    <w:rsid w:val="00BD1D95"/>
    <w:rsid w:val="00BD2C7A"/>
    <w:rsid w:val="00BE050F"/>
    <w:rsid w:val="00BE0966"/>
    <w:rsid w:val="00BE0DA5"/>
    <w:rsid w:val="00BE3F1C"/>
    <w:rsid w:val="00BE48C1"/>
    <w:rsid w:val="00BE4FCF"/>
    <w:rsid w:val="00BF10D7"/>
    <w:rsid w:val="00BF1219"/>
    <w:rsid w:val="00BF1229"/>
    <w:rsid w:val="00BF2815"/>
    <w:rsid w:val="00BF43BA"/>
    <w:rsid w:val="00BF5722"/>
    <w:rsid w:val="00BF6268"/>
    <w:rsid w:val="00BF6D7A"/>
    <w:rsid w:val="00BF720B"/>
    <w:rsid w:val="00C01265"/>
    <w:rsid w:val="00C04511"/>
    <w:rsid w:val="00C04ED3"/>
    <w:rsid w:val="00C05039"/>
    <w:rsid w:val="00C07668"/>
    <w:rsid w:val="00C112A3"/>
    <w:rsid w:val="00C16846"/>
    <w:rsid w:val="00C22567"/>
    <w:rsid w:val="00C237D2"/>
    <w:rsid w:val="00C24BA0"/>
    <w:rsid w:val="00C32979"/>
    <w:rsid w:val="00C3428D"/>
    <w:rsid w:val="00C34851"/>
    <w:rsid w:val="00C358F7"/>
    <w:rsid w:val="00C42A5B"/>
    <w:rsid w:val="00C51F21"/>
    <w:rsid w:val="00C52630"/>
    <w:rsid w:val="00C52DB9"/>
    <w:rsid w:val="00C5419D"/>
    <w:rsid w:val="00C56038"/>
    <w:rsid w:val="00C57BF7"/>
    <w:rsid w:val="00C6200B"/>
    <w:rsid w:val="00C63BD5"/>
    <w:rsid w:val="00C6729F"/>
    <w:rsid w:val="00C70164"/>
    <w:rsid w:val="00C72664"/>
    <w:rsid w:val="00C73406"/>
    <w:rsid w:val="00C73CFB"/>
    <w:rsid w:val="00C827C6"/>
    <w:rsid w:val="00C86F24"/>
    <w:rsid w:val="00C90478"/>
    <w:rsid w:val="00C92702"/>
    <w:rsid w:val="00C9318D"/>
    <w:rsid w:val="00C9642F"/>
    <w:rsid w:val="00C969AD"/>
    <w:rsid w:val="00C96DF2"/>
    <w:rsid w:val="00C972F7"/>
    <w:rsid w:val="00CA0904"/>
    <w:rsid w:val="00CA0CB8"/>
    <w:rsid w:val="00CA174A"/>
    <w:rsid w:val="00CA38C9"/>
    <w:rsid w:val="00CB0977"/>
    <w:rsid w:val="00CB35A5"/>
    <w:rsid w:val="00CB409A"/>
    <w:rsid w:val="00CB4168"/>
    <w:rsid w:val="00CB4984"/>
    <w:rsid w:val="00CB5DD7"/>
    <w:rsid w:val="00CB6920"/>
    <w:rsid w:val="00CB7795"/>
    <w:rsid w:val="00CB77D5"/>
    <w:rsid w:val="00CB7825"/>
    <w:rsid w:val="00CC14F0"/>
    <w:rsid w:val="00CC1795"/>
    <w:rsid w:val="00CC2A08"/>
    <w:rsid w:val="00CC4762"/>
    <w:rsid w:val="00CC4981"/>
    <w:rsid w:val="00CC534D"/>
    <w:rsid w:val="00CC63C9"/>
    <w:rsid w:val="00CD1305"/>
    <w:rsid w:val="00CD3636"/>
    <w:rsid w:val="00CD5D09"/>
    <w:rsid w:val="00CD70EA"/>
    <w:rsid w:val="00CE051D"/>
    <w:rsid w:val="00CE10EF"/>
    <w:rsid w:val="00CE1B90"/>
    <w:rsid w:val="00CE3B0F"/>
    <w:rsid w:val="00CE3F63"/>
    <w:rsid w:val="00CE40BB"/>
    <w:rsid w:val="00CE4D28"/>
    <w:rsid w:val="00CE77EE"/>
    <w:rsid w:val="00CF0A97"/>
    <w:rsid w:val="00CF1C71"/>
    <w:rsid w:val="00CF510F"/>
    <w:rsid w:val="00CF5328"/>
    <w:rsid w:val="00D07641"/>
    <w:rsid w:val="00D07696"/>
    <w:rsid w:val="00D095BC"/>
    <w:rsid w:val="00D11515"/>
    <w:rsid w:val="00D11956"/>
    <w:rsid w:val="00D11C75"/>
    <w:rsid w:val="00D122BE"/>
    <w:rsid w:val="00D13CB5"/>
    <w:rsid w:val="00D15A98"/>
    <w:rsid w:val="00D16278"/>
    <w:rsid w:val="00D21675"/>
    <w:rsid w:val="00D2425E"/>
    <w:rsid w:val="00D26260"/>
    <w:rsid w:val="00D2716F"/>
    <w:rsid w:val="00D32348"/>
    <w:rsid w:val="00D34F5F"/>
    <w:rsid w:val="00D4255F"/>
    <w:rsid w:val="00D4407C"/>
    <w:rsid w:val="00D4557D"/>
    <w:rsid w:val="00D4626C"/>
    <w:rsid w:val="00D47BFF"/>
    <w:rsid w:val="00D500DC"/>
    <w:rsid w:val="00D51B4D"/>
    <w:rsid w:val="00D534B6"/>
    <w:rsid w:val="00D54B39"/>
    <w:rsid w:val="00D55492"/>
    <w:rsid w:val="00D55DB7"/>
    <w:rsid w:val="00D62663"/>
    <w:rsid w:val="00D64FF3"/>
    <w:rsid w:val="00D656A4"/>
    <w:rsid w:val="00D657A2"/>
    <w:rsid w:val="00D65C7C"/>
    <w:rsid w:val="00D75620"/>
    <w:rsid w:val="00D760C8"/>
    <w:rsid w:val="00D77A8B"/>
    <w:rsid w:val="00D8326D"/>
    <w:rsid w:val="00D83306"/>
    <w:rsid w:val="00D83DE5"/>
    <w:rsid w:val="00D83FFD"/>
    <w:rsid w:val="00D8419C"/>
    <w:rsid w:val="00D8451F"/>
    <w:rsid w:val="00D84AF4"/>
    <w:rsid w:val="00D8617D"/>
    <w:rsid w:val="00D86DFF"/>
    <w:rsid w:val="00D9218C"/>
    <w:rsid w:val="00D92563"/>
    <w:rsid w:val="00D9377C"/>
    <w:rsid w:val="00D93F34"/>
    <w:rsid w:val="00D94578"/>
    <w:rsid w:val="00D96FEB"/>
    <w:rsid w:val="00DA3B5C"/>
    <w:rsid w:val="00DA4A24"/>
    <w:rsid w:val="00DA5902"/>
    <w:rsid w:val="00DB2E2C"/>
    <w:rsid w:val="00DB35CD"/>
    <w:rsid w:val="00DB4FEC"/>
    <w:rsid w:val="00DB57D6"/>
    <w:rsid w:val="00DB6020"/>
    <w:rsid w:val="00DB79C5"/>
    <w:rsid w:val="00DC6184"/>
    <w:rsid w:val="00DC7A26"/>
    <w:rsid w:val="00DC7AF7"/>
    <w:rsid w:val="00DC7C10"/>
    <w:rsid w:val="00DD01AB"/>
    <w:rsid w:val="00DD26B1"/>
    <w:rsid w:val="00DD272B"/>
    <w:rsid w:val="00DD30A6"/>
    <w:rsid w:val="00DD44DB"/>
    <w:rsid w:val="00DD47F2"/>
    <w:rsid w:val="00DD5177"/>
    <w:rsid w:val="00DD769F"/>
    <w:rsid w:val="00DD7ED2"/>
    <w:rsid w:val="00DE0609"/>
    <w:rsid w:val="00DE161B"/>
    <w:rsid w:val="00DE16B8"/>
    <w:rsid w:val="00DE20DF"/>
    <w:rsid w:val="00DE343A"/>
    <w:rsid w:val="00DE3D4A"/>
    <w:rsid w:val="00DE4CC2"/>
    <w:rsid w:val="00DE739E"/>
    <w:rsid w:val="00DF23FC"/>
    <w:rsid w:val="00DF39CD"/>
    <w:rsid w:val="00DF3BBE"/>
    <w:rsid w:val="00DF8F43"/>
    <w:rsid w:val="00E0094D"/>
    <w:rsid w:val="00E06A54"/>
    <w:rsid w:val="00E07773"/>
    <w:rsid w:val="00E103F8"/>
    <w:rsid w:val="00E10A17"/>
    <w:rsid w:val="00E122B8"/>
    <w:rsid w:val="00E12656"/>
    <w:rsid w:val="00E13427"/>
    <w:rsid w:val="00E1374D"/>
    <w:rsid w:val="00E20134"/>
    <w:rsid w:val="00E203CE"/>
    <w:rsid w:val="00E21232"/>
    <w:rsid w:val="00E212B1"/>
    <w:rsid w:val="00E22C9E"/>
    <w:rsid w:val="00E24CB2"/>
    <w:rsid w:val="00E26781"/>
    <w:rsid w:val="00E26CDD"/>
    <w:rsid w:val="00E27EA6"/>
    <w:rsid w:val="00E3132B"/>
    <w:rsid w:val="00E31D1C"/>
    <w:rsid w:val="00E32981"/>
    <w:rsid w:val="00E337F2"/>
    <w:rsid w:val="00E34312"/>
    <w:rsid w:val="00E3536D"/>
    <w:rsid w:val="00E3685E"/>
    <w:rsid w:val="00E40551"/>
    <w:rsid w:val="00E41FBA"/>
    <w:rsid w:val="00E44456"/>
    <w:rsid w:val="00E46D17"/>
    <w:rsid w:val="00E4786D"/>
    <w:rsid w:val="00E51556"/>
    <w:rsid w:val="00E530D3"/>
    <w:rsid w:val="00E540C9"/>
    <w:rsid w:val="00E54405"/>
    <w:rsid w:val="00E553B9"/>
    <w:rsid w:val="00E55D94"/>
    <w:rsid w:val="00E56137"/>
    <w:rsid w:val="00E56E57"/>
    <w:rsid w:val="00E62EC4"/>
    <w:rsid w:val="00E6599B"/>
    <w:rsid w:val="00E7034C"/>
    <w:rsid w:val="00E71D3B"/>
    <w:rsid w:val="00E726DE"/>
    <w:rsid w:val="00E800B1"/>
    <w:rsid w:val="00E843E3"/>
    <w:rsid w:val="00E844D5"/>
    <w:rsid w:val="00E86536"/>
    <w:rsid w:val="00E871C2"/>
    <w:rsid w:val="00E905DA"/>
    <w:rsid w:val="00E906D2"/>
    <w:rsid w:val="00E929BE"/>
    <w:rsid w:val="00E92C43"/>
    <w:rsid w:val="00E95D10"/>
    <w:rsid w:val="00E95F46"/>
    <w:rsid w:val="00EA030A"/>
    <w:rsid w:val="00EA0F1E"/>
    <w:rsid w:val="00EA1623"/>
    <w:rsid w:val="00EA1BAA"/>
    <w:rsid w:val="00EA4F76"/>
    <w:rsid w:val="00EA606F"/>
    <w:rsid w:val="00EA758E"/>
    <w:rsid w:val="00EA7EBD"/>
    <w:rsid w:val="00EB0D8E"/>
    <w:rsid w:val="00EB14BA"/>
    <w:rsid w:val="00EB2885"/>
    <w:rsid w:val="00EB473A"/>
    <w:rsid w:val="00EB5094"/>
    <w:rsid w:val="00EC4A1B"/>
    <w:rsid w:val="00ED20E8"/>
    <w:rsid w:val="00ED3248"/>
    <w:rsid w:val="00ED401C"/>
    <w:rsid w:val="00ED4228"/>
    <w:rsid w:val="00ED4D01"/>
    <w:rsid w:val="00ED4EC0"/>
    <w:rsid w:val="00ED59EB"/>
    <w:rsid w:val="00EE0A35"/>
    <w:rsid w:val="00EE333B"/>
    <w:rsid w:val="00EE4072"/>
    <w:rsid w:val="00EF0671"/>
    <w:rsid w:val="00EF16DD"/>
    <w:rsid w:val="00EF2642"/>
    <w:rsid w:val="00EF329F"/>
    <w:rsid w:val="00EF3681"/>
    <w:rsid w:val="00EF3B7A"/>
    <w:rsid w:val="00EF3F64"/>
    <w:rsid w:val="00EF4AAB"/>
    <w:rsid w:val="00EF632A"/>
    <w:rsid w:val="00EF679D"/>
    <w:rsid w:val="00F019CB"/>
    <w:rsid w:val="00F03E02"/>
    <w:rsid w:val="00F04D83"/>
    <w:rsid w:val="00F10790"/>
    <w:rsid w:val="00F10AEC"/>
    <w:rsid w:val="00F10E7C"/>
    <w:rsid w:val="00F1209C"/>
    <w:rsid w:val="00F12C5F"/>
    <w:rsid w:val="00F13396"/>
    <w:rsid w:val="00F13C1E"/>
    <w:rsid w:val="00F16D34"/>
    <w:rsid w:val="00F16F17"/>
    <w:rsid w:val="00F20BC2"/>
    <w:rsid w:val="00F257A0"/>
    <w:rsid w:val="00F272C6"/>
    <w:rsid w:val="00F31F5B"/>
    <w:rsid w:val="00F3225F"/>
    <w:rsid w:val="00F342E4"/>
    <w:rsid w:val="00F35330"/>
    <w:rsid w:val="00F36B62"/>
    <w:rsid w:val="00F41C91"/>
    <w:rsid w:val="00F41DA5"/>
    <w:rsid w:val="00F433A4"/>
    <w:rsid w:val="00F438A3"/>
    <w:rsid w:val="00F4421A"/>
    <w:rsid w:val="00F44B1A"/>
    <w:rsid w:val="00F45198"/>
    <w:rsid w:val="00F463F2"/>
    <w:rsid w:val="00F47316"/>
    <w:rsid w:val="00F475E3"/>
    <w:rsid w:val="00F47A24"/>
    <w:rsid w:val="00F50FA6"/>
    <w:rsid w:val="00F51A06"/>
    <w:rsid w:val="00F55DA5"/>
    <w:rsid w:val="00F56008"/>
    <w:rsid w:val="00F63A52"/>
    <w:rsid w:val="00F66401"/>
    <w:rsid w:val="00F66AB5"/>
    <w:rsid w:val="00F67046"/>
    <w:rsid w:val="00F71037"/>
    <w:rsid w:val="00F725B9"/>
    <w:rsid w:val="00F75A1D"/>
    <w:rsid w:val="00F770ED"/>
    <w:rsid w:val="00F774D1"/>
    <w:rsid w:val="00F86635"/>
    <w:rsid w:val="00F91A18"/>
    <w:rsid w:val="00F94BC2"/>
    <w:rsid w:val="00F95377"/>
    <w:rsid w:val="00F95ABE"/>
    <w:rsid w:val="00F9756D"/>
    <w:rsid w:val="00FA10F8"/>
    <w:rsid w:val="00FA21C4"/>
    <w:rsid w:val="00FA274C"/>
    <w:rsid w:val="00FA301C"/>
    <w:rsid w:val="00FA3760"/>
    <w:rsid w:val="00FA4AD6"/>
    <w:rsid w:val="00FA4D44"/>
    <w:rsid w:val="00FA7D89"/>
    <w:rsid w:val="00FB05AB"/>
    <w:rsid w:val="00FB1716"/>
    <w:rsid w:val="00FB2387"/>
    <w:rsid w:val="00FB3329"/>
    <w:rsid w:val="00FB38FB"/>
    <w:rsid w:val="00FB5F12"/>
    <w:rsid w:val="00FB7FC7"/>
    <w:rsid w:val="00FC5117"/>
    <w:rsid w:val="00FC6B98"/>
    <w:rsid w:val="00FD0357"/>
    <w:rsid w:val="00FD03AF"/>
    <w:rsid w:val="00FD13B7"/>
    <w:rsid w:val="00FD417F"/>
    <w:rsid w:val="00FD481C"/>
    <w:rsid w:val="00FD6427"/>
    <w:rsid w:val="00FD6767"/>
    <w:rsid w:val="00FD6BFD"/>
    <w:rsid w:val="00FD7255"/>
    <w:rsid w:val="00FD7B1D"/>
    <w:rsid w:val="00FE0119"/>
    <w:rsid w:val="00FE1E22"/>
    <w:rsid w:val="00FE4A08"/>
    <w:rsid w:val="00FE4D87"/>
    <w:rsid w:val="00FE69D7"/>
    <w:rsid w:val="00FE6C01"/>
    <w:rsid w:val="00FE6C42"/>
    <w:rsid w:val="00FF00C4"/>
    <w:rsid w:val="00FF04D6"/>
    <w:rsid w:val="00FF6C61"/>
    <w:rsid w:val="00FF7523"/>
    <w:rsid w:val="012E4DFB"/>
    <w:rsid w:val="01408458"/>
    <w:rsid w:val="015836E2"/>
    <w:rsid w:val="01623C8E"/>
    <w:rsid w:val="016924D9"/>
    <w:rsid w:val="01A7BABC"/>
    <w:rsid w:val="01A7D73A"/>
    <w:rsid w:val="01E63BFF"/>
    <w:rsid w:val="01EF8B2A"/>
    <w:rsid w:val="020C42A3"/>
    <w:rsid w:val="021A907B"/>
    <w:rsid w:val="02491ACD"/>
    <w:rsid w:val="025E57F8"/>
    <w:rsid w:val="026122D1"/>
    <w:rsid w:val="026BCEC5"/>
    <w:rsid w:val="026FD010"/>
    <w:rsid w:val="027D808F"/>
    <w:rsid w:val="02B5D20A"/>
    <w:rsid w:val="02CE0C44"/>
    <w:rsid w:val="02D886D5"/>
    <w:rsid w:val="02EE4026"/>
    <w:rsid w:val="02EEA6B1"/>
    <w:rsid w:val="0317B8EE"/>
    <w:rsid w:val="032469BC"/>
    <w:rsid w:val="032BDEC3"/>
    <w:rsid w:val="0348DDB3"/>
    <w:rsid w:val="03496646"/>
    <w:rsid w:val="037858AE"/>
    <w:rsid w:val="037B414B"/>
    <w:rsid w:val="037DC946"/>
    <w:rsid w:val="03829C91"/>
    <w:rsid w:val="03A0CE26"/>
    <w:rsid w:val="03B4CE76"/>
    <w:rsid w:val="03D6298C"/>
    <w:rsid w:val="04295D97"/>
    <w:rsid w:val="0429BC67"/>
    <w:rsid w:val="042B76E5"/>
    <w:rsid w:val="042D7211"/>
    <w:rsid w:val="042F97FD"/>
    <w:rsid w:val="043CAC67"/>
    <w:rsid w:val="04504A28"/>
    <w:rsid w:val="045A0EC6"/>
    <w:rsid w:val="04619CDF"/>
    <w:rsid w:val="049D0A6A"/>
    <w:rsid w:val="04A850BB"/>
    <w:rsid w:val="04A92FDF"/>
    <w:rsid w:val="04BA57E4"/>
    <w:rsid w:val="04D5C65C"/>
    <w:rsid w:val="04FF697B"/>
    <w:rsid w:val="054A8F2B"/>
    <w:rsid w:val="055C2192"/>
    <w:rsid w:val="059BC3AE"/>
    <w:rsid w:val="05AB4E17"/>
    <w:rsid w:val="05B040B1"/>
    <w:rsid w:val="05D22C16"/>
    <w:rsid w:val="05E4EDEB"/>
    <w:rsid w:val="05F41915"/>
    <w:rsid w:val="05F722C5"/>
    <w:rsid w:val="06286485"/>
    <w:rsid w:val="0631EE0D"/>
    <w:rsid w:val="063EEFC5"/>
    <w:rsid w:val="0652050C"/>
    <w:rsid w:val="0665FFA3"/>
    <w:rsid w:val="066E93C6"/>
    <w:rsid w:val="06B01030"/>
    <w:rsid w:val="06B3ACBB"/>
    <w:rsid w:val="06C91F11"/>
    <w:rsid w:val="06D7A3B4"/>
    <w:rsid w:val="06F634AA"/>
    <w:rsid w:val="06FC6A07"/>
    <w:rsid w:val="07067D45"/>
    <w:rsid w:val="0734D1E2"/>
    <w:rsid w:val="075E123F"/>
    <w:rsid w:val="07713774"/>
    <w:rsid w:val="077EB60E"/>
    <w:rsid w:val="077EDBCF"/>
    <w:rsid w:val="078024B5"/>
    <w:rsid w:val="0786C720"/>
    <w:rsid w:val="07D16F11"/>
    <w:rsid w:val="07D21C0E"/>
    <w:rsid w:val="07F6CC18"/>
    <w:rsid w:val="0815DF42"/>
    <w:rsid w:val="0818B7F4"/>
    <w:rsid w:val="08217A63"/>
    <w:rsid w:val="08376778"/>
    <w:rsid w:val="085D97E1"/>
    <w:rsid w:val="087EA984"/>
    <w:rsid w:val="08C3B076"/>
    <w:rsid w:val="08C457A0"/>
    <w:rsid w:val="091B96EC"/>
    <w:rsid w:val="09219FF4"/>
    <w:rsid w:val="09B91CB3"/>
    <w:rsid w:val="09C12C71"/>
    <w:rsid w:val="0A71D507"/>
    <w:rsid w:val="0AC1DE57"/>
    <w:rsid w:val="0ACA1BAD"/>
    <w:rsid w:val="0AE1BC5D"/>
    <w:rsid w:val="0AE3F51D"/>
    <w:rsid w:val="0AF9C96F"/>
    <w:rsid w:val="0B0CBD0F"/>
    <w:rsid w:val="0B28E2AF"/>
    <w:rsid w:val="0B313B2C"/>
    <w:rsid w:val="0B33EB3C"/>
    <w:rsid w:val="0B3EB99B"/>
    <w:rsid w:val="0B5F8E5B"/>
    <w:rsid w:val="0B9185DA"/>
    <w:rsid w:val="0BA25520"/>
    <w:rsid w:val="0BA6C095"/>
    <w:rsid w:val="0C02928D"/>
    <w:rsid w:val="0C08E05D"/>
    <w:rsid w:val="0C115B26"/>
    <w:rsid w:val="0C626D34"/>
    <w:rsid w:val="0C665CBA"/>
    <w:rsid w:val="0C85CD31"/>
    <w:rsid w:val="0CAA4B87"/>
    <w:rsid w:val="0CAD537C"/>
    <w:rsid w:val="0CBD7010"/>
    <w:rsid w:val="0CC6DC97"/>
    <w:rsid w:val="0CE8A44C"/>
    <w:rsid w:val="0D109F84"/>
    <w:rsid w:val="0D20A0B8"/>
    <w:rsid w:val="0D37F304"/>
    <w:rsid w:val="0D6664AB"/>
    <w:rsid w:val="0D67B050"/>
    <w:rsid w:val="0D721E9B"/>
    <w:rsid w:val="0DA59210"/>
    <w:rsid w:val="0DBC1B9B"/>
    <w:rsid w:val="0DDBA250"/>
    <w:rsid w:val="0DEFD510"/>
    <w:rsid w:val="0DF51BB1"/>
    <w:rsid w:val="0DFF8798"/>
    <w:rsid w:val="0E3D844A"/>
    <w:rsid w:val="0E601E29"/>
    <w:rsid w:val="0E77D01D"/>
    <w:rsid w:val="0E869AD8"/>
    <w:rsid w:val="0E9ED027"/>
    <w:rsid w:val="0EAAC865"/>
    <w:rsid w:val="0EBA9C02"/>
    <w:rsid w:val="0EF8BE2B"/>
    <w:rsid w:val="0EFD41F1"/>
    <w:rsid w:val="0F2376BB"/>
    <w:rsid w:val="0F3570E1"/>
    <w:rsid w:val="0F624C59"/>
    <w:rsid w:val="0F739BD9"/>
    <w:rsid w:val="0FA5A434"/>
    <w:rsid w:val="0FE34989"/>
    <w:rsid w:val="0FE61BD4"/>
    <w:rsid w:val="0FF8C700"/>
    <w:rsid w:val="0FFF558F"/>
    <w:rsid w:val="10012165"/>
    <w:rsid w:val="100D7647"/>
    <w:rsid w:val="10963C1D"/>
    <w:rsid w:val="10A0C818"/>
    <w:rsid w:val="10F40B23"/>
    <w:rsid w:val="114F24DA"/>
    <w:rsid w:val="1165EB87"/>
    <w:rsid w:val="118F44A6"/>
    <w:rsid w:val="11932ED3"/>
    <w:rsid w:val="11CBEA40"/>
    <w:rsid w:val="11DC3A68"/>
    <w:rsid w:val="11DD160A"/>
    <w:rsid w:val="126DB259"/>
    <w:rsid w:val="1276DBC8"/>
    <w:rsid w:val="1292A1AF"/>
    <w:rsid w:val="129A3186"/>
    <w:rsid w:val="12A12148"/>
    <w:rsid w:val="12A85DC5"/>
    <w:rsid w:val="12AA7F7A"/>
    <w:rsid w:val="12D31149"/>
    <w:rsid w:val="12DCAC26"/>
    <w:rsid w:val="12E08E0D"/>
    <w:rsid w:val="133380A3"/>
    <w:rsid w:val="139B8E50"/>
    <w:rsid w:val="139C6BA6"/>
    <w:rsid w:val="13AC16A2"/>
    <w:rsid w:val="13D7CD97"/>
    <w:rsid w:val="13DB2847"/>
    <w:rsid w:val="13F19103"/>
    <w:rsid w:val="13F89F55"/>
    <w:rsid w:val="1406370B"/>
    <w:rsid w:val="142189C1"/>
    <w:rsid w:val="142D0AFF"/>
    <w:rsid w:val="145DFCF4"/>
    <w:rsid w:val="14C4030D"/>
    <w:rsid w:val="14DACE11"/>
    <w:rsid w:val="14E1AF6C"/>
    <w:rsid w:val="14EED65C"/>
    <w:rsid w:val="14F99FD8"/>
    <w:rsid w:val="1517A90A"/>
    <w:rsid w:val="1546023D"/>
    <w:rsid w:val="159B57B6"/>
    <w:rsid w:val="159CC329"/>
    <w:rsid w:val="15C915D9"/>
    <w:rsid w:val="15D88BAC"/>
    <w:rsid w:val="161507EB"/>
    <w:rsid w:val="162DC94E"/>
    <w:rsid w:val="16364456"/>
    <w:rsid w:val="16389686"/>
    <w:rsid w:val="1640C188"/>
    <w:rsid w:val="164B9381"/>
    <w:rsid w:val="1652D6AD"/>
    <w:rsid w:val="16625B8C"/>
    <w:rsid w:val="166DAF3D"/>
    <w:rsid w:val="167E6696"/>
    <w:rsid w:val="168E4509"/>
    <w:rsid w:val="169A172C"/>
    <w:rsid w:val="16C92CE6"/>
    <w:rsid w:val="16D175EB"/>
    <w:rsid w:val="16E57235"/>
    <w:rsid w:val="16ECCF27"/>
    <w:rsid w:val="170AC760"/>
    <w:rsid w:val="17406197"/>
    <w:rsid w:val="1790BE24"/>
    <w:rsid w:val="1794EBE6"/>
    <w:rsid w:val="17ED7D2A"/>
    <w:rsid w:val="17F0BEC8"/>
    <w:rsid w:val="17FBBFF6"/>
    <w:rsid w:val="182F406F"/>
    <w:rsid w:val="1832F41F"/>
    <w:rsid w:val="1839F6DB"/>
    <w:rsid w:val="1846D6D9"/>
    <w:rsid w:val="186B6ACE"/>
    <w:rsid w:val="1889EAEF"/>
    <w:rsid w:val="188E641D"/>
    <w:rsid w:val="18B46E9E"/>
    <w:rsid w:val="18B7FFC0"/>
    <w:rsid w:val="18DAB6D2"/>
    <w:rsid w:val="18EAACC9"/>
    <w:rsid w:val="18EEBF38"/>
    <w:rsid w:val="18F6AF05"/>
    <w:rsid w:val="1943DED6"/>
    <w:rsid w:val="1944F9AD"/>
    <w:rsid w:val="19AC5070"/>
    <w:rsid w:val="19F79C5F"/>
    <w:rsid w:val="19FA70D9"/>
    <w:rsid w:val="1A003ACD"/>
    <w:rsid w:val="1A0D0F5A"/>
    <w:rsid w:val="1A112041"/>
    <w:rsid w:val="1A133072"/>
    <w:rsid w:val="1A22D2B1"/>
    <w:rsid w:val="1A286300"/>
    <w:rsid w:val="1A399D9F"/>
    <w:rsid w:val="1A3C83A8"/>
    <w:rsid w:val="1A481CFE"/>
    <w:rsid w:val="1A8C3A6B"/>
    <w:rsid w:val="1A9C92D2"/>
    <w:rsid w:val="1AB8C9F7"/>
    <w:rsid w:val="1AF94D71"/>
    <w:rsid w:val="1B0B374B"/>
    <w:rsid w:val="1B370A3A"/>
    <w:rsid w:val="1B4CDA36"/>
    <w:rsid w:val="1B66BA04"/>
    <w:rsid w:val="1B696734"/>
    <w:rsid w:val="1B748051"/>
    <w:rsid w:val="1B793A77"/>
    <w:rsid w:val="1B982917"/>
    <w:rsid w:val="1BA68405"/>
    <w:rsid w:val="1BAC21C0"/>
    <w:rsid w:val="1BB6C1DD"/>
    <w:rsid w:val="1BC77B7C"/>
    <w:rsid w:val="1C14324D"/>
    <w:rsid w:val="1C83FE33"/>
    <w:rsid w:val="1C9DB49F"/>
    <w:rsid w:val="1CA9D14D"/>
    <w:rsid w:val="1CD2F6BA"/>
    <w:rsid w:val="1D12C1FE"/>
    <w:rsid w:val="1D269F4F"/>
    <w:rsid w:val="1D548E1C"/>
    <w:rsid w:val="1D54F2E6"/>
    <w:rsid w:val="1D6A7F6D"/>
    <w:rsid w:val="1DA10435"/>
    <w:rsid w:val="1DAB9FB7"/>
    <w:rsid w:val="1DC30DA0"/>
    <w:rsid w:val="1DE96002"/>
    <w:rsid w:val="1DF75024"/>
    <w:rsid w:val="1E36FA44"/>
    <w:rsid w:val="1E422146"/>
    <w:rsid w:val="1E527275"/>
    <w:rsid w:val="1E66800C"/>
    <w:rsid w:val="1E897770"/>
    <w:rsid w:val="1EA2B72F"/>
    <w:rsid w:val="1EC4EA34"/>
    <w:rsid w:val="1ED4A70F"/>
    <w:rsid w:val="1EFA811F"/>
    <w:rsid w:val="1F085F91"/>
    <w:rsid w:val="1F162195"/>
    <w:rsid w:val="1F54DA04"/>
    <w:rsid w:val="1F552719"/>
    <w:rsid w:val="1F5FE15A"/>
    <w:rsid w:val="1F6BD9F7"/>
    <w:rsid w:val="1F8B24A9"/>
    <w:rsid w:val="1F909811"/>
    <w:rsid w:val="1F9D1831"/>
    <w:rsid w:val="1FAE79B9"/>
    <w:rsid w:val="2020A57E"/>
    <w:rsid w:val="2034AD6A"/>
    <w:rsid w:val="204F2A03"/>
    <w:rsid w:val="20508A44"/>
    <w:rsid w:val="2074D566"/>
    <w:rsid w:val="207C2196"/>
    <w:rsid w:val="20C0AA39"/>
    <w:rsid w:val="20D0431C"/>
    <w:rsid w:val="20EAD66E"/>
    <w:rsid w:val="2122A22B"/>
    <w:rsid w:val="212A3CFD"/>
    <w:rsid w:val="21650D82"/>
    <w:rsid w:val="2171AACA"/>
    <w:rsid w:val="218BDD29"/>
    <w:rsid w:val="21A15BBB"/>
    <w:rsid w:val="21E5DDD8"/>
    <w:rsid w:val="2218F4FC"/>
    <w:rsid w:val="222C73A2"/>
    <w:rsid w:val="222D806E"/>
    <w:rsid w:val="222EF6F9"/>
    <w:rsid w:val="222F6926"/>
    <w:rsid w:val="2249A076"/>
    <w:rsid w:val="22747597"/>
    <w:rsid w:val="2293DE71"/>
    <w:rsid w:val="22AB1AE5"/>
    <w:rsid w:val="22BACF15"/>
    <w:rsid w:val="22D6F313"/>
    <w:rsid w:val="23207938"/>
    <w:rsid w:val="233FACF7"/>
    <w:rsid w:val="238B8830"/>
    <w:rsid w:val="239439E0"/>
    <w:rsid w:val="23CE75BC"/>
    <w:rsid w:val="23D74829"/>
    <w:rsid w:val="240A66AB"/>
    <w:rsid w:val="24407911"/>
    <w:rsid w:val="2459C04B"/>
    <w:rsid w:val="247AD7AA"/>
    <w:rsid w:val="2483D554"/>
    <w:rsid w:val="249C945C"/>
    <w:rsid w:val="24C0DE0D"/>
    <w:rsid w:val="24EC26BA"/>
    <w:rsid w:val="2514A8B7"/>
    <w:rsid w:val="2516EDD3"/>
    <w:rsid w:val="25364263"/>
    <w:rsid w:val="25927C87"/>
    <w:rsid w:val="25983D1E"/>
    <w:rsid w:val="25A2D3E2"/>
    <w:rsid w:val="25AA2DF5"/>
    <w:rsid w:val="25B376C4"/>
    <w:rsid w:val="25C63C07"/>
    <w:rsid w:val="26095238"/>
    <w:rsid w:val="264F6FA3"/>
    <w:rsid w:val="2677C315"/>
    <w:rsid w:val="26A420C9"/>
    <w:rsid w:val="26A98BFB"/>
    <w:rsid w:val="26C664AD"/>
    <w:rsid w:val="26C7F56F"/>
    <w:rsid w:val="26EF4FEC"/>
    <w:rsid w:val="26F42FD7"/>
    <w:rsid w:val="26FFAC44"/>
    <w:rsid w:val="270F5B5F"/>
    <w:rsid w:val="27133359"/>
    <w:rsid w:val="2717DB15"/>
    <w:rsid w:val="279F44C4"/>
    <w:rsid w:val="27C0E2FD"/>
    <w:rsid w:val="27C2A576"/>
    <w:rsid w:val="27D3809C"/>
    <w:rsid w:val="27FBC9CD"/>
    <w:rsid w:val="280EA432"/>
    <w:rsid w:val="2819BFE5"/>
    <w:rsid w:val="2850318B"/>
    <w:rsid w:val="28504397"/>
    <w:rsid w:val="286B8DF4"/>
    <w:rsid w:val="288A9BDD"/>
    <w:rsid w:val="289C4541"/>
    <w:rsid w:val="28A79AD4"/>
    <w:rsid w:val="28AD91E0"/>
    <w:rsid w:val="28B94761"/>
    <w:rsid w:val="28F3E510"/>
    <w:rsid w:val="2925580F"/>
    <w:rsid w:val="292C7CA1"/>
    <w:rsid w:val="293214C6"/>
    <w:rsid w:val="294848ED"/>
    <w:rsid w:val="294E0B41"/>
    <w:rsid w:val="296751C6"/>
    <w:rsid w:val="297336CD"/>
    <w:rsid w:val="29941D63"/>
    <w:rsid w:val="29BB5621"/>
    <w:rsid w:val="29C244BC"/>
    <w:rsid w:val="29C3F58F"/>
    <w:rsid w:val="29E9175A"/>
    <w:rsid w:val="2A0BE2E6"/>
    <w:rsid w:val="2A22223C"/>
    <w:rsid w:val="2A326091"/>
    <w:rsid w:val="2A35873D"/>
    <w:rsid w:val="2A45DC32"/>
    <w:rsid w:val="2A4FF87B"/>
    <w:rsid w:val="2A66B0D6"/>
    <w:rsid w:val="2A6C25F2"/>
    <w:rsid w:val="2A737D7A"/>
    <w:rsid w:val="2A859F5E"/>
    <w:rsid w:val="2AA4E0E2"/>
    <w:rsid w:val="2AE4BFE1"/>
    <w:rsid w:val="2AEACA6D"/>
    <w:rsid w:val="2AFA2C37"/>
    <w:rsid w:val="2AFE958B"/>
    <w:rsid w:val="2B02FDA5"/>
    <w:rsid w:val="2B2EC91C"/>
    <w:rsid w:val="2B536E02"/>
    <w:rsid w:val="2B648293"/>
    <w:rsid w:val="2B8FD2CF"/>
    <w:rsid w:val="2BA0594E"/>
    <w:rsid w:val="2BB062A6"/>
    <w:rsid w:val="2BB54181"/>
    <w:rsid w:val="2BB71074"/>
    <w:rsid w:val="2BE3DF0C"/>
    <w:rsid w:val="2BF34487"/>
    <w:rsid w:val="2C0DF08A"/>
    <w:rsid w:val="2C2D6474"/>
    <w:rsid w:val="2C364597"/>
    <w:rsid w:val="2C3E505E"/>
    <w:rsid w:val="2C43BAC3"/>
    <w:rsid w:val="2C9DD7F9"/>
    <w:rsid w:val="2CB3336E"/>
    <w:rsid w:val="2CC87D24"/>
    <w:rsid w:val="2CE1632F"/>
    <w:rsid w:val="2CF5A5A6"/>
    <w:rsid w:val="2D41D07B"/>
    <w:rsid w:val="2D5519C1"/>
    <w:rsid w:val="2D589DF0"/>
    <w:rsid w:val="2D6A49CE"/>
    <w:rsid w:val="2D734A70"/>
    <w:rsid w:val="2D7CCCBB"/>
    <w:rsid w:val="2DAB2834"/>
    <w:rsid w:val="2DE8AFF2"/>
    <w:rsid w:val="2E6A28B2"/>
    <w:rsid w:val="2E722E58"/>
    <w:rsid w:val="2E7A32C0"/>
    <w:rsid w:val="2E827335"/>
    <w:rsid w:val="2EB0D15E"/>
    <w:rsid w:val="2ED2A843"/>
    <w:rsid w:val="2ED65736"/>
    <w:rsid w:val="2ED99B3A"/>
    <w:rsid w:val="2EE8479B"/>
    <w:rsid w:val="2EF7DED4"/>
    <w:rsid w:val="2F0B4E90"/>
    <w:rsid w:val="2F362F6F"/>
    <w:rsid w:val="2F40A10C"/>
    <w:rsid w:val="2F61C4EB"/>
    <w:rsid w:val="2F70C2A5"/>
    <w:rsid w:val="2F7DF8C9"/>
    <w:rsid w:val="2F926ADE"/>
    <w:rsid w:val="2F976D58"/>
    <w:rsid w:val="2F99C415"/>
    <w:rsid w:val="2FC2E23C"/>
    <w:rsid w:val="2FC53093"/>
    <w:rsid w:val="2FCD5BFC"/>
    <w:rsid w:val="30155B80"/>
    <w:rsid w:val="3018D200"/>
    <w:rsid w:val="303265DA"/>
    <w:rsid w:val="3039968F"/>
    <w:rsid w:val="3039DA70"/>
    <w:rsid w:val="3042BAD8"/>
    <w:rsid w:val="3055FBA6"/>
    <w:rsid w:val="306D241E"/>
    <w:rsid w:val="307D20CC"/>
    <w:rsid w:val="3087A960"/>
    <w:rsid w:val="30B94FB6"/>
    <w:rsid w:val="30C9C2AD"/>
    <w:rsid w:val="30DD6CAB"/>
    <w:rsid w:val="30ECABB6"/>
    <w:rsid w:val="310D33C2"/>
    <w:rsid w:val="31308DF6"/>
    <w:rsid w:val="3147AF34"/>
    <w:rsid w:val="316DD865"/>
    <w:rsid w:val="3174DB44"/>
    <w:rsid w:val="3185004B"/>
    <w:rsid w:val="31900730"/>
    <w:rsid w:val="319CA3B5"/>
    <w:rsid w:val="31A14A4D"/>
    <w:rsid w:val="31A4F161"/>
    <w:rsid w:val="31C7F69A"/>
    <w:rsid w:val="31D7C647"/>
    <w:rsid w:val="3205E05C"/>
    <w:rsid w:val="32193B99"/>
    <w:rsid w:val="32210B0F"/>
    <w:rsid w:val="32249B3C"/>
    <w:rsid w:val="32314C38"/>
    <w:rsid w:val="32376C82"/>
    <w:rsid w:val="324EB7DC"/>
    <w:rsid w:val="32564F7D"/>
    <w:rsid w:val="32616B99"/>
    <w:rsid w:val="326F292E"/>
    <w:rsid w:val="327E1C36"/>
    <w:rsid w:val="32A2464F"/>
    <w:rsid w:val="331E16AC"/>
    <w:rsid w:val="332A68D7"/>
    <w:rsid w:val="332A8650"/>
    <w:rsid w:val="3337D8FE"/>
    <w:rsid w:val="334DD7CB"/>
    <w:rsid w:val="3367741B"/>
    <w:rsid w:val="3374C1CE"/>
    <w:rsid w:val="33755173"/>
    <w:rsid w:val="33AE05A3"/>
    <w:rsid w:val="33AF649E"/>
    <w:rsid w:val="33C0A577"/>
    <w:rsid w:val="33E21C10"/>
    <w:rsid w:val="33F9ED87"/>
    <w:rsid w:val="340473DF"/>
    <w:rsid w:val="342BF207"/>
    <w:rsid w:val="3447F563"/>
    <w:rsid w:val="3449B587"/>
    <w:rsid w:val="344C945E"/>
    <w:rsid w:val="3469CE55"/>
    <w:rsid w:val="346FA264"/>
    <w:rsid w:val="349426A8"/>
    <w:rsid w:val="34AB04D8"/>
    <w:rsid w:val="34C5F584"/>
    <w:rsid w:val="35036F27"/>
    <w:rsid w:val="352AA42B"/>
    <w:rsid w:val="3543DE28"/>
    <w:rsid w:val="35489401"/>
    <w:rsid w:val="3571EC26"/>
    <w:rsid w:val="35D5F48C"/>
    <w:rsid w:val="35F2BB34"/>
    <w:rsid w:val="35FB1D4F"/>
    <w:rsid w:val="3609E51C"/>
    <w:rsid w:val="3611F9A5"/>
    <w:rsid w:val="3651B13E"/>
    <w:rsid w:val="367581DD"/>
    <w:rsid w:val="3685BE98"/>
    <w:rsid w:val="36B3D5FD"/>
    <w:rsid w:val="36B94FFF"/>
    <w:rsid w:val="36CD00D6"/>
    <w:rsid w:val="36D5B68A"/>
    <w:rsid w:val="36FDDA50"/>
    <w:rsid w:val="37122BBC"/>
    <w:rsid w:val="372D3609"/>
    <w:rsid w:val="372E7AD5"/>
    <w:rsid w:val="37367798"/>
    <w:rsid w:val="374D2192"/>
    <w:rsid w:val="374F7394"/>
    <w:rsid w:val="376AA0A5"/>
    <w:rsid w:val="37724DDA"/>
    <w:rsid w:val="377D5C18"/>
    <w:rsid w:val="37981D48"/>
    <w:rsid w:val="37A19A9C"/>
    <w:rsid w:val="37A7729C"/>
    <w:rsid w:val="37B351A0"/>
    <w:rsid w:val="37B596A0"/>
    <w:rsid w:val="37B8B0E4"/>
    <w:rsid w:val="37CB9EC9"/>
    <w:rsid w:val="37FC71D4"/>
    <w:rsid w:val="380C7351"/>
    <w:rsid w:val="381B70D8"/>
    <w:rsid w:val="3839E9DA"/>
    <w:rsid w:val="387A84A6"/>
    <w:rsid w:val="3883C1CC"/>
    <w:rsid w:val="388C827D"/>
    <w:rsid w:val="389D26D8"/>
    <w:rsid w:val="389F5C00"/>
    <w:rsid w:val="38AFACEB"/>
    <w:rsid w:val="38BB75E5"/>
    <w:rsid w:val="38F05FD6"/>
    <w:rsid w:val="38FA5F5E"/>
    <w:rsid w:val="39768AD8"/>
    <w:rsid w:val="39AAC08C"/>
    <w:rsid w:val="39BA5F56"/>
    <w:rsid w:val="39F3492E"/>
    <w:rsid w:val="3A24B8C2"/>
    <w:rsid w:val="3A346F72"/>
    <w:rsid w:val="3A568819"/>
    <w:rsid w:val="3A687F3C"/>
    <w:rsid w:val="3A72CD02"/>
    <w:rsid w:val="3A7983AF"/>
    <w:rsid w:val="3A83942B"/>
    <w:rsid w:val="3AC30D2E"/>
    <w:rsid w:val="3AC7F10F"/>
    <w:rsid w:val="3AC9312B"/>
    <w:rsid w:val="3AE9D219"/>
    <w:rsid w:val="3AF67549"/>
    <w:rsid w:val="3B270A99"/>
    <w:rsid w:val="3B3767C1"/>
    <w:rsid w:val="3B710C83"/>
    <w:rsid w:val="3B8F2F63"/>
    <w:rsid w:val="3BECCA8C"/>
    <w:rsid w:val="3BF1AA9B"/>
    <w:rsid w:val="3C292B8C"/>
    <w:rsid w:val="3C34587B"/>
    <w:rsid w:val="3C3F8921"/>
    <w:rsid w:val="3C46771F"/>
    <w:rsid w:val="3C602595"/>
    <w:rsid w:val="3C624DE7"/>
    <w:rsid w:val="3C666D83"/>
    <w:rsid w:val="3C74FCDB"/>
    <w:rsid w:val="3C854EF9"/>
    <w:rsid w:val="3CCFB8B3"/>
    <w:rsid w:val="3CDF1579"/>
    <w:rsid w:val="3CE83F36"/>
    <w:rsid w:val="3CFB4DB2"/>
    <w:rsid w:val="3D32E955"/>
    <w:rsid w:val="3D363129"/>
    <w:rsid w:val="3D5582C6"/>
    <w:rsid w:val="3D592004"/>
    <w:rsid w:val="3D5F462C"/>
    <w:rsid w:val="3E2034D0"/>
    <w:rsid w:val="3E434895"/>
    <w:rsid w:val="3E4FF0D3"/>
    <w:rsid w:val="3E67378D"/>
    <w:rsid w:val="3E6C0D4B"/>
    <w:rsid w:val="3E8EBF31"/>
    <w:rsid w:val="3EABEE4B"/>
    <w:rsid w:val="3ED50A0F"/>
    <w:rsid w:val="3EF845E9"/>
    <w:rsid w:val="3F092E99"/>
    <w:rsid w:val="3F1C5CFE"/>
    <w:rsid w:val="3F247B21"/>
    <w:rsid w:val="3F717811"/>
    <w:rsid w:val="3F758580"/>
    <w:rsid w:val="3F9DD30B"/>
    <w:rsid w:val="3FB0EAEA"/>
    <w:rsid w:val="3FC652D9"/>
    <w:rsid w:val="3FCB81DF"/>
    <w:rsid w:val="3FD29857"/>
    <w:rsid w:val="3FE23E61"/>
    <w:rsid w:val="3FFBA3C5"/>
    <w:rsid w:val="401C71BC"/>
    <w:rsid w:val="4061EF38"/>
    <w:rsid w:val="406CA134"/>
    <w:rsid w:val="407CEB20"/>
    <w:rsid w:val="40862922"/>
    <w:rsid w:val="4094CA52"/>
    <w:rsid w:val="40A27B20"/>
    <w:rsid w:val="40CFDAB8"/>
    <w:rsid w:val="40D1A21E"/>
    <w:rsid w:val="40E5543D"/>
    <w:rsid w:val="411695AD"/>
    <w:rsid w:val="4130C6D9"/>
    <w:rsid w:val="4138E5D6"/>
    <w:rsid w:val="4141B830"/>
    <w:rsid w:val="415490D2"/>
    <w:rsid w:val="417B98B0"/>
    <w:rsid w:val="417F7054"/>
    <w:rsid w:val="41A8E9E9"/>
    <w:rsid w:val="41B33ACB"/>
    <w:rsid w:val="42874AFD"/>
    <w:rsid w:val="42C2BBC4"/>
    <w:rsid w:val="42DAA802"/>
    <w:rsid w:val="43277049"/>
    <w:rsid w:val="4333F3EF"/>
    <w:rsid w:val="43D6BD28"/>
    <w:rsid w:val="44160CFE"/>
    <w:rsid w:val="442E181D"/>
    <w:rsid w:val="443D3948"/>
    <w:rsid w:val="44604487"/>
    <w:rsid w:val="44A235AC"/>
    <w:rsid w:val="44F09098"/>
    <w:rsid w:val="44F67C85"/>
    <w:rsid w:val="450175D8"/>
    <w:rsid w:val="4513951C"/>
    <w:rsid w:val="45328B2B"/>
    <w:rsid w:val="453357B9"/>
    <w:rsid w:val="4544051E"/>
    <w:rsid w:val="45711773"/>
    <w:rsid w:val="4581F9E2"/>
    <w:rsid w:val="45D9B296"/>
    <w:rsid w:val="460D446C"/>
    <w:rsid w:val="4637999E"/>
    <w:rsid w:val="463EA94A"/>
    <w:rsid w:val="4659A3B0"/>
    <w:rsid w:val="4689A9F3"/>
    <w:rsid w:val="46AFC36A"/>
    <w:rsid w:val="46D0EE94"/>
    <w:rsid w:val="46FF6FE7"/>
    <w:rsid w:val="4722217F"/>
    <w:rsid w:val="472622B1"/>
    <w:rsid w:val="473F4F90"/>
    <w:rsid w:val="473FFA00"/>
    <w:rsid w:val="47533138"/>
    <w:rsid w:val="475FA629"/>
    <w:rsid w:val="4766BA7E"/>
    <w:rsid w:val="478B9760"/>
    <w:rsid w:val="47BD7A2C"/>
    <w:rsid w:val="47E183A0"/>
    <w:rsid w:val="47E58B98"/>
    <w:rsid w:val="47F29962"/>
    <w:rsid w:val="47F66822"/>
    <w:rsid w:val="4812A062"/>
    <w:rsid w:val="481550AC"/>
    <w:rsid w:val="48267BEC"/>
    <w:rsid w:val="4855D967"/>
    <w:rsid w:val="485A2059"/>
    <w:rsid w:val="486D0AE1"/>
    <w:rsid w:val="486E1817"/>
    <w:rsid w:val="487CFD70"/>
    <w:rsid w:val="48B59601"/>
    <w:rsid w:val="48D96E8D"/>
    <w:rsid w:val="490C517B"/>
    <w:rsid w:val="491E1DA8"/>
    <w:rsid w:val="4935DB76"/>
    <w:rsid w:val="49376B8C"/>
    <w:rsid w:val="4975A8BA"/>
    <w:rsid w:val="497F1892"/>
    <w:rsid w:val="49939A9F"/>
    <w:rsid w:val="49A5E15F"/>
    <w:rsid w:val="49D395CA"/>
    <w:rsid w:val="49DCF922"/>
    <w:rsid w:val="49EB901C"/>
    <w:rsid w:val="49FC6093"/>
    <w:rsid w:val="4A18AE60"/>
    <w:rsid w:val="4A19C678"/>
    <w:rsid w:val="4A24B258"/>
    <w:rsid w:val="4A430C2D"/>
    <w:rsid w:val="4A5E99F8"/>
    <w:rsid w:val="4A70B5CC"/>
    <w:rsid w:val="4A91DA3C"/>
    <w:rsid w:val="4A966437"/>
    <w:rsid w:val="4ABF5508"/>
    <w:rsid w:val="4AD6CB48"/>
    <w:rsid w:val="4B05A2BE"/>
    <w:rsid w:val="4B6A4CE2"/>
    <w:rsid w:val="4B937039"/>
    <w:rsid w:val="4B94FABC"/>
    <w:rsid w:val="4BB01DC0"/>
    <w:rsid w:val="4BB37112"/>
    <w:rsid w:val="4BDA3986"/>
    <w:rsid w:val="4BEAE128"/>
    <w:rsid w:val="4BEBD77C"/>
    <w:rsid w:val="4C220074"/>
    <w:rsid w:val="4C71716E"/>
    <w:rsid w:val="4C8B8602"/>
    <w:rsid w:val="4C8F4966"/>
    <w:rsid w:val="4CA11AA2"/>
    <w:rsid w:val="4CBAF6B4"/>
    <w:rsid w:val="4CC72CB8"/>
    <w:rsid w:val="4D090586"/>
    <w:rsid w:val="4D7EC3AF"/>
    <w:rsid w:val="4D8F4AAE"/>
    <w:rsid w:val="4DA6D362"/>
    <w:rsid w:val="4DA9B670"/>
    <w:rsid w:val="4DAAB792"/>
    <w:rsid w:val="4DB6199C"/>
    <w:rsid w:val="4DE50414"/>
    <w:rsid w:val="4E009936"/>
    <w:rsid w:val="4E1FF259"/>
    <w:rsid w:val="4E4153B0"/>
    <w:rsid w:val="4E421468"/>
    <w:rsid w:val="4E5E17CD"/>
    <w:rsid w:val="4E68C21D"/>
    <w:rsid w:val="4E734638"/>
    <w:rsid w:val="4E9D216E"/>
    <w:rsid w:val="4F036A22"/>
    <w:rsid w:val="4F1FE4A9"/>
    <w:rsid w:val="4F4581E0"/>
    <w:rsid w:val="4F6A3D61"/>
    <w:rsid w:val="4F6AE08C"/>
    <w:rsid w:val="4F71940D"/>
    <w:rsid w:val="4F8EB9B0"/>
    <w:rsid w:val="4FF985E8"/>
    <w:rsid w:val="500A3733"/>
    <w:rsid w:val="503DF76C"/>
    <w:rsid w:val="5073D3E0"/>
    <w:rsid w:val="507AC4B6"/>
    <w:rsid w:val="508E226D"/>
    <w:rsid w:val="50BA8463"/>
    <w:rsid w:val="50BFB0A7"/>
    <w:rsid w:val="50BFB576"/>
    <w:rsid w:val="50C0E9C2"/>
    <w:rsid w:val="50CB9B71"/>
    <w:rsid w:val="50DAD82B"/>
    <w:rsid w:val="516F895D"/>
    <w:rsid w:val="5195C80F"/>
    <w:rsid w:val="51A46335"/>
    <w:rsid w:val="51A5F26E"/>
    <w:rsid w:val="51AA3CA0"/>
    <w:rsid w:val="51C51C4C"/>
    <w:rsid w:val="51E6DD22"/>
    <w:rsid w:val="51F5FEB9"/>
    <w:rsid w:val="521B92D7"/>
    <w:rsid w:val="5237272B"/>
    <w:rsid w:val="5252B705"/>
    <w:rsid w:val="5278BA16"/>
    <w:rsid w:val="52E23A08"/>
    <w:rsid w:val="530986A6"/>
    <w:rsid w:val="536CF40A"/>
    <w:rsid w:val="538303CF"/>
    <w:rsid w:val="53AA822E"/>
    <w:rsid w:val="53F2354A"/>
    <w:rsid w:val="53FAC0B4"/>
    <w:rsid w:val="540609FC"/>
    <w:rsid w:val="54084B3E"/>
    <w:rsid w:val="5429A062"/>
    <w:rsid w:val="543525BA"/>
    <w:rsid w:val="54362506"/>
    <w:rsid w:val="5444C723"/>
    <w:rsid w:val="546B9A3F"/>
    <w:rsid w:val="546DCF3B"/>
    <w:rsid w:val="5481A7C1"/>
    <w:rsid w:val="549BC70A"/>
    <w:rsid w:val="54E1300F"/>
    <w:rsid w:val="54ECC940"/>
    <w:rsid w:val="55023D99"/>
    <w:rsid w:val="5522B204"/>
    <w:rsid w:val="55260042"/>
    <w:rsid w:val="55395A9D"/>
    <w:rsid w:val="55AD422F"/>
    <w:rsid w:val="55C0710C"/>
    <w:rsid w:val="55EA8B07"/>
    <w:rsid w:val="560ABE6C"/>
    <w:rsid w:val="561F2FF9"/>
    <w:rsid w:val="5637C06D"/>
    <w:rsid w:val="566A0EF0"/>
    <w:rsid w:val="566CC8C4"/>
    <w:rsid w:val="566F7BAC"/>
    <w:rsid w:val="56745F4E"/>
    <w:rsid w:val="56F1B921"/>
    <w:rsid w:val="56FF3C2B"/>
    <w:rsid w:val="5701D1B2"/>
    <w:rsid w:val="571C5F72"/>
    <w:rsid w:val="57258F15"/>
    <w:rsid w:val="572B0C40"/>
    <w:rsid w:val="575D9F60"/>
    <w:rsid w:val="57662966"/>
    <w:rsid w:val="576D5E54"/>
    <w:rsid w:val="57757940"/>
    <w:rsid w:val="5790125E"/>
    <w:rsid w:val="57CB0C54"/>
    <w:rsid w:val="57FFC40C"/>
    <w:rsid w:val="581570ED"/>
    <w:rsid w:val="582CA357"/>
    <w:rsid w:val="5846D0CA"/>
    <w:rsid w:val="585E8422"/>
    <w:rsid w:val="586E9D9B"/>
    <w:rsid w:val="58A5F500"/>
    <w:rsid w:val="58B875A8"/>
    <w:rsid w:val="594DBB5F"/>
    <w:rsid w:val="5980505C"/>
    <w:rsid w:val="5990ABA2"/>
    <w:rsid w:val="59A25A99"/>
    <w:rsid w:val="59AF0CC0"/>
    <w:rsid w:val="59CCCA59"/>
    <w:rsid w:val="59E89493"/>
    <w:rsid w:val="59ED6274"/>
    <w:rsid w:val="5A123031"/>
    <w:rsid w:val="5A3265E4"/>
    <w:rsid w:val="5A356FA5"/>
    <w:rsid w:val="5A42282B"/>
    <w:rsid w:val="5A4C6018"/>
    <w:rsid w:val="5A8B6DE1"/>
    <w:rsid w:val="5ABA2D38"/>
    <w:rsid w:val="5AEE740B"/>
    <w:rsid w:val="5B16FE57"/>
    <w:rsid w:val="5B1B27E1"/>
    <w:rsid w:val="5B27E54D"/>
    <w:rsid w:val="5BA575D2"/>
    <w:rsid w:val="5BAD3954"/>
    <w:rsid w:val="5BBFF1D1"/>
    <w:rsid w:val="5BC597E2"/>
    <w:rsid w:val="5BF92CFB"/>
    <w:rsid w:val="5C0064B9"/>
    <w:rsid w:val="5C1DD9DB"/>
    <w:rsid w:val="5C297427"/>
    <w:rsid w:val="5C42809F"/>
    <w:rsid w:val="5C605D7C"/>
    <w:rsid w:val="5C6EE7B5"/>
    <w:rsid w:val="5C9D5AD0"/>
    <w:rsid w:val="5CF5BC95"/>
    <w:rsid w:val="5D0B7343"/>
    <w:rsid w:val="5D389DAD"/>
    <w:rsid w:val="5D5E12AD"/>
    <w:rsid w:val="5DACA279"/>
    <w:rsid w:val="5DB12557"/>
    <w:rsid w:val="5DBFFC17"/>
    <w:rsid w:val="5DCEA925"/>
    <w:rsid w:val="5DE5B021"/>
    <w:rsid w:val="5E01EA45"/>
    <w:rsid w:val="5E14EAD4"/>
    <w:rsid w:val="5E7F6308"/>
    <w:rsid w:val="5E7F8644"/>
    <w:rsid w:val="5E92F2E0"/>
    <w:rsid w:val="5EAE5AED"/>
    <w:rsid w:val="5EB67CE3"/>
    <w:rsid w:val="5ECF2821"/>
    <w:rsid w:val="5EEB6F1A"/>
    <w:rsid w:val="5EFA7C02"/>
    <w:rsid w:val="5F0A40C4"/>
    <w:rsid w:val="5F70C679"/>
    <w:rsid w:val="5FA59FDB"/>
    <w:rsid w:val="5FB5FA21"/>
    <w:rsid w:val="5FCA4634"/>
    <w:rsid w:val="5FD83990"/>
    <w:rsid w:val="5FF18E5B"/>
    <w:rsid w:val="60245EF9"/>
    <w:rsid w:val="60246944"/>
    <w:rsid w:val="60357DCF"/>
    <w:rsid w:val="60368296"/>
    <w:rsid w:val="60449148"/>
    <w:rsid w:val="6068B03D"/>
    <w:rsid w:val="6068BE5B"/>
    <w:rsid w:val="6070AAD0"/>
    <w:rsid w:val="6074F316"/>
    <w:rsid w:val="607A829E"/>
    <w:rsid w:val="60A79110"/>
    <w:rsid w:val="60C27420"/>
    <w:rsid w:val="60C88AB3"/>
    <w:rsid w:val="60E64D7E"/>
    <w:rsid w:val="60F5B6B7"/>
    <w:rsid w:val="6165B339"/>
    <w:rsid w:val="61AEEB22"/>
    <w:rsid w:val="61E41494"/>
    <w:rsid w:val="62027D09"/>
    <w:rsid w:val="62310A8F"/>
    <w:rsid w:val="6258F005"/>
    <w:rsid w:val="626DACF2"/>
    <w:rsid w:val="626E1335"/>
    <w:rsid w:val="62833244"/>
    <w:rsid w:val="628BE4F1"/>
    <w:rsid w:val="629ED593"/>
    <w:rsid w:val="62A779E4"/>
    <w:rsid w:val="62BC1A71"/>
    <w:rsid w:val="62C10C68"/>
    <w:rsid w:val="62D702EB"/>
    <w:rsid w:val="62D953B7"/>
    <w:rsid w:val="62F4C5D1"/>
    <w:rsid w:val="63136372"/>
    <w:rsid w:val="63596FB9"/>
    <w:rsid w:val="63A3EC64"/>
    <w:rsid w:val="63DF6068"/>
    <w:rsid w:val="63EF571A"/>
    <w:rsid w:val="63F4874B"/>
    <w:rsid w:val="63F7EF2F"/>
    <w:rsid w:val="6403D6A3"/>
    <w:rsid w:val="6415A376"/>
    <w:rsid w:val="641E388E"/>
    <w:rsid w:val="646DD3C6"/>
    <w:rsid w:val="6478FDF0"/>
    <w:rsid w:val="6496D833"/>
    <w:rsid w:val="649E1D65"/>
    <w:rsid w:val="64C11E15"/>
    <w:rsid w:val="64EA6B74"/>
    <w:rsid w:val="64EB1566"/>
    <w:rsid w:val="64F34DFB"/>
    <w:rsid w:val="64F7C8F1"/>
    <w:rsid w:val="65075B75"/>
    <w:rsid w:val="6515C129"/>
    <w:rsid w:val="65394721"/>
    <w:rsid w:val="653D6C9C"/>
    <w:rsid w:val="65523D73"/>
    <w:rsid w:val="659DE90F"/>
    <w:rsid w:val="65BB572D"/>
    <w:rsid w:val="65D73D7A"/>
    <w:rsid w:val="65D78A17"/>
    <w:rsid w:val="65FAB782"/>
    <w:rsid w:val="660F4E8A"/>
    <w:rsid w:val="661B1F15"/>
    <w:rsid w:val="66209C8D"/>
    <w:rsid w:val="662836AC"/>
    <w:rsid w:val="663670CC"/>
    <w:rsid w:val="6640B1D2"/>
    <w:rsid w:val="666462F4"/>
    <w:rsid w:val="668D061E"/>
    <w:rsid w:val="6691501F"/>
    <w:rsid w:val="66AF928F"/>
    <w:rsid w:val="66BB2C9B"/>
    <w:rsid w:val="66CDAA64"/>
    <w:rsid w:val="66D5E196"/>
    <w:rsid w:val="66F498A4"/>
    <w:rsid w:val="67079687"/>
    <w:rsid w:val="67478F79"/>
    <w:rsid w:val="677BB401"/>
    <w:rsid w:val="67834BA1"/>
    <w:rsid w:val="67C27119"/>
    <w:rsid w:val="67C7819D"/>
    <w:rsid w:val="67CF89D9"/>
    <w:rsid w:val="67E139DD"/>
    <w:rsid w:val="67E694AD"/>
    <w:rsid w:val="6801D17D"/>
    <w:rsid w:val="68065F86"/>
    <w:rsid w:val="682D846C"/>
    <w:rsid w:val="6866621B"/>
    <w:rsid w:val="68762147"/>
    <w:rsid w:val="68BA22C4"/>
    <w:rsid w:val="69055217"/>
    <w:rsid w:val="69182D0A"/>
    <w:rsid w:val="691941CD"/>
    <w:rsid w:val="69B63E04"/>
    <w:rsid w:val="6A0BA4EB"/>
    <w:rsid w:val="6A19675F"/>
    <w:rsid w:val="6A27906B"/>
    <w:rsid w:val="6A2939E0"/>
    <w:rsid w:val="6A33ED96"/>
    <w:rsid w:val="6A4877C8"/>
    <w:rsid w:val="6A61E0AD"/>
    <w:rsid w:val="6A68DDD1"/>
    <w:rsid w:val="6A719189"/>
    <w:rsid w:val="6A899016"/>
    <w:rsid w:val="6A8DCB7E"/>
    <w:rsid w:val="6A9B0767"/>
    <w:rsid w:val="6AA8BA40"/>
    <w:rsid w:val="6ABD5D7C"/>
    <w:rsid w:val="6AE5562B"/>
    <w:rsid w:val="6AE76F0D"/>
    <w:rsid w:val="6AEFC5EB"/>
    <w:rsid w:val="6B183C6C"/>
    <w:rsid w:val="6B2B4FA8"/>
    <w:rsid w:val="6B4937A5"/>
    <w:rsid w:val="6B4AE1DC"/>
    <w:rsid w:val="6B6DDB69"/>
    <w:rsid w:val="6B845DB4"/>
    <w:rsid w:val="6B93FAA3"/>
    <w:rsid w:val="6B9FFF6B"/>
    <w:rsid w:val="6BA71CC8"/>
    <w:rsid w:val="6BB65139"/>
    <w:rsid w:val="6C187FA2"/>
    <w:rsid w:val="6C19BFA2"/>
    <w:rsid w:val="6C6BA5BB"/>
    <w:rsid w:val="6C73952F"/>
    <w:rsid w:val="6C7D8F8E"/>
    <w:rsid w:val="6C8B73B9"/>
    <w:rsid w:val="6CAECBB9"/>
    <w:rsid w:val="6CBCD574"/>
    <w:rsid w:val="6CC06DBC"/>
    <w:rsid w:val="6D4A8049"/>
    <w:rsid w:val="6D5F12CC"/>
    <w:rsid w:val="6D8E3330"/>
    <w:rsid w:val="6E0D4EF1"/>
    <w:rsid w:val="6E3E274C"/>
    <w:rsid w:val="6E462CF9"/>
    <w:rsid w:val="6E55EB49"/>
    <w:rsid w:val="6E61CE04"/>
    <w:rsid w:val="6E667777"/>
    <w:rsid w:val="6E7A2593"/>
    <w:rsid w:val="6E7AD18A"/>
    <w:rsid w:val="6E970D4D"/>
    <w:rsid w:val="6E9EA358"/>
    <w:rsid w:val="6EAD956B"/>
    <w:rsid w:val="6FA2AEDC"/>
    <w:rsid w:val="6FB0B570"/>
    <w:rsid w:val="6FDE027D"/>
    <w:rsid w:val="6FFA7327"/>
    <w:rsid w:val="702F4EDF"/>
    <w:rsid w:val="704E5CA5"/>
    <w:rsid w:val="707F8CA7"/>
    <w:rsid w:val="70CB8CE6"/>
    <w:rsid w:val="70D0F1CD"/>
    <w:rsid w:val="70F667DD"/>
    <w:rsid w:val="710E5208"/>
    <w:rsid w:val="711EB691"/>
    <w:rsid w:val="713DEA56"/>
    <w:rsid w:val="715551D2"/>
    <w:rsid w:val="7186CFC0"/>
    <w:rsid w:val="718CCB3B"/>
    <w:rsid w:val="71AAC754"/>
    <w:rsid w:val="71CF5258"/>
    <w:rsid w:val="71F27057"/>
    <w:rsid w:val="71F71DA1"/>
    <w:rsid w:val="722830C1"/>
    <w:rsid w:val="72A195F9"/>
    <w:rsid w:val="72A247F0"/>
    <w:rsid w:val="7303E4B2"/>
    <w:rsid w:val="730E7BC4"/>
    <w:rsid w:val="7334E090"/>
    <w:rsid w:val="737EF7DD"/>
    <w:rsid w:val="737F92E2"/>
    <w:rsid w:val="73831AC1"/>
    <w:rsid w:val="73CE192D"/>
    <w:rsid w:val="73CEE2DB"/>
    <w:rsid w:val="73E8BDA7"/>
    <w:rsid w:val="73F3E119"/>
    <w:rsid w:val="7406EFF3"/>
    <w:rsid w:val="7413F037"/>
    <w:rsid w:val="74154E53"/>
    <w:rsid w:val="741D7A86"/>
    <w:rsid w:val="743B4266"/>
    <w:rsid w:val="74485D83"/>
    <w:rsid w:val="7458695C"/>
    <w:rsid w:val="746D2A42"/>
    <w:rsid w:val="7484FC8D"/>
    <w:rsid w:val="74938503"/>
    <w:rsid w:val="749CD74B"/>
    <w:rsid w:val="74A437EE"/>
    <w:rsid w:val="74A5CD9F"/>
    <w:rsid w:val="74B99987"/>
    <w:rsid w:val="7519D8C3"/>
    <w:rsid w:val="75228A67"/>
    <w:rsid w:val="75366A73"/>
    <w:rsid w:val="753C7BFF"/>
    <w:rsid w:val="75498509"/>
    <w:rsid w:val="7567E063"/>
    <w:rsid w:val="757EB2E6"/>
    <w:rsid w:val="75A8D4F9"/>
    <w:rsid w:val="75C58BFD"/>
    <w:rsid w:val="7613985C"/>
    <w:rsid w:val="76250E19"/>
    <w:rsid w:val="7638422D"/>
    <w:rsid w:val="7682A47F"/>
    <w:rsid w:val="769134D9"/>
    <w:rsid w:val="769BE07F"/>
    <w:rsid w:val="76A8590D"/>
    <w:rsid w:val="76ADEBB9"/>
    <w:rsid w:val="76D97F19"/>
    <w:rsid w:val="76ECD13C"/>
    <w:rsid w:val="770C26BD"/>
    <w:rsid w:val="7715ABFB"/>
    <w:rsid w:val="7715E1F8"/>
    <w:rsid w:val="77258241"/>
    <w:rsid w:val="7735F6AA"/>
    <w:rsid w:val="77396005"/>
    <w:rsid w:val="776AF595"/>
    <w:rsid w:val="7780FB64"/>
    <w:rsid w:val="7796CF2E"/>
    <w:rsid w:val="77BF2FE0"/>
    <w:rsid w:val="77CB009C"/>
    <w:rsid w:val="78160E27"/>
    <w:rsid w:val="782A6BA1"/>
    <w:rsid w:val="78455E34"/>
    <w:rsid w:val="789A8F15"/>
    <w:rsid w:val="789AF4E7"/>
    <w:rsid w:val="78AD6781"/>
    <w:rsid w:val="78E0D4B5"/>
    <w:rsid w:val="78ECBDD3"/>
    <w:rsid w:val="79849622"/>
    <w:rsid w:val="79B3D2BB"/>
    <w:rsid w:val="79B97359"/>
    <w:rsid w:val="79C107E3"/>
    <w:rsid w:val="79DA1E41"/>
    <w:rsid w:val="7A0B79CE"/>
    <w:rsid w:val="7A139871"/>
    <w:rsid w:val="7A270A45"/>
    <w:rsid w:val="7A65D76B"/>
    <w:rsid w:val="7A7249CE"/>
    <w:rsid w:val="7A86E22D"/>
    <w:rsid w:val="7AA41A35"/>
    <w:rsid w:val="7ABC9D62"/>
    <w:rsid w:val="7AE5F470"/>
    <w:rsid w:val="7AE7F255"/>
    <w:rsid w:val="7B650709"/>
    <w:rsid w:val="7B6A9730"/>
    <w:rsid w:val="7B84EF7F"/>
    <w:rsid w:val="7B92746D"/>
    <w:rsid w:val="7B999418"/>
    <w:rsid w:val="7BE1EB50"/>
    <w:rsid w:val="7BF6B7B3"/>
    <w:rsid w:val="7BF880C5"/>
    <w:rsid w:val="7C2E7DE4"/>
    <w:rsid w:val="7C38493C"/>
    <w:rsid w:val="7C4B2319"/>
    <w:rsid w:val="7CD7CA26"/>
    <w:rsid w:val="7D24E24B"/>
    <w:rsid w:val="7D509279"/>
    <w:rsid w:val="7D91A3F8"/>
    <w:rsid w:val="7D91ED9E"/>
    <w:rsid w:val="7DADB828"/>
    <w:rsid w:val="7DBDB75C"/>
    <w:rsid w:val="7DD3D88F"/>
    <w:rsid w:val="7DD820E9"/>
    <w:rsid w:val="7DE95C44"/>
    <w:rsid w:val="7E1F3877"/>
    <w:rsid w:val="7E7F27E3"/>
    <w:rsid w:val="7E8D436D"/>
    <w:rsid w:val="7EC52454"/>
    <w:rsid w:val="7EDB514E"/>
    <w:rsid w:val="7F26B69F"/>
    <w:rsid w:val="7F2DDD26"/>
    <w:rsid w:val="7F41340D"/>
    <w:rsid w:val="7F48EF6E"/>
    <w:rsid w:val="7F53BFE7"/>
    <w:rsid w:val="7F5896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4DC24334-4619-416D-926F-BD1EE3CD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99"/>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39"/>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721C21"/>
    <w:pPr>
      <w:tabs>
        <w:tab w:val="clear" w:pos="567"/>
        <w:tab w:val="clear" w:pos="1134"/>
        <w:tab w:val="clear" w:pos="1701"/>
        <w:tab w:val="clear" w:pos="2268"/>
        <w:tab w:val="clear" w:pos="2835"/>
      </w:tabs>
      <w:spacing w:before="40" w:after="40"/>
    </w:pPr>
    <w:rPr>
      <w:rFonts w:eastAsiaTheme="minorEastAsia"/>
      <w:sz w:val="22"/>
      <w:lang w:val="en-US"/>
    </w:rPr>
  </w:style>
  <w:style w:type="paragraph" w:customStyle="1" w:styleId="Tabletitle">
    <w:name w:val="Table_title"/>
    <w:basedOn w:val="TableNo"/>
    <w:next w:val="Tabletext"/>
    <w:rsid w:val="00B313D5"/>
    <w:pPr>
      <w:tabs>
        <w:tab w:val="clear" w:pos="567"/>
        <w:tab w:val="clear" w:pos="1134"/>
        <w:tab w:val="clear" w:pos="1701"/>
        <w:tab w:val="clear" w:pos="2268"/>
        <w:tab w:val="clear" w:pos="2835"/>
        <w:tab w:val="left" w:pos="2948"/>
        <w:tab w:val="left" w:pos="4082"/>
      </w:tabs>
      <w:spacing w:before="0"/>
    </w:pPr>
    <w:rPr>
      <w:b/>
      <w:caps w:val="0"/>
      <w:sz w:val="22"/>
      <w:szCs w:val="22"/>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BF6D7A"/>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8F1724"/>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TOCHeading">
    <w:name w:val="TOC Heading"/>
    <w:basedOn w:val="Heading1"/>
    <w:next w:val="Normal"/>
    <w:uiPriority w:val="39"/>
    <w:unhideWhenUsed/>
    <w:qFormat/>
    <w:rsid w:val="00383AB1"/>
    <w:pPr>
      <w:tabs>
        <w:tab w:val="clear" w:pos="567"/>
        <w:tab w:val="clear" w:pos="1134"/>
        <w:tab w:val="clear" w:pos="1701"/>
        <w:tab w:val="clear" w:pos="2268"/>
        <w:tab w:val="clear" w:pos="283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paragraph" w:styleId="NormalWeb">
    <w:name w:val="Normal (Web)"/>
    <w:basedOn w:val="Normal"/>
    <w:uiPriority w:val="99"/>
    <w:semiHidden/>
    <w:unhideWhenUsed/>
    <w:rsid w:val="00FD13B7"/>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IN" w:eastAsia="en-IN"/>
    </w:rPr>
  </w:style>
  <w:style w:type="paragraph" w:styleId="Revision">
    <w:name w:val="Revision"/>
    <w:hidden/>
    <w:uiPriority w:val="99"/>
    <w:semiHidden/>
    <w:rsid w:val="00790998"/>
    <w:rPr>
      <w:rFonts w:ascii="Calibri" w:hAnsi="Calibri"/>
      <w:sz w:val="24"/>
      <w:lang w:val="en-GB" w:eastAsia="en-US"/>
    </w:rPr>
  </w:style>
  <w:style w:type="table" w:styleId="TableGrid">
    <w:name w:val="Table Grid"/>
    <w:basedOn w:val="TableNormal"/>
    <w:uiPriority w:val="59"/>
    <w:rsid w:val="007564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0234"/>
    <w:pPr>
      <w:ind w:left="720"/>
      <w:contextualSpacing/>
    </w:pPr>
  </w:style>
  <w:style w:type="paragraph" w:styleId="CommentText">
    <w:name w:val="annotation text"/>
    <w:basedOn w:val="Normal"/>
    <w:link w:val="CommentTextChar"/>
    <w:unhideWhenUsed/>
    <w:rsid w:val="008C0234"/>
    <w:rPr>
      <w:sz w:val="20"/>
    </w:rPr>
  </w:style>
  <w:style w:type="character" w:customStyle="1" w:styleId="CommentTextChar">
    <w:name w:val="Comment Text Char"/>
    <w:basedOn w:val="DefaultParagraphFont"/>
    <w:link w:val="CommentText"/>
    <w:rsid w:val="008C0234"/>
    <w:rPr>
      <w:rFonts w:ascii="Calibri" w:hAnsi="Calibri"/>
      <w:lang w:val="en-GB" w:eastAsia="en-US"/>
    </w:rPr>
  </w:style>
  <w:style w:type="character" w:styleId="CommentReference">
    <w:name w:val="annotation reference"/>
    <w:basedOn w:val="DefaultParagraphFont"/>
    <w:semiHidden/>
    <w:unhideWhenUsed/>
    <w:rsid w:val="008C0234"/>
    <w:rPr>
      <w:sz w:val="16"/>
      <w:szCs w:val="16"/>
    </w:rPr>
  </w:style>
  <w:style w:type="paragraph" w:styleId="Caption">
    <w:name w:val="caption"/>
    <w:basedOn w:val="Normal"/>
    <w:next w:val="Normal"/>
    <w:unhideWhenUsed/>
    <w:qFormat/>
    <w:rsid w:val="008C0234"/>
    <w:pPr>
      <w:tabs>
        <w:tab w:val="clear" w:pos="567"/>
        <w:tab w:val="clear" w:pos="1134"/>
        <w:tab w:val="clear" w:pos="1701"/>
        <w:tab w:val="clear" w:pos="2268"/>
        <w:tab w:val="clear" w:pos="2835"/>
      </w:tabs>
      <w:overflowPunct/>
      <w:autoSpaceDE/>
      <w:autoSpaceDN/>
      <w:adjustRightInd/>
      <w:spacing w:before="0" w:after="120"/>
      <w:textAlignment w:val="auto"/>
    </w:pPr>
    <w:rPr>
      <w:rFonts w:ascii="Arial" w:eastAsia="Arial" w:hAnsi="Arial" w:cstheme="minorBidi"/>
      <w:b/>
      <w:bCs/>
      <w:i/>
      <w:color w:val="505050"/>
      <w:sz w:val="18"/>
      <w:szCs w:val="18"/>
      <w:lang w:val="en-US"/>
    </w:rPr>
  </w:style>
  <w:style w:type="table" w:styleId="PlainTable3">
    <w:name w:val="Plain Table 3"/>
    <w:basedOn w:val="TableNormal"/>
    <w:uiPriority w:val="99"/>
    <w:rsid w:val="008C0234"/>
    <w:rPr>
      <w:rFonts w:asciiTheme="minorHAnsi" w:eastAsiaTheme="minorEastAsia"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8C02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
    <w:name w:val="Figure"/>
    <w:basedOn w:val="firstfooter0"/>
    <w:rsid w:val="008C0234"/>
    <w:pPr>
      <w:spacing w:before="120" w:beforeAutospacing="0" w:after="240" w:afterAutospacing="0"/>
      <w:jc w:val="center"/>
    </w:pPr>
    <w:rPr>
      <w:noProof/>
    </w:rPr>
  </w:style>
  <w:style w:type="paragraph" w:customStyle="1" w:styleId="Tablefin">
    <w:name w:val="Table_fin"/>
    <w:basedOn w:val="Tabletext"/>
    <w:rsid w:val="008C0234"/>
    <w:pPr>
      <w:spacing w:before="0" w:after="0"/>
    </w:pPr>
  </w:style>
  <w:style w:type="paragraph" w:styleId="CommentSubject">
    <w:name w:val="annotation subject"/>
    <w:basedOn w:val="CommentText"/>
    <w:next w:val="CommentText"/>
    <w:link w:val="CommentSubjectChar"/>
    <w:semiHidden/>
    <w:unhideWhenUsed/>
    <w:rsid w:val="008C0234"/>
    <w:rPr>
      <w:b/>
      <w:bCs/>
    </w:rPr>
  </w:style>
  <w:style w:type="character" w:customStyle="1" w:styleId="CommentSubjectChar">
    <w:name w:val="Comment Subject Char"/>
    <w:basedOn w:val="CommentTextChar"/>
    <w:link w:val="CommentSubject"/>
    <w:semiHidden/>
    <w:rsid w:val="008C0234"/>
    <w:rPr>
      <w:rFonts w:ascii="Calibri" w:hAnsi="Calibri"/>
      <w:b/>
      <w:bCs/>
      <w:lang w:val="en-GB" w:eastAsia="en-US"/>
    </w:rPr>
  </w:style>
  <w:style w:type="character" w:styleId="Mention">
    <w:name w:val="Mention"/>
    <w:basedOn w:val="DefaultParagraphFont"/>
    <w:uiPriority w:val="99"/>
    <w:unhideWhenUsed/>
    <w:rsid w:val="008C0234"/>
    <w:rPr>
      <w:color w:val="2B579A"/>
      <w:shd w:val="clear" w:color="auto" w:fill="E1DFDD"/>
    </w:rPr>
  </w:style>
  <w:style w:type="character" w:styleId="PlaceholderText">
    <w:name w:val="Placeholder Text"/>
    <w:basedOn w:val="DefaultParagraphFont"/>
    <w:uiPriority w:val="99"/>
    <w:semiHidden/>
    <w:rsid w:val="008F1724"/>
    <w:rPr>
      <w:color w:val="666666"/>
    </w:rPr>
  </w:style>
  <w:style w:type="paragraph" w:customStyle="1" w:styleId="Data">
    <w:name w:val="Data"/>
    <w:basedOn w:val="Normal"/>
    <w:rsid w:val="008F1724"/>
    <w:pPr>
      <w:framePr w:hSpace="181" w:wrap="around" w:hAnchor="margin" w:xAlign="center" w:y="-674"/>
      <w:tabs>
        <w:tab w:val="left" w:pos="851"/>
      </w:tabs>
      <w:spacing w:before="0"/>
    </w:pPr>
    <w:rPr>
      <w:rFonts w:cstheme="minorHAnsi"/>
      <w:b/>
      <w:szCs w:val="24"/>
    </w:rPr>
  </w:style>
  <w:style w:type="paragraph" w:customStyle="1" w:styleId="Figure-with-legend">
    <w:name w:val="Figure-with-legend"/>
    <w:basedOn w:val="Figure"/>
    <w:rsid w:val="007001E7"/>
    <w:pPr>
      <w:keepNext/>
      <w:keepLines/>
      <w:spacing w:after="0"/>
    </w:pPr>
  </w:style>
  <w:style w:type="paragraph" w:customStyle="1" w:styleId="Figurelegend">
    <w:name w:val="Figure_legend"/>
    <w:basedOn w:val="Normal"/>
    <w:rsid w:val="007001E7"/>
    <w:pPr>
      <w:spacing w:before="20" w:after="240" w:line="259" w:lineRule="auto"/>
      <w:jc w:val="both"/>
    </w:pPr>
    <w:rPr>
      <w:i/>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0-CL-C-0074/en" TargetMode="External"/><Relationship Id="rId18" Type="http://schemas.openxmlformats.org/officeDocument/2006/relationships/hyperlink" Target="https://www.itu.int/pub/D-TDC-WTDC-2025" TargetMode="External"/><Relationship Id="rId26" Type="http://schemas.openxmlformats.org/officeDocument/2006/relationships/hyperlink" Target="https://www.itu.int/md/S24-CL-C-0066/en" TargetMode="External"/><Relationship Id="rId21" Type="http://schemas.openxmlformats.org/officeDocument/2006/relationships/hyperlink" Target="https://www.itu.int/md/S26-CL-C-0119/en"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itu.int/en/council/Documents/basic-texts-2023/RES-025-E.pdf" TargetMode="External"/><Relationship Id="rId17" Type="http://schemas.openxmlformats.org/officeDocument/2006/relationships/hyperlink" Target="https://www.itu.int/md/S26-CL-C-0119/en" TargetMode="External"/><Relationship Id="rId25" Type="http://schemas.openxmlformats.org/officeDocument/2006/relationships/hyperlink" Target="https://www.itu.int/md/S26-CL-C-0024/en"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tu.int/md/S26-CL-C-0085/en" TargetMode="External"/><Relationship Id="rId20" Type="http://schemas.openxmlformats.org/officeDocument/2006/relationships/hyperlink" Target="https://www.itu.int/md/S26-CL-C-0085/en" TargetMode="External"/><Relationship Id="rId29" Type="http://schemas.openxmlformats.org/officeDocument/2006/relationships/hyperlink" Target="https://www.ict.gov.pg/Press%20Statement/Pacific%20ICT%20Ministerial%20Declaration.%20Monday%2028%20August%202023.%20APEC%20Hau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pub/D-TDC-WTDC-2025" TargetMode="External"/><Relationship Id="rId32" Type="http://schemas.openxmlformats.org/officeDocument/2006/relationships/hyperlink" Target="https://www.itu.int/md/S24-CL-C-0066/en" TargetMode="External"/><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itu.int/md/S26-CL-C-0024/en" TargetMode="External"/><Relationship Id="rId23" Type="http://schemas.openxmlformats.org/officeDocument/2006/relationships/hyperlink" Target="https://www.itu.int/md/S20-CL-C-0074/en" TargetMode="External"/><Relationship Id="rId28" Type="http://schemas.openxmlformats.org/officeDocument/2006/relationships/hyperlink" Target="https://www.itu.int/md/S24-CL-C-0066/e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tu.int/dms_pub/itu-d/md/26/tdag33/c/D26-TDAG33-C-0002!N1-A1!MSW-E.docx"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4-CL-C-0066/en" TargetMode="External"/><Relationship Id="rId22" Type="http://schemas.openxmlformats.org/officeDocument/2006/relationships/hyperlink" Target="https://www.itu.int/en/council/Documents/basic-texts-2023/RES-025-E.pdf" TargetMode="External"/><Relationship Id="rId27" Type="http://schemas.openxmlformats.org/officeDocument/2006/relationships/hyperlink" Target="https://www.itu.int/dms_pub/itu-d/md/26/tdag33/c/D26-TDAG33-C-0002!N1-A1!MSW-E.docx" TargetMode="External"/><Relationship Id="rId30" Type="http://schemas.openxmlformats.org/officeDocument/2006/relationships/hyperlink" Target="https://www.itu.int/net4/ITU-D/CDS/Resolutions/Resolution-94-Baku-2025.pdf"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en/ITU-D/Regional-Presence/AsiaPacific/Documents/Projects/Pacific%20Feasibility%20Study/29092026%20ITU%20Pacific%20Regional%20Presence%20Feasibility%20Study%20Draft%20for%20Review.pdf" TargetMode="External"/></Relationships>
</file>

<file path=word/documenttasks/documenttasks1.xml><?xml version="1.0" encoding="utf-8"?>
<t:Tasks xmlns:t="http://schemas.microsoft.com/office/tasks/2019/documenttasks" xmlns:oel="http://schemas.microsoft.com/office/2019/extlst">
  <t:Task id="{55A64296-52DF-4E25-9712-73DD159837D5}">
    <t:Anchor>
      <t:Comment id="942032023"/>
    </t:Anchor>
    <t:History>
      <t:Event id="{8A146AD6-9292-4442-AD30-229876BC9A17}" time="2026-09-21T13:45:24.576Z">
        <t:Attribution userId="S::archana.gulati@itu.int::68b33b2d-bc3b-4979-a044-aab89b6db081" userProvider="AD" userName="GULATI, Archana"/>
        <t:Anchor>
          <t:Comment id="942032023"/>
        </t:Anchor>
        <t:Create/>
      </t:Event>
      <t:Event id="{67897E6A-8919-4CFB-ADB5-EDA76B06D3F8}" time="2026-09-21T13:45:24.576Z">
        <t:Attribution userId="S::archana.gulati@itu.int::68b33b2d-bc3b-4979-a044-aab89b6db081" userProvider="AD" userName="GULATI, Archana"/>
        <t:Anchor>
          <t:Comment id="942032023"/>
        </t:Anchor>
        <t:Assign userId="S::atsuko.okuda@itu.int::6a1225e5-89a3-4f8a-a1eb-d760ef8a9afd" userProvider="AD" userName="Okuda, Atsuko"/>
      </t:Event>
      <t:Event id="{E03EA932-1EEB-4406-B488-9AD646C4AAF7}" time="2026-09-21T13:45:24.576Z">
        <t:Attribution userId="S::archana.gulati@itu.int::68b33b2d-bc3b-4979-a044-aab89b6db081" userProvider="AD" userName="GULATI, Archana"/>
        <t:Anchor>
          <t:Comment id="942032023"/>
        </t:Anchor>
        <t:SetTitle title="Option 1c @Okuda, Atsuko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FCB32C-C43D-41B0-A1E7-41FF60CF6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26262-5C15-49A3-8D4E-F9AAEED97A39}">
  <ds:schemaRefs>
    <ds:schemaRef ds:uri="http://schemas.openxmlformats.org/officeDocument/2006/bibliography"/>
  </ds:schemaRefs>
</ds:datastoreItem>
</file>

<file path=customXml/itemProps3.xml><?xml version="1.0" encoding="utf-8"?>
<ds:datastoreItem xmlns:ds="http://schemas.openxmlformats.org/officeDocument/2006/customXml" ds:itemID="{3A0386C7-D38A-4407-B506-669C2486D0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B8972A-8A77-47DB-BA5B-116BC4D72C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4225</Words>
  <Characters>24084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Establishment plan for ITU office in the Pacific</vt:lpstr>
    </vt:vector>
  </TitlesOfParts>
  <Manager/>
  <Company/>
  <LinksUpToDate>false</LinksUpToDate>
  <CharactersWithSpaces>28253</CharactersWithSpaces>
  <SharedDoc>false</SharedDoc>
  <HyperlinkBase/>
  <HLinks>
    <vt:vector size="180" baseType="variant">
      <vt:variant>
        <vt:i4>3670135</vt:i4>
      </vt:variant>
      <vt:variant>
        <vt:i4>66</vt:i4>
      </vt:variant>
      <vt:variant>
        <vt:i4>0</vt:i4>
      </vt:variant>
      <vt:variant>
        <vt:i4>5</vt:i4>
      </vt:variant>
      <vt:variant>
        <vt:lpwstr/>
      </vt:variant>
      <vt:variant>
        <vt:lpwstr>Annex3</vt:lpwstr>
      </vt:variant>
      <vt:variant>
        <vt:i4>3735671</vt:i4>
      </vt:variant>
      <vt:variant>
        <vt:i4>63</vt:i4>
      </vt:variant>
      <vt:variant>
        <vt:i4>0</vt:i4>
      </vt:variant>
      <vt:variant>
        <vt:i4>5</vt:i4>
      </vt:variant>
      <vt:variant>
        <vt:lpwstr/>
      </vt:variant>
      <vt:variant>
        <vt:lpwstr>Annex2</vt:lpwstr>
      </vt:variant>
      <vt:variant>
        <vt:i4>3801207</vt:i4>
      </vt:variant>
      <vt:variant>
        <vt:i4>60</vt:i4>
      </vt:variant>
      <vt:variant>
        <vt:i4>0</vt:i4>
      </vt:variant>
      <vt:variant>
        <vt:i4>5</vt:i4>
      </vt:variant>
      <vt:variant>
        <vt:lpwstr/>
      </vt:variant>
      <vt:variant>
        <vt:lpwstr>Annex1</vt:lpwstr>
      </vt:variant>
      <vt:variant>
        <vt:i4>7340090</vt:i4>
      </vt:variant>
      <vt:variant>
        <vt:i4>57</vt:i4>
      </vt:variant>
      <vt:variant>
        <vt:i4>0</vt:i4>
      </vt:variant>
      <vt:variant>
        <vt:i4>5</vt:i4>
      </vt:variant>
      <vt:variant>
        <vt:lpwstr>https://www.itu.int/md/S24-CL-C-0066/en</vt:lpwstr>
      </vt:variant>
      <vt:variant>
        <vt:lpwstr/>
      </vt:variant>
      <vt:variant>
        <vt:i4>3604524</vt:i4>
      </vt:variant>
      <vt:variant>
        <vt:i4>54</vt:i4>
      </vt:variant>
      <vt:variant>
        <vt:i4>0</vt:i4>
      </vt:variant>
      <vt:variant>
        <vt:i4>5</vt:i4>
      </vt:variant>
      <vt:variant>
        <vt:lpwstr>https://www.itu.int/net4/ITU-D/CDS/Resolutions/Resolution-94-Baku-2025.pdf</vt:lpwstr>
      </vt:variant>
      <vt:variant>
        <vt:lpwstr/>
      </vt:variant>
      <vt:variant>
        <vt:i4>131165</vt:i4>
      </vt:variant>
      <vt:variant>
        <vt:i4>51</vt:i4>
      </vt:variant>
      <vt:variant>
        <vt:i4>0</vt:i4>
      </vt:variant>
      <vt:variant>
        <vt:i4>5</vt:i4>
      </vt:variant>
      <vt:variant>
        <vt:lpwstr>https://www.ict.gov.pg/Press Statement/Pacific ICT Ministerial Declaration. Monday 28 August 2023. APEC Haus.pdf</vt:lpwstr>
      </vt:variant>
      <vt:variant>
        <vt:lpwstr/>
      </vt:variant>
      <vt:variant>
        <vt:i4>7340090</vt:i4>
      </vt:variant>
      <vt:variant>
        <vt:i4>48</vt:i4>
      </vt:variant>
      <vt:variant>
        <vt:i4>0</vt:i4>
      </vt:variant>
      <vt:variant>
        <vt:i4>5</vt:i4>
      </vt:variant>
      <vt:variant>
        <vt:lpwstr>https://www.itu.int/md/S24-CL-C-0066/en</vt:lpwstr>
      </vt:variant>
      <vt:variant>
        <vt:lpwstr/>
      </vt:variant>
      <vt:variant>
        <vt:i4>1769581</vt:i4>
      </vt:variant>
      <vt:variant>
        <vt:i4>45</vt:i4>
      </vt:variant>
      <vt:variant>
        <vt:i4>0</vt:i4>
      </vt:variant>
      <vt:variant>
        <vt:i4>5</vt:i4>
      </vt:variant>
      <vt:variant>
        <vt:lpwstr>https://www.itu.int/dms_pub/itu-d/md/26/tdag33/c/D26-TDAG33-C-0002!N1-A1!MSW-E.docx</vt:lpwstr>
      </vt:variant>
      <vt:variant>
        <vt:lpwstr/>
      </vt:variant>
      <vt:variant>
        <vt:i4>7340090</vt:i4>
      </vt:variant>
      <vt:variant>
        <vt:i4>42</vt:i4>
      </vt:variant>
      <vt:variant>
        <vt:i4>0</vt:i4>
      </vt:variant>
      <vt:variant>
        <vt:i4>5</vt:i4>
      </vt:variant>
      <vt:variant>
        <vt:lpwstr>https://www.itu.int/md/S24-CL-C-0066/en</vt:lpwstr>
      </vt:variant>
      <vt:variant>
        <vt:lpwstr/>
      </vt:variant>
      <vt:variant>
        <vt:i4>7340094</vt:i4>
      </vt:variant>
      <vt:variant>
        <vt:i4>39</vt:i4>
      </vt:variant>
      <vt:variant>
        <vt:i4>0</vt:i4>
      </vt:variant>
      <vt:variant>
        <vt:i4>5</vt:i4>
      </vt:variant>
      <vt:variant>
        <vt:lpwstr>https://www.itu.int/md/S26-CL-C-0024/en</vt:lpwstr>
      </vt:variant>
      <vt:variant>
        <vt:lpwstr/>
      </vt:variant>
      <vt:variant>
        <vt:i4>7995438</vt:i4>
      </vt:variant>
      <vt:variant>
        <vt:i4>36</vt:i4>
      </vt:variant>
      <vt:variant>
        <vt:i4>0</vt:i4>
      </vt:variant>
      <vt:variant>
        <vt:i4>5</vt:i4>
      </vt:variant>
      <vt:variant>
        <vt:lpwstr>https://www.itu.int/pub/D-TDC-WTDC-2025</vt:lpwstr>
      </vt:variant>
      <vt:variant>
        <vt:lpwstr/>
      </vt:variant>
      <vt:variant>
        <vt:i4>7733307</vt:i4>
      </vt:variant>
      <vt:variant>
        <vt:i4>33</vt:i4>
      </vt:variant>
      <vt:variant>
        <vt:i4>0</vt:i4>
      </vt:variant>
      <vt:variant>
        <vt:i4>5</vt:i4>
      </vt:variant>
      <vt:variant>
        <vt:lpwstr>https://www.itu.int/md/S20-CL-C-0074/en</vt:lpwstr>
      </vt:variant>
      <vt:variant>
        <vt:lpwstr/>
      </vt:variant>
      <vt:variant>
        <vt:i4>7077987</vt:i4>
      </vt:variant>
      <vt:variant>
        <vt:i4>30</vt:i4>
      </vt:variant>
      <vt:variant>
        <vt:i4>0</vt:i4>
      </vt:variant>
      <vt:variant>
        <vt:i4>5</vt:i4>
      </vt:variant>
      <vt:variant>
        <vt:lpwstr>https://www.itu.int/en/council/Documents/basic-texts-2023/RES-025-E.pdf</vt:lpwstr>
      </vt:variant>
      <vt:variant>
        <vt:lpwstr/>
      </vt:variant>
      <vt:variant>
        <vt:i4>8126525</vt:i4>
      </vt:variant>
      <vt:variant>
        <vt:i4>27</vt:i4>
      </vt:variant>
      <vt:variant>
        <vt:i4>0</vt:i4>
      </vt:variant>
      <vt:variant>
        <vt:i4>5</vt:i4>
      </vt:variant>
      <vt:variant>
        <vt:lpwstr>https://www.itu.int/md/S26-CL-C-0119/en</vt:lpwstr>
      </vt:variant>
      <vt:variant>
        <vt:lpwstr/>
      </vt:variant>
      <vt:variant>
        <vt:i4>7405620</vt:i4>
      </vt:variant>
      <vt:variant>
        <vt:i4>24</vt:i4>
      </vt:variant>
      <vt:variant>
        <vt:i4>0</vt:i4>
      </vt:variant>
      <vt:variant>
        <vt:i4>5</vt:i4>
      </vt:variant>
      <vt:variant>
        <vt:lpwstr>https://www.itu.int/md/S26-CL-C-0085/en</vt:lpwstr>
      </vt:variant>
      <vt:variant>
        <vt:lpwstr/>
      </vt:variant>
      <vt:variant>
        <vt:i4>1769581</vt:i4>
      </vt:variant>
      <vt:variant>
        <vt:i4>21</vt:i4>
      </vt:variant>
      <vt:variant>
        <vt:i4>0</vt:i4>
      </vt:variant>
      <vt:variant>
        <vt:i4>5</vt:i4>
      </vt:variant>
      <vt:variant>
        <vt:lpwstr>https://www.itu.int/dms_pub/itu-d/md/26/tdag33/c/D26-TDAG33-C-0002!N1-A1!MSW-E.docx</vt:lpwstr>
      </vt:variant>
      <vt:variant>
        <vt:lpwstr/>
      </vt:variant>
      <vt:variant>
        <vt:i4>7995438</vt:i4>
      </vt:variant>
      <vt:variant>
        <vt:i4>18</vt:i4>
      </vt:variant>
      <vt:variant>
        <vt:i4>0</vt:i4>
      </vt:variant>
      <vt:variant>
        <vt:i4>5</vt:i4>
      </vt:variant>
      <vt:variant>
        <vt:lpwstr>https://www.itu.int/pub/D-TDC-WTDC-2025</vt:lpwstr>
      </vt:variant>
      <vt:variant>
        <vt:lpwstr/>
      </vt:variant>
      <vt:variant>
        <vt:i4>8126525</vt:i4>
      </vt:variant>
      <vt:variant>
        <vt:i4>15</vt:i4>
      </vt:variant>
      <vt:variant>
        <vt:i4>0</vt:i4>
      </vt:variant>
      <vt:variant>
        <vt:i4>5</vt:i4>
      </vt:variant>
      <vt:variant>
        <vt:lpwstr>https://www.itu.int/md/S26-CL-C-0119/en</vt:lpwstr>
      </vt:variant>
      <vt:variant>
        <vt:lpwstr/>
      </vt:variant>
      <vt:variant>
        <vt:i4>7405620</vt:i4>
      </vt:variant>
      <vt:variant>
        <vt:i4>12</vt:i4>
      </vt:variant>
      <vt:variant>
        <vt:i4>0</vt:i4>
      </vt:variant>
      <vt:variant>
        <vt:i4>5</vt:i4>
      </vt:variant>
      <vt:variant>
        <vt:lpwstr>https://www.itu.int/md/S26-CL-C-0085/en</vt:lpwstr>
      </vt:variant>
      <vt:variant>
        <vt:lpwstr/>
      </vt:variant>
      <vt:variant>
        <vt:i4>7340094</vt:i4>
      </vt:variant>
      <vt:variant>
        <vt:i4>9</vt:i4>
      </vt:variant>
      <vt:variant>
        <vt:i4>0</vt:i4>
      </vt:variant>
      <vt:variant>
        <vt:i4>5</vt:i4>
      </vt:variant>
      <vt:variant>
        <vt:lpwstr>https://www.itu.int/md/S26-CL-C-0024/en</vt:lpwstr>
      </vt:variant>
      <vt:variant>
        <vt:lpwstr/>
      </vt:variant>
      <vt:variant>
        <vt:i4>7340090</vt:i4>
      </vt:variant>
      <vt:variant>
        <vt:i4>6</vt:i4>
      </vt:variant>
      <vt:variant>
        <vt:i4>0</vt:i4>
      </vt:variant>
      <vt:variant>
        <vt:i4>5</vt:i4>
      </vt:variant>
      <vt:variant>
        <vt:lpwstr>https://www.itu.int/md/S24-CL-C-0066/en</vt:lpwstr>
      </vt:variant>
      <vt:variant>
        <vt:lpwstr/>
      </vt:variant>
      <vt:variant>
        <vt:i4>7733307</vt:i4>
      </vt:variant>
      <vt:variant>
        <vt:i4>3</vt:i4>
      </vt:variant>
      <vt:variant>
        <vt:i4>0</vt:i4>
      </vt:variant>
      <vt:variant>
        <vt:i4>5</vt:i4>
      </vt:variant>
      <vt:variant>
        <vt:lpwstr>https://www.itu.int/md/S20-CL-C-0074/en</vt:lpwstr>
      </vt:variant>
      <vt:variant>
        <vt:lpwstr/>
      </vt:variant>
      <vt:variant>
        <vt:i4>7077987</vt:i4>
      </vt:variant>
      <vt:variant>
        <vt:i4>0</vt:i4>
      </vt:variant>
      <vt:variant>
        <vt:i4>0</vt:i4>
      </vt:variant>
      <vt:variant>
        <vt:i4>5</vt:i4>
      </vt:variant>
      <vt:variant>
        <vt:lpwstr>https://www.itu.int/en/council/Documents/basic-texts-2023/RES-025-E.pdf</vt:lpwstr>
      </vt:variant>
      <vt:variant>
        <vt:lpwstr/>
      </vt:variant>
      <vt:variant>
        <vt:i4>1572935</vt:i4>
      </vt:variant>
      <vt:variant>
        <vt:i4>0</vt:i4>
      </vt:variant>
      <vt:variant>
        <vt:i4>0</vt:i4>
      </vt:variant>
      <vt:variant>
        <vt:i4>5</vt:i4>
      </vt:variant>
      <vt:variant>
        <vt:lpwstr>https://www.itu.int/en/ITU-D/Regional-Presence/AsiaPacific/Documents/Projects/Pacific Feasibility Study/29092026 ITU Pacific Regional Presence Feasibility Study Draft for Review.pdf</vt:lpwstr>
      </vt:variant>
      <vt:variant>
        <vt:lpwstr/>
      </vt:variant>
      <vt:variant>
        <vt:i4>2162790</vt:i4>
      </vt:variant>
      <vt:variant>
        <vt:i4>3</vt:i4>
      </vt:variant>
      <vt:variant>
        <vt:i4>0</vt:i4>
      </vt:variant>
      <vt:variant>
        <vt:i4>5</vt:i4>
      </vt:variant>
      <vt:variant>
        <vt:lpwstr>https://pp.itu.int/2026/en/</vt:lpwstr>
      </vt:variant>
      <vt:variant>
        <vt:lpwstr/>
      </vt:variant>
      <vt:variant>
        <vt:i4>5111850</vt:i4>
      </vt:variant>
      <vt:variant>
        <vt:i4>12</vt:i4>
      </vt:variant>
      <vt:variant>
        <vt:i4>0</vt:i4>
      </vt:variant>
      <vt:variant>
        <vt:i4>5</vt:i4>
      </vt:variant>
      <vt:variant>
        <vt:lpwstr>mailto:atsuko.okuda@itu.int</vt:lpwstr>
      </vt:variant>
      <vt:variant>
        <vt:lpwstr/>
      </vt:variant>
      <vt:variant>
        <vt:i4>5111850</vt:i4>
      </vt:variant>
      <vt:variant>
        <vt:i4>9</vt:i4>
      </vt:variant>
      <vt:variant>
        <vt:i4>0</vt:i4>
      </vt:variant>
      <vt:variant>
        <vt:i4>5</vt:i4>
      </vt:variant>
      <vt:variant>
        <vt:lpwstr>mailto:atsuko.okuda@itu.int</vt:lpwstr>
      </vt:variant>
      <vt:variant>
        <vt:lpwstr/>
      </vt:variant>
      <vt:variant>
        <vt:i4>5111850</vt:i4>
      </vt:variant>
      <vt:variant>
        <vt:i4>6</vt:i4>
      </vt:variant>
      <vt:variant>
        <vt:i4>0</vt:i4>
      </vt:variant>
      <vt:variant>
        <vt:i4>5</vt:i4>
      </vt:variant>
      <vt:variant>
        <vt:lpwstr>mailto:atsuko.okuda@itu.int</vt:lpwstr>
      </vt:variant>
      <vt:variant>
        <vt:lpwstr/>
      </vt:variant>
      <vt:variant>
        <vt:i4>5898303</vt:i4>
      </vt:variant>
      <vt:variant>
        <vt:i4>3</vt:i4>
      </vt:variant>
      <vt:variant>
        <vt:i4>0</vt:i4>
      </vt:variant>
      <vt:variant>
        <vt:i4>5</vt:i4>
      </vt:variant>
      <vt:variant>
        <vt:lpwstr>mailto:selemani.kinyunyu@itu.int</vt:lpwstr>
      </vt:variant>
      <vt:variant>
        <vt:lpwstr/>
      </vt:variant>
      <vt:variant>
        <vt:i4>7012376</vt:i4>
      </vt:variant>
      <vt:variant>
        <vt:i4>0</vt:i4>
      </vt:variant>
      <vt:variant>
        <vt:i4>0</vt:i4>
      </vt:variant>
      <vt:variant>
        <vt:i4>5</vt:i4>
      </vt:variant>
      <vt:variant>
        <vt:lpwstr>mailto:archana.gulati@itu.int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Establishment plan for ITU office in the Pacific</dc:title>
  <dc:subject>ITU Plenipotentiary Conference (PP-26)</dc:subject>
  <dc:creator>GBS</dc:creator>
  <cp:keywords>PP-26, PP26, ITU</cp:keywords>
  <cp:lastModifiedBy>ITUGBS</cp:lastModifiedBy>
  <cp:revision>4</cp:revision>
  <dcterms:created xsi:type="dcterms:W3CDTF">2026-10-07T15:24:00Z</dcterms:created>
  <dcterms:modified xsi:type="dcterms:W3CDTF">2026-10-07T15:50:00Z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MediaServiceImageTags">
    <vt:lpwstr/>
  </property>
  <property fmtid="{D5CDD505-2E9C-101B-9397-08002B2CF9AE}" pid="4" name="docLang">
    <vt:lpwstr>en</vt:lpwstr>
  </property>
</Properties>
</file>