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A27A55" w:rsidRPr="006D37E9" w14:paraId="64F8B148" w14:textId="77777777" w:rsidTr="0087080B">
        <w:trPr>
          <w:cantSplit/>
          <w:jc w:val="center"/>
        </w:trPr>
        <w:tc>
          <w:tcPr>
            <w:tcW w:w="10031" w:type="dxa"/>
            <w:gridSpan w:val="2"/>
            <w:tcMar>
              <w:left w:w="0" w:type="dxa"/>
              <w:right w:w="0" w:type="dxa"/>
            </w:tcMar>
            <w:vAlign w:val="center"/>
          </w:tcPr>
          <w:p w14:paraId="7A9C9B24" w14:textId="77777777" w:rsidR="00A27A55" w:rsidRPr="006D37E9" w:rsidRDefault="00F34194" w:rsidP="000D42F6">
            <w:pPr>
              <w:spacing w:before="0"/>
              <w:rPr>
                <w:lang w:val="ru-RU"/>
              </w:rPr>
            </w:pPr>
            <w:bookmarkStart w:id="0" w:name="ditulogo"/>
            <w:bookmarkEnd w:id="0"/>
            <w:r w:rsidRPr="006D37E9">
              <w:rPr>
                <w:noProof/>
                <w:lang w:val="ru-RU"/>
              </w:rPr>
              <w:drawing>
                <wp:anchor distT="0" distB="0" distL="0" distR="0" simplePos="0" relativeHeight="251658240" behindDoc="1" locked="0" layoutInCell="1" allowOverlap="1" wp14:anchorId="2287606D" wp14:editId="29A9807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6D37E9" w14:paraId="68ED95A6" w14:textId="77777777" w:rsidTr="0087080B">
        <w:trPr>
          <w:cantSplit/>
          <w:trHeight w:val="283"/>
          <w:jc w:val="center"/>
        </w:trPr>
        <w:tc>
          <w:tcPr>
            <w:tcW w:w="10031" w:type="dxa"/>
            <w:gridSpan w:val="2"/>
            <w:tcBorders>
              <w:bottom w:val="single" w:sz="12" w:space="0" w:color="71716F"/>
            </w:tcBorders>
          </w:tcPr>
          <w:p w14:paraId="33B60514" w14:textId="77777777" w:rsidR="00B1156A" w:rsidRPr="006D37E9" w:rsidRDefault="00B1156A" w:rsidP="00B1156A">
            <w:pPr>
              <w:spacing w:before="0" w:line="240" w:lineRule="atLeast"/>
              <w:rPr>
                <w:rFonts w:cstheme="minorHAnsi"/>
                <w:b/>
                <w:smallCaps/>
                <w:szCs w:val="22"/>
                <w:lang w:val="ru-RU"/>
              </w:rPr>
            </w:pPr>
            <w:bookmarkStart w:id="1" w:name="dhead"/>
          </w:p>
        </w:tc>
      </w:tr>
      <w:tr w:rsidR="00F96AB4" w:rsidRPr="006D37E9" w14:paraId="03961EC7" w14:textId="77777777" w:rsidTr="0087080B">
        <w:trPr>
          <w:cantSplit/>
          <w:trHeight w:val="255"/>
          <w:jc w:val="center"/>
        </w:trPr>
        <w:tc>
          <w:tcPr>
            <w:tcW w:w="7229" w:type="dxa"/>
            <w:tcBorders>
              <w:top w:val="single" w:sz="12" w:space="0" w:color="71716F"/>
            </w:tcBorders>
          </w:tcPr>
          <w:p w14:paraId="7D92E2C8" w14:textId="77777777" w:rsidR="00F96AB4" w:rsidRPr="006D37E9" w:rsidRDefault="00F96AB4" w:rsidP="004805DE">
            <w:pPr>
              <w:spacing w:before="0"/>
              <w:rPr>
                <w:rFonts w:cstheme="minorHAnsi"/>
                <w:b/>
                <w:smallCaps/>
                <w:sz w:val="18"/>
                <w:szCs w:val="22"/>
                <w:lang w:val="ru-RU"/>
              </w:rPr>
            </w:pPr>
            <w:bookmarkStart w:id="2" w:name="dspace"/>
          </w:p>
        </w:tc>
        <w:tc>
          <w:tcPr>
            <w:tcW w:w="2802" w:type="dxa"/>
            <w:tcBorders>
              <w:top w:val="single" w:sz="12" w:space="0" w:color="71716F"/>
            </w:tcBorders>
            <w:tcMar>
              <w:right w:w="0" w:type="dxa"/>
            </w:tcMar>
          </w:tcPr>
          <w:p w14:paraId="07131EED" w14:textId="77777777" w:rsidR="00F96AB4" w:rsidRPr="006D37E9" w:rsidRDefault="00F96AB4" w:rsidP="004805DE">
            <w:pPr>
              <w:spacing w:before="0"/>
              <w:rPr>
                <w:rFonts w:cstheme="minorHAnsi"/>
                <w:sz w:val="18"/>
                <w:szCs w:val="22"/>
                <w:lang w:val="ru-RU"/>
              </w:rPr>
            </w:pPr>
          </w:p>
        </w:tc>
      </w:tr>
      <w:bookmarkEnd w:id="1"/>
      <w:bookmarkEnd w:id="2"/>
      <w:tr w:rsidR="00F96AB4" w:rsidRPr="006D37E9" w14:paraId="2824AAB8" w14:textId="77777777" w:rsidTr="0087080B">
        <w:trPr>
          <w:cantSplit/>
          <w:jc w:val="center"/>
        </w:trPr>
        <w:tc>
          <w:tcPr>
            <w:tcW w:w="7229" w:type="dxa"/>
          </w:tcPr>
          <w:p w14:paraId="31276002" w14:textId="77777777" w:rsidR="00F96AB4" w:rsidRPr="006D37E9" w:rsidRDefault="008048D3" w:rsidP="008048D3">
            <w:pPr>
              <w:pStyle w:val="Committee"/>
              <w:framePr w:hSpace="0" w:wrap="auto" w:hAnchor="text" w:yAlign="inline"/>
              <w:spacing w:after="0" w:line="240" w:lineRule="auto"/>
              <w:rPr>
                <w:lang w:val="ru-RU"/>
              </w:rPr>
            </w:pPr>
            <w:r w:rsidRPr="006D37E9">
              <w:rPr>
                <w:lang w:val="ru-RU"/>
              </w:rPr>
              <w:t>ПЛЕНАРНОЕ ЗАСЕДАНИЕ</w:t>
            </w:r>
          </w:p>
        </w:tc>
        <w:tc>
          <w:tcPr>
            <w:tcW w:w="2802" w:type="dxa"/>
            <w:tcMar>
              <w:right w:w="0" w:type="dxa"/>
            </w:tcMar>
          </w:tcPr>
          <w:p w14:paraId="4E9AEA8B" w14:textId="584A661E" w:rsidR="00F96AB4" w:rsidRPr="006D37E9" w:rsidRDefault="008048D3" w:rsidP="008048D3">
            <w:pPr>
              <w:tabs>
                <w:tab w:val="left" w:pos="851"/>
              </w:tabs>
              <w:spacing w:before="0"/>
              <w:rPr>
                <w:rFonts w:cstheme="minorHAnsi"/>
                <w:b/>
                <w:szCs w:val="28"/>
                <w:lang w:val="ru-RU"/>
              </w:rPr>
            </w:pPr>
            <w:r w:rsidRPr="006D37E9">
              <w:rPr>
                <w:rFonts w:cstheme="minorHAnsi"/>
                <w:b/>
                <w:bCs/>
                <w:szCs w:val="28"/>
                <w:lang w:val="ru-RU"/>
              </w:rPr>
              <w:t xml:space="preserve">Документ </w:t>
            </w:r>
            <w:r w:rsidR="006D37E9" w:rsidRPr="006D37E9">
              <w:rPr>
                <w:rFonts w:cstheme="minorHAnsi"/>
                <w:b/>
                <w:bCs/>
                <w:szCs w:val="28"/>
                <w:lang w:val="ru-RU"/>
              </w:rPr>
              <w:t>6</w:t>
            </w:r>
            <w:r w:rsidR="00A971FB" w:rsidRPr="006D37E9">
              <w:rPr>
                <w:rFonts w:cstheme="minorHAnsi"/>
                <w:b/>
                <w:bCs/>
                <w:szCs w:val="28"/>
                <w:lang w:val="ru-RU"/>
              </w:rPr>
              <w:t>5</w:t>
            </w:r>
            <w:r w:rsidRPr="006D37E9">
              <w:rPr>
                <w:rFonts w:cstheme="minorHAnsi"/>
                <w:b/>
                <w:bCs/>
                <w:szCs w:val="28"/>
                <w:lang w:val="ru-RU"/>
              </w:rPr>
              <w:t>-R</w:t>
            </w:r>
          </w:p>
        </w:tc>
      </w:tr>
      <w:tr w:rsidR="00F96AB4" w:rsidRPr="006D37E9" w14:paraId="302E5E13" w14:textId="77777777" w:rsidTr="0087080B">
        <w:trPr>
          <w:cantSplit/>
          <w:jc w:val="center"/>
        </w:trPr>
        <w:tc>
          <w:tcPr>
            <w:tcW w:w="7229" w:type="dxa"/>
          </w:tcPr>
          <w:p w14:paraId="21B60E9E" w14:textId="77777777" w:rsidR="00F96AB4" w:rsidRPr="006D37E9" w:rsidRDefault="00F96AB4" w:rsidP="004805DE">
            <w:pPr>
              <w:spacing w:before="0"/>
              <w:rPr>
                <w:rFonts w:cstheme="minorHAnsi"/>
                <w:b/>
                <w:bCs/>
                <w:szCs w:val="28"/>
                <w:lang w:val="ru-RU"/>
              </w:rPr>
            </w:pPr>
          </w:p>
        </w:tc>
        <w:tc>
          <w:tcPr>
            <w:tcW w:w="2802" w:type="dxa"/>
            <w:tcMar>
              <w:right w:w="0" w:type="dxa"/>
            </w:tcMar>
          </w:tcPr>
          <w:p w14:paraId="605B7899" w14:textId="2FFC6E16" w:rsidR="00F96AB4" w:rsidRPr="006D37E9" w:rsidRDefault="00A971FB" w:rsidP="004805DE">
            <w:pPr>
              <w:spacing w:before="0"/>
              <w:rPr>
                <w:rFonts w:cstheme="minorHAnsi"/>
                <w:szCs w:val="28"/>
                <w:lang w:val="ru-RU"/>
              </w:rPr>
            </w:pPr>
            <w:r w:rsidRPr="006D37E9">
              <w:rPr>
                <w:rFonts w:cstheme="minorHAnsi"/>
                <w:b/>
                <w:bCs/>
                <w:color w:val="000000"/>
                <w:szCs w:val="24"/>
                <w:lang w:val="ru-RU"/>
              </w:rPr>
              <w:t>5 октября 2026 года</w:t>
            </w:r>
          </w:p>
        </w:tc>
      </w:tr>
      <w:tr w:rsidR="00F96AB4" w:rsidRPr="006D37E9" w14:paraId="7C47D522" w14:textId="77777777" w:rsidTr="0087080B">
        <w:trPr>
          <w:cantSplit/>
          <w:jc w:val="center"/>
        </w:trPr>
        <w:tc>
          <w:tcPr>
            <w:tcW w:w="7229" w:type="dxa"/>
          </w:tcPr>
          <w:p w14:paraId="7DDBC63B" w14:textId="77777777" w:rsidR="00F96AB4" w:rsidRPr="006D37E9" w:rsidRDefault="00F96AB4" w:rsidP="004805DE">
            <w:pPr>
              <w:spacing w:before="0"/>
              <w:rPr>
                <w:rFonts w:cstheme="minorHAnsi"/>
                <w:b/>
                <w:smallCaps/>
                <w:szCs w:val="28"/>
                <w:lang w:val="ru-RU"/>
              </w:rPr>
            </w:pPr>
          </w:p>
        </w:tc>
        <w:tc>
          <w:tcPr>
            <w:tcW w:w="2802" w:type="dxa"/>
            <w:tcMar>
              <w:right w:w="0" w:type="dxa"/>
            </w:tcMar>
          </w:tcPr>
          <w:p w14:paraId="7350C2A3" w14:textId="77777777" w:rsidR="00F96AB4" w:rsidRPr="006D37E9" w:rsidRDefault="008048D3" w:rsidP="008048D3">
            <w:pPr>
              <w:spacing w:before="0"/>
              <w:rPr>
                <w:rFonts w:cstheme="minorHAnsi"/>
                <w:szCs w:val="28"/>
                <w:lang w:val="ru-RU"/>
              </w:rPr>
            </w:pPr>
            <w:r w:rsidRPr="006D37E9">
              <w:rPr>
                <w:rFonts w:cstheme="minorHAnsi"/>
                <w:b/>
                <w:bCs/>
                <w:szCs w:val="28"/>
                <w:lang w:val="ru-RU"/>
              </w:rPr>
              <w:t>Оригинал: английский</w:t>
            </w:r>
          </w:p>
        </w:tc>
      </w:tr>
      <w:tr w:rsidR="00F96AB4" w:rsidRPr="006D37E9" w14:paraId="24DE3183" w14:textId="77777777" w:rsidTr="0087080B">
        <w:trPr>
          <w:cantSplit/>
          <w:jc w:val="center"/>
        </w:trPr>
        <w:tc>
          <w:tcPr>
            <w:tcW w:w="10031" w:type="dxa"/>
            <w:gridSpan w:val="2"/>
          </w:tcPr>
          <w:p w14:paraId="6AC8652C" w14:textId="77777777" w:rsidR="00F96AB4" w:rsidRPr="006D37E9" w:rsidRDefault="00F96AB4" w:rsidP="004805DE">
            <w:pPr>
              <w:spacing w:before="0"/>
              <w:rPr>
                <w:rFonts w:ascii="Verdana" w:hAnsi="Verdana"/>
                <w:b/>
                <w:bCs/>
                <w:sz w:val="18"/>
                <w:szCs w:val="22"/>
                <w:lang w:val="ru-RU"/>
              </w:rPr>
            </w:pPr>
          </w:p>
        </w:tc>
      </w:tr>
      <w:tr w:rsidR="00F96AB4" w:rsidRPr="006D37E9" w14:paraId="504C9DFB" w14:textId="77777777" w:rsidTr="0087080B">
        <w:trPr>
          <w:cantSplit/>
          <w:jc w:val="center"/>
        </w:trPr>
        <w:tc>
          <w:tcPr>
            <w:tcW w:w="10031" w:type="dxa"/>
            <w:gridSpan w:val="2"/>
          </w:tcPr>
          <w:p w14:paraId="7B1E310C" w14:textId="5DB034A5" w:rsidR="00F96AB4" w:rsidRPr="006D37E9" w:rsidRDefault="00A971FB" w:rsidP="004805DE">
            <w:pPr>
              <w:pStyle w:val="Source"/>
              <w:rPr>
                <w:lang w:val="ru-RU"/>
              </w:rPr>
            </w:pPr>
            <w:bookmarkStart w:id="3" w:name="dsource" w:colFirst="0" w:colLast="0"/>
            <w:r w:rsidRPr="006D37E9">
              <w:rPr>
                <w:bCs/>
                <w:color w:val="000000"/>
                <w:lang w:val="ru-RU"/>
              </w:rPr>
              <w:t>Отчет Совета</w:t>
            </w:r>
          </w:p>
        </w:tc>
      </w:tr>
      <w:tr w:rsidR="00F96AB4" w:rsidRPr="006D37E9" w14:paraId="3C08963A" w14:textId="77777777" w:rsidTr="0087080B">
        <w:trPr>
          <w:cantSplit/>
          <w:jc w:val="center"/>
        </w:trPr>
        <w:tc>
          <w:tcPr>
            <w:tcW w:w="10031" w:type="dxa"/>
            <w:gridSpan w:val="2"/>
          </w:tcPr>
          <w:p w14:paraId="26559382" w14:textId="0DCEE17B" w:rsidR="00F96AB4" w:rsidRPr="006D37E9" w:rsidRDefault="00A971FB" w:rsidP="004805DE">
            <w:pPr>
              <w:pStyle w:val="Title1"/>
              <w:rPr>
                <w:lang w:val="ru-RU"/>
              </w:rPr>
            </w:pPr>
            <w:bookmarkStart w:id="4" w:name="dtitle1" w:colFirst="0" w:colLast="0"/>
            <w:bookmarkEnd w:id="3"/>
            <w:r w:rsidRPr="006D37E9">
              <w:rPr>
                <w:color w:val="000000"/>
                <w:lang w:val="ru-RU"/>
              </w:rPr>
              <w:t>УКРЕПЛЕНИЕ РЕГИОНАЛЬНОГО ПРИСУТСТВИЯ МСЭ</w:t>
            </w:r>
          </w:p>
        </w:tc>
      </w:tr>
      <w:bookmarkEnd w:id="4"/>
    </w:tbl>
    <w:p w14:paraId="2E6290FE" w14:textId="77777777" w:rsidR="00F96AB4" w:rsidRPr="006D37E9" w:rsidRDefault="00F96AB4">
      <w:pPr>
        <w:rPr>
          <w:lang w:val="ru-RU"/>
        </w:rPr>
      </w:pPr>
    </w:p>
    <w:tbl>
      <w:tblPr>
        <w:tblStyle w:val="TableGrid"/>
        <w:tblW w:w="0" w:type="auto"/>
        <w:jc w:val="center"/>
        <w:tblLayout w:type="fixed"/>
        <w:tblLook w:val="04A0" w:firstRow="1" w:lastRow="0" w:firstColumn="1" w:lastColumn="0" w:noHBand="0" w:noVBand="1"/>
      </w:tblPr>
      <w:tblGrid>
        <w:gridCol w:w="7937"/>
      </w:tblGrid>
      <w:tr w:rsidR="00A971FB" w:rsidRPr="008923E2" w14:paraId="568E8C8B" w14:textId="77777777" w:rsidTr="0081297C">
        <w:trPr>
          <w:trHeight w:val="3402"/>
          <w:jc w:val="center"/>
        </w:trPr>
        <w:tc>
          <w:tcPr>
            <w:tcW w:w="7937" w:type="dxa"/>
          </w:tcPr>
          <w:p w14:paraId="48416797" w14:textId="77777777" w:rsidR="00A971FB" w:rsidRPr="006D37E9" w:rsidRDefault="00A971FB" w:rsidP="0081297C">
            <w:pPr>
              <w:pStyle w:val="Headingb"/>
              <w:rPr>
                <w:lang w:val="ru-RU"/>
              </w:rPr>
            </w:pPr>
            <w:r w:rsidRPr="006D37E9">
              <w:rPr>
                <w:lang w:val="ru-RU"/>
              </w:rPr>
              <w:t>Резюме</w:t>
            </w:r>
          </w:p>
          <w:p w14:paraId="102FE745" w14:textId="77777777" w:rsidR="00A971FB" w:rsidRPr="006D37E9" w:rsidRDefault="00A971FB" w:rsidP="0081297C">
            <w:pPr>
              <w:rPr>
                <w:lang w:val="ru-RU"/>
              </w:rPr>
            </w:pPr>
            <w:r w:rsidRPr="006D37E9">
              <w:rPr>
                <w:color w:val="000000"/>
                <w:lang w:val="ru-RU"/>
              </w:rPr>
              <w:t>В настоящем документе содержится отчет о вкладе регионального присутствия в выполнение мандата МСЭ. В нем приводится информация о региональной работе по выполнению Стратегического плана МСЭ, принятого на ВКРЭ-22 Кигалийского плана действий, недавно принятого на ВКРЭ-25 Бакинского плана действий и региональных инициатив. Совет-26 утвердил отчет и принял решение передать его с замечаниями, высказанными на собрании. Выдержка из краткого отчета о втором пленарном заседании сессии Совета 2026 года, в котором отражены рекомендации и мнения Государств – Членов Совета, содержится в приложении к настоящему отчету (</w:t>
            </w:r>
            <w:hyperlink w:anchor="Annex2" w:history="1">
              <w:r w:rsidRPr="006D37E9">
                <w:rPr>
                  <w:rStyle w:val="Hyperlink"/>
                  <w:lang w:val="ru-RU"/>
                </w:rPr>
                <w:t>Приложение 2</w:t>
              </w:r>
            </w:hyperlink>
            <w:r w:rsidRPr="006D37E9">
              <w:rPr>
                <w:color w:val="000000"/>
                <w:lang w:val="ru-RU"/>
              </w:rPr>
              <w:t>).</w:t>
            </w:r>
            <w:hyperlink w:anchor="Annex2" w:history="1"/>
          </w:p>
          <w:p w14:paraId="18C80C9F" w14:textId="77777777" w:rsidR="00A971FB" w:rsidRPr="006D37E9" w:rsidRDefault="00A971FB" w:rsidP="0081297C">
            <w:pPr>
              <w:pStyle w:val="Headingb"/>
              <w:rPr>
                <w:lang w:val="ru-RU"/>
              </w:rPr>
            </w:pPr>
            <w:r w:rsidRPr="006D37E9">
              <w:rPr>
                <w:bCs/>
                <w:color w:val="000000"/>
                <w:lang w:val="ru-RU"/>
              </w:rPr>
              <w:t>Необходимые действия</w:t>
            </w:r>
          </w:p>
          <w:p w14:paraId="4D98FF56" w14:textId="77777777" w:rsidR="00A971FB" w:rsidRPr="006D37E9" w:rsidRDefault="00A971FB" w:rsidP="0081297C">
            <w:pPr>
              <w:rPr>
                <w:lang w:val="ru-RU"/>
              </w:rPr>
            </w:pPr>
            <w:r w:rsidRPr="006D37E9">
              <w:rPr>
                <w:color w:val="000000"/>
                <w:lang w:val="ru-RU"/>
              </w:rPr>
              <w:t xml:space="preserve">Полномочной конференции предлагается </w:t>
            </w:r>
            <w:r w:rsidRPr="006D37E9">
              <w:rPr>
                <w:b/>
                <w:bCs/>
                <w:color w:val="000000"/>
                <w:lang w:val="ru-RU"/>
              </w:rPr>
              <w:t>принять к сведению</w:t>
            </w:r>
            <w:r w:rsidRPr="006D37E9">
              <w:rPr>
                <w:color w:val="000000"/>
                <w:lang w:val="ru-RU"/>
              </w:rPr>
              <w:t xml:space="preserve"> настоящий документ.</w:t>
            </w:r>
          </w:p>
          <w:p w14:paraId="01885C57" w14:textId="77777777" w:rsidR="00A971FB" w:rsidRPr="006D37E9" w:rsidRDefault="00A971FB" w:rsidP="00A971FB">
            <w:pPr>
              <w:pStyle w:val="Headingb"/>
              <w:rPr>
                <w:lang w:val="ru-RU"/>
              </w:rPr>
            </w:pPr>
            <w:r w:rsidRPr="006D37E9">
              <w:rPr>
                <w:lang w:val="ru-RU"/>
              </w:rPr>
              <w:t>Финансовые последствия</w:t>
            </w:r>
          </w:p>
          <w:p w14:paraId="674B1DC4" w14:textId="77777777" w:rsidR="00A971FB" w:rsidRPr="006D37E9" w:rsidRDefault="00A971FB" w:rsidP="0081297C">
            <w:pPr>
              <w:rPr>
                <w:lang w:val="ru-RU"/>
              </w:rPr>
            </w:pPr>
            <w:r w:rsidRPr="006D37E9">
              <w:rPr>
                <w:color w:val="000000"/>
                <w:lang w:val="ru-RU"/>
              </w:rPr>
              <w:t>В рамках выделенного бюджета.</w:t>
            </w:r>
          </w:p>
          <w:p w14:paraId="47C1CFD4" w14:textId="77777777" w:rsidR="00A971FB" w:rsidRPr="006D37E9" w:rsidRDefault="00A971FB" w:rsidP="0081297C">
            <w:pPr>
              <w:jc w:val="center"/>
              <w:rPr>
                <w:lang w:val="ru-RU"/>
              </w:rPr>
            </w:pPr>
            <w:r w:rsidRPr="006D37E9">
              <w:rPr>
                <w:color w:val="000000"/>
                <w:lang w:val="ru-RU"/>
              </w:rPr>
              <w:t>______________</w:t>
            </w:r>
          </w:p>
          <w:p w14:paraId="714EE555" w14:textId="77777777" w:rsidR="00A971FB" w:rsidRPr="006D37E9" w:rsidRDefault="00A971FB" w:rsidP="0081297C">
            <w:pPr>
              <w:pStyle w:val="Headingb"/>
              <w:rPr>
                <w:lang w:val="ru-RU"/>
              </w:rPr>
            </w:pPr>
            <w:r w:rsidRPr="006D37E9">
              <w:rPr>
                <w:lang w:val="ru-RU"/>
              </w:rPr>
              <w:t>Справочные</w:t>
            </w:r>
            <w:r w:rsidRPr="006D37E9">
              <w:rPr>
                <w:bCs/>
                <w:color w:val="000000"/>
                <w:lang w:val="ru-RU"/>
              </w:rPr>
              <w:t xml:space="preserve"> материалы</w:t>
            </w:r>
          </w:p>
          <w:p w14:paraId="7AC0EE9A" w14:textId="018D3C6D" w:rsidR="00A971FB" w:rsidRPr="006D37E9" w:rsidRDefault="00A971FB" w:rsidP="0081297C">
            <w:pPr>
              <w:spacing w:after="120"/>
              <w:rPr>
                <w:i/>
                <w:iCs/>
                <w:lang w:val="ru-RU"/>
              </w:rPr>
            </w:pPr>
            <w:r w:rsidRPr="006D37E9">
              <w:rPr>
                <w:i/>
                <w:iCs/>
                <w:color w:val="000000"/>
                <w:lang w:val="ru-RU"/>
              </w:rPr>
              <w:t xml:space="preserve">Резолюции </w:t>
            </w:r>
            <w:hyperlink r:id="rId8" w:history="1">
              <w:r w:rsidRPr="006D37E9">
                <w:rPr>
                  <w:rStyle w:val="Hyperlink"/>
                  <w:i/>
                  <w:iCs/>
                  <w:lang w:val="ru-RU"/>
                </w:rPr>
                <w:t>25 (Пересм. Бухарест, 2022 г.)</w:t>
              </w:r>
            </w:hyperlink>
            <w:r w:rsidRPr="006D37E9">
              <w:rPr>
                <w:i/>
                <w:iCs/>
                <w:color w:val="000000"/>
                <w:lang w:val="ru-RU"/>
              </w:rPr>
              <w:t xml:space="preserve">, </w:t>
            </w:r>
            <w:hyperlink r:id="rId9" w:history="1">
              <w:r w:rsidRPr="006D37E9">
                <w:rPr>
                  <w:rStyle w:val="Hyperlink"/>
                  <w:i/>
                  <w:iCs/>
                  <w:lang w:val="ru-RU"/>
                </w:rPr>
                <w:t>135 (Пересм. Бухарест, 2022 г.)</w:t>
              </w:r>
            </w:hyperlink>
            <w:r w:rsidRPr="006D37E9">
              <w:rPr>
                <w:i/>
                <w:iCs/>
                <w:color w:val="000000"/>
                <w:lang w:val="ru-RU"/>
              </w:rPr>
              <w:t xml:space="preserve"> и </w:t>
            </w:r>
            <w:hyperlink r:id="rId10" w:history="1">
              <w:r w:rsidRPr="006D37E9">
                <w:rPr>
                  <w:rStyle w:val="Hyperlink"/>
                  <w:i/>
                  <w:iCs/>
                  <w:lang w:val="ru-RU"/>
                </w:rPr>
                <w:t>157 (Пересм. Бухарест, 2022 г.</w:t>
              </w:r>
            </w:hyperlink>
            <w:r w:rsidRPr="006D37E9">
              <w:rPr>
                <w:i/>
                <w:iCs/>
                <w:color w:val="000000"/>
                <w:lang w:val="ru-RU"/>
              </w:rPr>
              <w:t xml:space="preserve">) Полномочной конференции; Заключительные отчеты </w:t>
            </w:r>
            <w:hyperlink r:id="rId11" w:history="1">
              <w:r w:rsidRPr="006D37E9">
                <w:rPr>
                  <w:rStyle w:val="Hyperlink"/>
                  <w:i/>
                  <w:iCs/>
                  <w:lang w:val="ru-RU"/>
                </w:rPr>
                <w:t>ВКРЭ-22 (Кигалийский план действий)</w:t>
              </w:r>
            </w:hyperlink>
            <w:r w:rsidRPr="006D37E9">
              <w:rPr>
                <w:i/>
                <w:iCs/>
                <w:color w:val="000000"/>
                <w:lang w:val="ru-RU"/>
              </w:rPr>
              <w:t xml:space="preserve"> и </w:t>
            </w:r>
            <w:hyperlink r:id="rId12" w:history="1">
              <w:r w:rsidRPr="006D37E9">
                <w:rPr>
                  <w:rStyle w:val="Hyperlink"/>
                  <w:i/>
                  <w:iCs/>
                  <w:lang w:val="ru-RU"/>
                </w:rPr>
                <w:t>ВКРЭ-25 (Бакинский план действий</w:t>
              </w:r>
            </w:hyperlink>
            <w:r w:rsidRPr="006D37E9">
              <w:rPr>
                <w:i/>
                <w:iCs/>
                <w:color w:val="000000"/>
                <w:lang w:val="ru-RU"/>
              </w:rPr>
              <w:t xml:space="preserve">); Резолюции </w:t>
            </w:r>
            <w:hyperlink r:id="rId13" w:history="1">
              <w:r w:rsidRPr="006D37E9">
                <w:rPr>
                  <w:rStyle w:val="Hyperlink"/>
                  <w:i/>
                  <w:iCs/>
                  <w:lang w:val="ru-RU"/>
                </w:rPr>
                <w:t>17 (Пересм. Баку, 2025 г.)</w:t>
              </w:r>
            </w:hyperlink>
            <w:r w:rsidRPr="006D37E9">
              <w:rPr>
                <w:i/>
                <w:iCs/>
                <w:color w:val="000000"/>
                <w:lang w:val="ru-RU"/>
              </w:rPr>
              <w:t xml:space="preserve"> и </w:t>
            </w:r>
            <w:hyperlink r:id="rId14" w:history="1">
              <w:r w:rsidRPr="006D37E9">
                <w:rPr>
                  <w:rStyle w:val="Hyperlink"/>
                  <w:i/>
                  <w:iCs/>
                  <w:lang w:val="ru-RU"/>
                </w:rPr>
                <w:t>31 (Пересм. Баку, 2025 г.)</w:t>
              </w:r>
            </w:hyperlink>
            <w:r w:rsidRPr="006D37E9">
              <w:rPr>
                <w:i/>
                <w:iCs/>
                <w:color w:val="000000"/>
                <w:lang w:val="ru-RU"/>
              </w:rPr>
              <w:t xml:space="preserve"> Всемирной конференции по развитию электросвязи;</w:t>
            </w:r>
            <w:r w:rsidRPr="006D37E9">
              <w:rPr>
                <w:color w:val="000000"/>
                <w:lang w:val="ru-RU"/>
              </w:rPr>
              <w:t xml:space="preserve"> </w:t>
            </w:r>
            <w:r w:rsidRPr="006D37E9">
              <w:rPr>
                <w:i/>
                <w:iCs/>
                <w:color w:val="000000"/>
                <w:lang w:val="ru-RU"/>
              </w:rPr>
              <w:t xml:space="preserve">Документы </w:t>
            </w:r>
            <w:hyperlink r:id="rId15">
              <w:r w:rsidRPr="006D37E9">
                <w:rPr>
                  <w:i/>
                  <w:iCs/>
                  <w:color w:val="4F81BD" w:themeColor="accent1"/>
                  <w:u w:val="single"/>
                  <w:lang w:val="ru-RU"/>
                </w:rPr>
                <w:t>C25/25</w:t>
              </w:r>
            </w:hyperlink>
            <w:r w:rsidRPr="006D37E9">
              <w:rPr>
                <w:i/>
                <w:iCs/>
                <w:lang w:val="ru-RU"/>
              </w:rPr>
              <w:t xml:space="preserve">, </w:t>
            </w:r>
            <w:hyperlink r:id="rId16" w:history="1">
              <w:r w:rsidRPr="006D37E9">
                <w:rPr>
                  <w:rStyle w:val="Hyperlink"/>
                  <w:i/>
                  <w:iCs/>
                  <w:color w:val="548DD4" w:themeColor="text2" w:themeTint="99"/>
                  <w:lang w:val="ru-RU"/>
                </w:rPr>
                <w:t>C26/25</w:t>
              </w:r>
            </w:hyperlink>
            <w:r w:rsidRPr="006D37E9">
              <w:rPr>
                <w:i/>
                <w:iCs/>
                <w:lang w:val="ru-RU"/>
              </w:rPr>
              <w:t xml:space="preserve">, </w:t>
            </w:r>
            <w:hyperlink r:id="rId17">
              <w:r w:rsidRPr="006D37E9">
                <w:rPr>
                  <w:rFonts w:eastAsia="Calibri" w:cs="Calibri"/>
                  <w:i/>
                  <w:iCs/>
                  <w:color w:val="4F81BD" w:themeColor="accent1"/>
                  <w:u w:val="single"/>
                  <w:lang w:val="ru-RU"/>
                </w:rPr>
                <w:t>TDAG-25/24</w:t>
              </w:r>
            </w:hyperlink>
            <w:r w:rsidRPr="006D37E9">
              <w:rPr>
                <w:rFonts w:eastAsia="Calibri" w:cs="Calibri"/>
                <w:i/>
                <w:iCs/>
                <w:lang w:val="ru-RU"/>
              </w:rPr>
              <w:t xml:space="preserve">, </w:t>
            </w:r>
            <w:hyperlink r:id="rId18">
              <w:r w:rsidRPr="006D37E9">
                <w:rPr>
                  <w:i/>
                  <w:iCs/>
                  <w:color w:val="4F81BD" w:themeColor="accent1"/>
                  <w:u w:val="single"/>
                  <w:lang w:val="ru-RU"/>
                </w:rPr>
                <w:t>WTDC-25/2</w:t>
              </w:r>
            </w:hyperlink>
            <w:r w:rsidRPr="006D37E9">
              <w:rPr>
                <w:i/>
                <w:iCs/>
                <w:lang w:val="ru-RU"/>
              </w:rPr>
              <w:t xml:space="preserve">, </w:t>
            </w:r>
            <w:hyperlink r:id="rId19">
              <w:r w:rsidRPr="006D37E9">
                <w:rPr>
                  <w:i/>
                  <w:iCs/>
                  <w:color w:val="4F81BD" w:themeColor="accent1"/>
                  <w:u w:val="single"/>
                  <w:lang w:val="ru-RU"/>
                </w:rPr>
                <w:t>TDAG-26/19</w:t>
              </w:r>
              <w:r w:rsidRPr="006D37E9">
                <w:rPr>
                  <w:i/>
                  <w:iCs/>
                  <w:color w:val="000000" w:themeColor="text1"/>
                  <w:lang w:val="ru-RU"/>
                </w:rPr>
                <w:t>,</w:t>
              </w:r>
              <w:r w:rsidRPr="006D37E9">
                <w:rPr>
                  <w:i/>
                  <w:iCs/>
                  <w:color w:val="4F81BD" w:themeColor="accent1"/>
                  <w:lang w:val="ru-RU"/>
                </w:rPr>
                <w:t xml:space="preserve"> </w:t>
              </w:r>
            </w:hyperlink>
            <w:hyperlink r:id="rId20">
              <w:r w:rsidRPr="006D37E9">
                <w:rPr>
                  <w:i/>
                  <w:iCs/>
                  <w:color w:val="4F81BD" w:themeColor="accent1"/>
                  <w:u w:val="single"/>
                  <w:lang w:val="ru-RU"/>
                </w:rPr>
                <w:t>TDAG-26/16</w:t>
              </w:r>
            </w:hyperlink>
            <w:r w:rsidRPr="006D37E9">
              <w:rPr>
                <w:i/>
                <w:iCs/>
                <w:lang w:val="ru-RU"/>
              </w:rPr>
              <w:t xml:space="preserve">, </w:t>
            </w:r>
            <w:hyperlink r:id="rId21">
              <w:r w:rsidRPr="006D37E9">
                <w:rPr>
                  <w:i/>
                  <w:iCs/>
                  <w:color w:val="4F81BD" w:themeColor="accent1"/>
                  <w:u w:val="single"/>
                  <w:lang w:val="ru-RU"/>
                </w:rPr>
                <w:t>TDAG-26/8</w:t>
              </w:r>
            </w:hyperlink>
            <w:r w:rsidRPr="006D37E9">
              <w:rPr>
                <w:lang w:val="ru-RU"/>
              </w:rPr>
              <w:t xml:space="preserve"> </w:t>
            </w:r>
            <w:r w:rsidRPr="006D37E9">
              <w:rPr>
                <w:i/>
                <w:iCs/>
                <w:color w:val="000000"/>
                <w:lang w:val="ru-RU"/>
              </w:rPr>
              <w:t xml:space="preserve">и </w:t>
            </w:r>
            <w:hyperlink r:id="rId22">
              <w:r w:rsidRPr="006D37E9">
                <w:rPr>
                  <w:i/>
                  <w:iCs/>
                  <w:color w:val="4F81BD" w:themeColor="accent1"/>
                  <w:u w:val="single"/>
                  <w:lang w:val="ru-RU"/>
                </w:rPr>
                <w:t>TDAG</w:t>
              </w:r>
              <w:r w:rsidRPr="006D37E9">
                <w:rPr>
                  <w:i/>
                  <w:iCs/>
                  <w:color w:val="4F81BD" w:themeColor="accent1"/>
                  <w:u w:val="single"/>
                  <w:lang w:val="ru-RU"/>
                </w:rPr>
                <w:noBreakHyphen/>
                <w:t>26/4</w:t>
              </w:r>
            </w:hyperlink>
            <w:hyperlink r:id="rId23"/>
            <w:hyperlink r:id="rId24"/>
            <w:hyperlink r:id="rId25"/>
            <w:hyperlink r:id="rId26"/>
            <w:hyperlink r:id="rId27"/>
            <w:hyperlink r:id="rId28"/>
            <w:hyperlink r:id="rId29"/>
            <w:hyperlink r:id="rId30" w:history="1"/>
            <w:hyperlink r:id="rId31"/>
            <w:hyperlink r:id="rId32"/>
            <w:hyperlink r:id="rId33"/>
            <w:hyperlink r:id="rId34"/>
            <w:hyperlink r:id="rId35"/>
            <w:hyperlink r:id="rId36"/>
          </w:p>
        </w:tc>
      </w:tr>
    </w:tbl>
    <w:p w14:paraId="35B2A16A" w14:textId="77777777" w:rsidR="00A971FB" w:rsidRPr="006D37E9" w:rsidRDefault="00A971FB" w:rsidP="00A971FB">
      <w:pPr>
        <w:pStyle w:val="Normalaftertitle"/>
        <w:spacing w:before="720"/>
        <w:rPr>
          <w:lang w:val="ru-RU"/>
        </w:rPr>
      </w:pPr>
      <w:r w:rsidRPr="006D37E9">
        <w:rPr>
          <w:b/>
          <w:bCs/>
          <w:lang w:val="ru-RU"/>
        </w:rPr>
        <w:t>Приложения</w:t>
      </w:r>
      <w:r w:rsidRPr="006D37E9">
        <w:rPr>
          <w:lang w:val="ru-RU"/>
        </w:rPr>
        <w:t>: 2</w:t>
      </w:r>
    </w:p>
    <w:p w14:paraId="6598DE31" w14:textId="35C9E7F0" w:rsidR="00A971FB" w:rsidRPr="006D37E9" w:rsidRDefault="00A971FB" w:rsidP="00A971FB">
      <w:pPr>
        <w:rPr>
          <w:lang w:val="ru-RU"/>
        </w:rPr>
      </w:pPr>
      <w:r w:rsidRPr="006D37E9">
        <w:rPr>
          <w:lang w:val="ru-RU"/>
        </w:rPr>
        <w:br w:type="page"/>
      </w:r>
    </w:p>
    <w:p w14:paraId="5DB077EC" w14:textId="77777777" w:rsidR="00A971FB" w:rsidRPr="006D37E9" w:rsidRDefault="00A971FB" w:rsidP="00A971FB">
      <w:pPr>
        <w:pStyle w:val="AnnexNo"/>
        <w:rPr>
          <w:lang w:val="ru-RU"/>
        </w:rPr>
      </w:pPr>
      <w:r w:rsidRPr="006D37E9">
        <w:rPr>
          <w:lang w:val="ru-RU"/>
        </w:rPr>
        <w:lastRenderedPageBreak/>
        <w:t>ПРИЛОЖЕНИЕ 1</w:t>
      </w:r>
    </w:p>
    <w:p w14:paraId="55F580F5" w14:textId="77777777" w:rsidR="00A971FB" w:rsidRPr="006D37E9" w:rsidRDefault="00A971FB" w:rsidP="00A971FB">
      <w:pPr>
        <w:pStyle w:val="Annextitle"/>
        <w:rPr>
          <w:lang w:val="ru-RU"/>
        </w:rPr>
      </w:pPr>
      <w:r w:rsidRPr="006D37E9">
        <w:rPr>
          <w:bCs/>
          <w:lang w:val="ru-RU"/>
        </w:rPr>
        <w:t>Документ</w:t>
      </w:r>
      <w:r w:rsidRPr="006D37E9">
        <w:rPr>
          <w:lang w:val="ru-RU"/>
        </w:rPr>
        <w:t xml:space="preserve"> </w:t>
      </w:r>
      <w:hyperlink r:id="rId37" w:history="1">
        <w:r w:rsidRPr="006D37E9">
          <w:rPr>
            <w:rStyle w:val="Hyperlink"/>
            <w:lang w:val="ru-RU"/>
          </w:rPr>
          <w:t>C26/25</w:t>
        </w:r>
      </w:hyperlink>
      <w:r w:rsidRPr="006D37E9">
        <w:rPr>
          <w:lang w:val="ru-RU"/>
        </w:rPr>
        <w:t xml:space="preserve"> – </w:t>
      </w:r>
      <w:r w:rsidRPr="006D37E9">
        <w:rPr>
          <w:bCs/>
          <w:lang w:val="ru-RU"/>
        </w:rPr>
        <w:t>Укрепление регионального присутствия МСЭ</w:t>
      </w:r>
      <w:hyperlink r:id="rId38" w:history="1"/>
    </w:p>
    <w:tbl>
      <w:tblPr>
        <w:tblW w:w="9214" w:type="dxa"/>
        <w:jc w:val="center"/>
        <w:tblLayout w:type="fixed"/>
        <w:tblLook w:val="0000" w:firstRow="0" w:lastRow="0" w:firstColumn="0" w:lastColumn="0" w:noHBand="0" w:noVBand="0"/>
      </w:tblPr>
      <w:tblGrid>
        <w:gridCol w:w="3969"/>
        <w:gridCol w:w="5245"/>
      </w:tblGrid>
      <w:tr w:rsidR="00A971FB" w:rsidRPr="006D37E9" w14:paraId="20D232F0" w14:textId="77777777" w:rsidTr="00FA7E6A">
        <w:trPr>
          <w:cantSplit/>
          <w:trHeight w:val="23"/>
          <w:jc w:val="center"/>
        </w:trPr>
        <w:tc>
          <w:tcPr>
            <w:tcW w:w="9214" w:type="dxa"/>
            <w:gridSpan w:val="2"/>
            <w:tcMar>
              <w:left w:w="0" w:type="dxa"/>
            </w:tcMar>
          </w:tcPr>
          <w:p w14:paraId="34A1088F" w14:textId="0951F42B" w:rsidR="00A971FB" w:rsidRPr="006D37E9" w:rsidRDefault="00A971FB" w:rsidP="00A971FB">
            <w:pPr>
              <w:tabs>
                <w:tab w:val="left" w:pos="851"/>
              </w:tabs>
              <w:spacing w:before="0" w:line="240" w:lineRule="atLeast"/>
              <w:rPr>
                <w:b/>
                <w:bCs/>
                <w:color w:val="000000"/>
                <w:lang w:val="ru-RU"/>
              </w:rPr>
            </w:pPr>
            <w:bookmarkStart w:id="5" w:name="_Hlk133421856"/>
            <w:bookmarkStart w:id="6" w:name="_Hlk133422370"/>
            <w:bookmarkStart w:id="7" w:name="_Hlk133586559"/>
            <w:bookmarkStart w:id="8" w:name="_Hlk133421428"/>
            <w:r w:rsidRPr="006D37E9">
              <w:rPr>
                <w:noProof/>
                <w:lang w:val="ru-RU"/>
              </w:rPr>
              <w:drawing>
                <wp:inline distT="0" distB="0" distL="0" distR="0" wp14:anchorId="2810D696" wp14:editId="0B1ED98E">
                  <wp:extent cx="3992140" cy="720000"/>
                  <wp:effectExtent l="0" t="0" r="0" b="0"/>
                  <wp:docPr id="501272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272706" name="Picture 501272706"/>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992140" cy="720000"/>
                          </a:xfrm>
                          <a:prstGeom prst="rect">
                            <a:avLst/>
                          </a:prstGeom>
                        </pic:spPr>
                      </pic:pic>
                    </a:graphicData>
                  </a:graphic>
                </wp:inline>
              </w:drawing>
            </w:r>
          </w:p>
        </w:tc>
      </w:tr>
      <w:tr w:rsidR="00A971FB" w:rsidRPr="006D37E9" w14:paraId="6B51848E" w14:textId="77777777" w:rsidTr="0081297C">
        <w:trPr>
          <w:cantSplit/>
          <w:trHeight w:val="23"/>
          <w:jc w:val="center"/>
        </w:trPr>
        <w:tc>
          <w:tcPr>
            <w:tcW w:w="3969" w:type="dxa"/>
            <w:vMerge w:val="restart"/>
            <w:tcMar>
              <w:left w:w="0" w:type="dxa"/>
            </w:tcMar>
          </w:tcPr>
          <w:p w14:paraId="189E744D" w14:textId="77777777" w:rsidR="00A971FB" w:rsidRPr="006D37E9" w:rsidRDefault="00A971FB" w:rsidP="0081297C">
            <w:pPr>
              <w:tabs>
                <w:tab w:val="left" w:pos="851"/>
              </w:tabs>
              <w:spacing w:before="0" w:line="240" w:lineRule="atLeast"/>
              <w:rPr>
                <w:b/>
                <w:lang w:val="ru-RU"/>
              </w:rPr>
            </w:pPr>
            <w:bookmarkStart w:id="9" w:name="_Hlk133421839"/>
            <w:r w:rsidRPr="006D37E9">
              <w:rPr>
                <w:b/>
                <w:bCs/>
                <w:color w:val="000000"/>
                <w:lang w:val="ru-RU"/>
              </w:rPr>
              <w:t>Пункт повестки дня: PL-2</w:t>
            </w:r>
          </w:p>
        </w:tc>
        <w:tc>
          <w:tcPr>
            <w:tcW w:w="5245" w:type="dxa"/>
          </w:tcPr>
          <w:p w14:paraId="11E07768" w14:textId="77777777" w:rsidR="00A971FB" w:rsidRPr="006D37E9" w:rsidRDefault="00A971FB" w:rsidP="0081297C">
            <w:pPr>
              <w:tabs>
                <w:tab w:val="left" w:pos="851"/>
              </w:tabs>
              <w:spacing w:before="0" w:line="240" w:lineRule="atLeast"/>
              <w:jc w:val="right"/>
              <w:rPr>
                <w:b/>
                <w:lang w:val="ru-RU"/>
              </w:rPr>
            </w:pPr>
            <w:r w:rsidRPr="006D37E9">
              <w:rPr>
                <w:b/>
                <w:bCs/>
                <w:color w:val="000000"/>
                <w:lang w:val="ru-RU"/>
              </w:rPr>
              <w:t>Документ C26/25-R</w:t>
            </w:r>
          </w:p>
        </w:tc>
      </w:tr>
      <w:tr w:rsidR="00A971FB" w:rsidRPr="006D37E9" w14:paraId="45B56171" w14:textId="77777777" w:rsidTr="0081297C">
        <w:trPr>
          <w:cantSplit/>
          <w:jc w:val="center"/>
        </w:trPr>
        <w:tc>
          <w:tcPr>
            <w:tcW w:w="3969" w:type="dxa"/>
            <w:vMerge/>
          </w:tcPr>
          <w:p w14:paraId="31572922" w14:textId="77777777" w:rsidR="00A971FB" w:rsidRPr="006D37E9" w:rsidRDefault="00A971FB" w:rsidP="0081297C">
            <w:pPr>
              <w:tabs>
                <w:tab w:val="left" w:pos="851"/>
              </w:tabs>
              <w:spacing w:line="240" w:lineRule="atLeast"/>
              <w:rPr>
                <w:b/>
                <w:lang w:val="ru-RU"/>
              </w:rPr>
            </w:pPr>
          </w:p>
        </w:tc>
        <w:tc>
          <w:tcPr>
            <w:tcW w:w="5245" w:type="dxa"/>
          </w:tcPr>
          <w:p w14:paraId="77D1C667" w14:textId="77777777" w:rsidR="00A971FB" w:rsidRPr="006D37E9" w:rsidRDefault="00A971FB" w:rsidP="0081297C">
            <w:pPr>
              <w:tabs>
                <w:tab w:val="left" w:pos="851"/>
              </w:tabs>
              <w:spacing w:before="0"/>
              <w:jc w:val="right"/>
              <w:rPr>
                <w:b/>
                <w:lang w:val="ru-RU"/>
              </w:rPr>
            </w:pPr>
            <w:r w:rsidRPr="006D37E9">
              <w:rPr>
                <w:b/>
                <w:bCs/>
                <w:color w:val="000000"/>
                <w:lang w:val="ru-RU"/>
              </w:rPr>
              <w:t>30 марта 2026 года</w:t>
            </w:r>
          </w:p>
        </w:tc>
      </w:tr>
      <w:tr w:rsidR="00A971FB" w:rsidRPr="006D37E9" w14:paraId="06AA15D5" w14:textId="77777777" w:rsidTr="0081297C">
        <w:trPr>
          <w:cantSplit/>
          <w:trHeight w:val="23"/>
          <w:jc w:val="center"/>
        </w:trPr>
        <w:tc>
          <w:tcPr>
            <w:tcW w:w="3969" w:type="dxa"/>
            <w:vMerge/>
          </w:tcPr>
          <w:p w14:paraId="5A6807FD" w14:textId="77777777" w:rsidR="00A971FB" w:rsidRPr="006D37E9" w:rsidRDefault="00A971FB" w:rsidP="0081297C">
            <w:pPr>
              <w:tabs>
                <w:tab w:val="left" w:pos="851"/>
              </w:tabs>
              <w:spacing w:line="240" w:lineRule="atLeast"/>
              <w:rPr>
                <w:b/>
                <w:lang w:val="ru-RU"/>
              </w:rPr>
            </w:pPr>
          </w:p>
        </w:tc>
        <w:tc>
          <w:tcPr>
            <w:tcW w:w="5245" w:type="dxa"/>
          </w:tcPr>
          <w:p w14:paraId="640749E1" w14:textId="77777777" w:rsidR="00A971FB" w:rsidRPr="006D37E9" w:rsidRDefault="00A971FB" w:rsidP="0081297C">
            <w:pPr>
              <w:tabs>
                <w:tab w:val="left" w:pos="851"/>
              </w:tabs>
              <w:spacing w:before="0" w:line="240" w:lineRule="atLeast"/>
              <w:jc w:val="right"/>
              <w:rPr>
                <w:b/>
                <w:lang w:val="ru-RU"/>
              </w:rPr>
            </w:pPr>
            <w:r w:rsidRPr="006D37E9">
              <w:rPr>
                <w:b/>
                <w:bCs/>
                <w:color w:val="000000"/>
                <w:lang w:val="ru-RU"/>
              </w:rPr>
              <w:t>Оригинал: английский</w:t>
            </w:r>
          </w:p>
        </w:tc>
      </w:tr>
      <w:tr w:rsidR="00A971FB" w:rsidRPr="006D37E9" w14:paraId="44242A77" w14:textId="77777777" w:rsidTr="0081297C">
        <w:trPr>
          <w:cantSplit/>
          <w:trHeight w:val="23"/>
          <w:jc w:val="center"/>
        </w:trPr>
        <w:tc>
          <w:tcPr>
            <w:tcW w:w="3969" w:type="dxa"/>
          </w:tcPr>
          <w:p w14:paraId="46143EBB" w14:textId="77777777" w:rsidR="00A971FB" w:rsidRPr="006D37E9" w:rsidRDefault="00A971FB" w:rsidP="0081297C">
            <w:pPr>
              <w:tabs>
                <w:tab w:val="left" w:pos="851"/>
              </w:tabs>
              <w:spacing w:line="240" w:lineRule="atLeast"/>
              <w:rPr>
                <w:b/>
                <w:lang w:val="ru-RU"/>
              </w:rPr>
            </w:pPr>
          </w:p>
        </w:tc>
        <w:tc>
          <w:tcPr>
            <w:tcW w:w="5245" w:type="dxa"/>
          </w:tcPr>
          <w:p w14:paraId="11B7682C" w14:textId="77777777" w:rsidR="00A971FB" w:rsidRPr="006D37E9" w:rsidRDefault="00A971FB" w:rsidP="0081297C">
            <w:pPr>
              <w:tabs>
                <w:tab w:val="left" w:pos="851"/>
              </w:tabs>
              <w:spacing w:before="0" w:line="240" w:lineRule="atLeast"/>
              <w:jc w:val="right"/>
              <w:rPr>
                <w:b/>
                <w:lang w:val="ru-RU"/>
              </w:rPr>
            </w:pPr>
          </w:p>
        </w:tc>
      </w:tr>
      <w:tr w:rsidR="00A971FB" w:rsidRPr="006D37E9" w14:paraId="0A00EEF6" w14:textId="77777777" w:rsidTr="0081297C">
        <w:trPr>
          <w:cantSplit/>
          <w:jc w:val="center"/>
        </w:trPr>
        <w:tc>
          <w:tcPr>
            <w:tcW w:w="9214" w:type="dxa"/>
            <w:gridSpan w:val="2"/>
            <w:tcMar>
              <w:left w:w="0" w:type="dxa"/>
            </w:tcMar>
          </w:tcPr>
          <w:p w14:paraId="3A7DDFD6" w14:textId="77777777" w:rsidR="00A971FB" w:rsidRPr="006D37E9" w:rsidRDefault="00A971FB" w:rsidP="0081297C">
            <w:pPr>
              <w:pStyle w:val="SourceCouncil"/>
              <w:rPr>
                <w:sz w:val="26"/>
                <w:szCs w:val="26"/>
                <w:lang w:val="ru-RU"/>
              </w:rPr>
            </w:pPr>
            <w:r w:rsidRPr="006D37E9">
              <w:rPr>
                <w:bCs/>
                <w:color w:val="000000"/>
                <w:sz w:val="26"/>
                <w:szCs w:val="26"/>
                <w:lang w:val="ru-RU"/>
              </w:rPr>
              <w:t>Отчет Генерального секретаря</w:t>
            </w:r>
          </w:p>
        </w:tc>
      </w:tr>
      <w:tr w:rsidR="00A971FB" w:rsidRPr="006D37E9" w14:paraId="723EF250" w14:textId="77777777" w:rsidTr="0081297C">
        <w:trPr>
          <w:cantSplit/>
          <w:jc w:val="center"/>
        </w:trPr>
        <w:tc>
          <w:tcPr>
            <w:tcW w:w="9214" w:type="dxa"/>
            <w:gridSpan w:val="2"/>
            <w:tcMar>
              <w:left w:w="0" w:type="dxa"/>
            </w:tcMar>
          </w:tcPr>
          <w:p w14:paraId="60DBFB27" w14:textId="77777777" w:rsidR="00A971FB" w:rsidRPr="006D37E9" w:rsidRDefault="00A971FB" w:rsidP="0081297C">
            <w:pPr>
              <w:pStyle w:val="SubtitleCouncil"/>
              <w:rPr>
                <w:lang w:val="ru-RU"/>
              </w:rPr>
            </w:pPr>
            <w:r w:rsidRPr="006D37E9">
              <w:rPr>
                <w:color w:val="000000"/>
                <w:lang w:val="ru-RU"/>
              </w:rPr>
              <w:t>УКРЕПЛЕНИЕ РЕГИОНАЛЬНОГО ПРИСУТСТВИЯ МСЭ</w:t>
            </w:r>
          </w:p>
        </w:tc>
      </w:tr>
      <w:tr w:rsidR="00A971FB" w:rsidRPr="008923E2" w14:paraId="4DAEBEB6" w14:textId="77777777" w:rsidTr="0081297C">
        <w:trPr>
          <w:cantSplit/>
          <w:jc w:val="center"/>
        </w:trPr>
        <w:tc>
          <w:tcPr>
            <w:tcW w:w="9214" w:type="dxa"/>
            <w:gridSpan w:val="2"/>
            <w:tcBorders>
              <w:top w:val="single" w:sz="4" w:space="0" w:color="auto"/>
              <w:bottom w:val="single" w:sz="4" w:space="0" w:color="auto"/>
            </w:tcBorders>
            <w:tcMar>
              <w:left w:w="0" w:type="dxa"/>
            </w:tcMar>
          </w:tcPr>
          <w:p w14:paraId="73E2DD85" w14:textId="77777777" w:rsidR="00A971FB" w:rsidRPr="006D37E9" w:rsidRDefault="00A971FB" w:rsidP="00A971FB">
            <w:pPr>
              <w:pStyle w:val="Headingb"/>
              <w:rPr>
                <w:lang w:val="ru-RU"/>
              </w:rPr>
            </w:pPr>
            <w:r w:rsidRPr="006D37E9">
              <w:rPr>
                <w:lang w:val="ru-RU"/>
              </w:rPr>
              <w:t>Назначение</w:t>
            </w:r>
          </w:p>
          <w:p w14:paraId="61593E43" w14:textId="77777777" w:rsidR="00A971FB" w:rsidRPr="006D37E9" w:rsidRDefault="00A971FB" w:rsidP="00A971FB">
            <w:pPr>
              <w:rPr>
                <w:lang w:val="ru-RU"/>
              </w:rPr>
            </w:pPr>
            <w:r w:rsidRPr="006D37E9">
              <w:rPr>
                <w:color w:val="000000"/>
                <w:lang w:val="ru-RU"/>
              </w:rPr>
              <w:t>В настоящем документе содержится отчет о вкладе регионального присутствия в выполнение мандата МСЭ. В нем приводится информация о региональной работе по выполнению Стратегического плана МСЭ, принятого на ВКРЭ-22 Кигалийского плана действий, недавно принятого на ВКРЭ-25 Бакинского плана действий и региональных инициатив.</w:t>
            </w:r>
          </w:p>
          <w:p w14:paraId="37B66F6D" w14:textId="77777777" w:rsidR="00A971FB" w:rsidRPr="006D37E9" w:rsidRDefault="00A971FB" w:rsidP="00A971FB">
            <w:pPr>
              <w:pStyle w:val="Headingb"/>
              <w:rPr>
                <w:lang w:val="ru-RU"/>
              </w:rPr>
            </w:pPr>
            <w:r w:rsidRPr="006D37E9">
              <w:rPr>
                <w:lang w:val="ru-RU"/>
              </w:rPr>
              <w:t>Необходимые действия Совета</w:t>
            </w:r>
          </w:p>
          <w:p w14:paraId="6CDD6F54" w14:textId="77777777" w:rsidR="00A971FB" w:rsidRPr="006D37E9" w:rsidRDefault="00A971FB" w:rsidP="00A971FB">
            <w:pPr>
              <w:rPr>
                <w:lang w:val="ru-RU"/>
              </w:rPr>
            </w:pPr>
            <w:r w:rsidRPr="006D37E9">
              <w:rPr>
                <w:color w:val="000000"/>
                <w:lang w:val="ru-RU"/>
              </w:rPr>
              <w:t xml:space="preserve">Совету предлагается </w:t>
            </w:r>
            <w:r w:rsidRPr="006D37E9">
              <w:rPr>
                <w:b/>
                <w:bCs/>
                <w:color w:val="000000"/>
                <w:lang w:val="ru-RU"/>
              </w:rPr>
              <w:t>принять к сведению</w:t>
            </w:r>
            <w:r w:rsidRPr="006D37E9">
              <w:rPr>
                <w:color w:val="000000"/>
                <w:lang w:val="ru-RU"/>
              </w:rPr>
              <w:t xml:space="preserve"> настоящий документ.</w:t>
            </w:r>
          </w:p>
          <w:p w14:paraId="0604D557" w14:textId="77777777" w:rsidR="00A971FB" w:rsidRPr="006D37E9" w:rsidRDefault="00A971FB" w:rsidP="00A971FB">
            <w:pPr>
              <w:pStyle w:val="Headingb"/>
              <w:rPr>
                <w:lang w:val="ru-RU"/>
              </w:rPr>
            </w:pPr>
            <w:r w:rsidRPr="006D37E9">
              <w:rPr>
                <w:lang w:val="ru-RU"/>
              </w:rPr>
              <w:t>Соответствующая увязка со Стратегическим планом</w:t>
            </w:r>
          </w:p>
          <w:p w14:paraId="02792CC5" w14:textId="77777777" w:rsidR="00A971FB" w:rsidRPr="006D37E9" w:rsidRDefault="00A971FB" w:rsidP="00A971FB">
            <w:pPr>
              <w:rPr>
                <w:lang w:val="ru-RU"/>
              </w:rPr>
            </w:pPr>
            <w:r w:rsidRPr="006D37E9">
              <w:rPr>
                <w:color w:val="000000"/>
                <w:lang w:val="ru-RU"/>
              </w:rPr>
              <w:t>Региональное присутствие</w:t>
            </w:r>
          </w:p>
          <w:p w14:paraId="7DB743F3" w14:textId="77777777" w:rsidR="00A971FB" w:rsidRPr="006D37E9" w:rsidRDefault="00A971FB" w:rsidP="00A971FB">
            <w:pPr>
              <w:pStyle w:val="Headingb"/>
              <w:rPr>
                <w:lang w:val="ru-RU"/>
              </w:rPr>
            </w:pPr>
            <w:r w:rsidRPr="006D37E9">
              <w:rPr>
                <w:lang w:val="ru-RU"/>
              </w:rPr>
              <w:t>Финансовые последствия</w:t>
            </w:r>
          </w:p>
          <w:p w14:paraId="7AB6BEEE" w14:textId="77777777" w:rsidR="00A971FB" w:rsidRPr="006D37E9" w:rsidRDefault="00A971FB" w:rsidP="00A971FB">
            <w:pPr>
              <w:spacing w:before="160"/>
              <w:rPr>
                <w:lang w:val="ru-RU"/>
              </w:rPr>
            </w:pPr>
            <w:r w:rsidRPr="006D37E9">
              <w:rPr>
                <w:color w:val="000000"/>
                <w:lang w:val="ru-RU"/>
              </w:rPr>
              <w:t>В рамках выделенного бюджета на 2024−2025 годы. Финансирование региональных инициатив ВКРЭ-25 в период 2026−2029 годов.</w:t>
            </w:r>
          </w:p>
          <w:p w14:paraId="4FC7B8C1" w14:textId="77777777" w:rsidR="00A971FB" w:rsidRPr="006D37E9" w:rsidRDefault="00A971FB" w:rsidP="00A971FB">
            <w:pPr>
              <w:rPr>
                <w:lang w:val="ru-RU"/>
              </w:rPr>
            </w:pPr>
            <w:r w:rsidRPr="006D37E9">
              <w:rPr>
                <w:color w:val="000000"/>
                <w:lang w:val="ru-RU"/>
              </w:rPr>
              <w:t>_______________</w:t>
            </w:r>
          </w:p>
          <w:p w14:paraId="3C07AD8A" w14:textId="77777777" w:rsidR="00A971FB" w:rsidRPr="006D37E9" w:rsidRDefault="00A971FB" w:rsidP="00A971FB">
            <w:pPr>
              <w:pStyle w:val="Headingb"/>
              <w:rPr>
                <w:lang w:val="ru-RU"/>
              </w:rPr>
            </w:pPr>
            <w:r w:rsidRPr="006D37E9">
              <w:rPr>
                <w:lang w:val="ru-RU"/>
              </w:rPr>
              <w:t>Справочные материалы</w:t>
            </w:r>
          </w:p>
          <w:p w14:paraId="0D99506B" w14:textId="77777777" w:rsidR="00A971FB" w:rsidRPr="006D37E9" w:rsidRDefault="00A971FB" w:rsidP="00A971FB">
            <w:pPr>
              <w:spacing w:after="160"/>
              <w:rPr>
                <w:i/>
                <w:iCs/>
                <w:szCs w:val="22"/>
                <w:lang w:val="ru-RU"/>
              </w:rPr>
            </w:pPr>
            <w:r w:rsidRPr="006D37E9">
              <w:rPr>
                <w:i/>
                <w:iCs/>
                <w:lang w:val="ru-RU"/>
              </w:rPr>
              <w:t xml:space="preserve">Резолюции </w:t>
            </w:r>
            <w:hyperlink r:id="rId40" w:history="1">
              <w:r w:rsidRPr="006D37E9">
                <w:rPr>
                  <w:rStyle w:val="Hyperlink"/>
                  <w:i/>
                  <w:iCs/>
                  <w:lang w:val="ru-RU"/>
                </w:rPr>
                <w:t>25 (Пересм. Бухарест, 2022 г.)</w:t>
              </w:r>
            </w:hyperlink>
            <w:r w:rsidRPr="006D37E9">
              <w:rPr>
                <w:i/>
                <w:iCs/>
                <w:lang w:val="ru-RU"/>
              </w:rPr>
              <w:t xml:space="preserve">, </w:t>
            </w:r>
            <w:hyperlink r:id="rId41" w:history="1">
              <w:r w:rsidRPr="006D37E9">
                <w:rPr>
                  <w:rStyle w:val="Hyperlink"/>
                  <w:i/>
                  <w:iCs/>
                  <w:lang w:val="ru-RU"/>
                </w:rPr>
                <w:t>135 (Пересм. Бухарест, 2022 г.)</w:t>
              </w:r>
            </w:hyperlink>
            <w:r w:rsidRPr="006D37E9">
              <w:rPr>
                <w:i/>
                <w:iCs/>
                <w:lang w:val="ru-RU"/>
              </w:rPr>
              <w:t xml:space="preserve"> и </w:t>
            </w:r>
            <w:hyperlink r:id="rId42" w:history="1">
              <w:r w:rsidRPr="006D37E9">
                <w:rPr>
                  <w:rStyle w:val="Hyperlink"/>
                  <w:i/>
                  <w:iCs/>
                  <w:lang w:val="ru-RU"/>
                </w:rPr>
                <w:t>157 (Пересм. Бухарест, 2022 г.</w:t>
              </w:r>
            </w:hyperlink>
            <w:r w:rsidRPr="006D37E9">
              <w:rPr>
                <w:i/>
                <w:iCs/>
                <w:lang w:val="ru-RU"/>
              </w:rPr>
              <w:t xml:space="preserve">) Полномочной конференции; Заключительные отчеты </w:t>
            </w:r>
            <w:hyperlink r:id="rId43" w:history="1">
              <w:r w:rsidRPr="006D37E9">
                <w:rPr>
                  <w:rStyle w:val="Hyperlink"/>
                  <w:i/>
                  <w:iCs/>
                  <w:lang w:val="ru-RU"/>
                </w:rPr>
                <w:t>ВКРЭ-22 (Кигалийский план действий)</w:t>
              </w:r>
            </w:hyperlink>
            <w:r w:rsidRPr="006D37E9">
              <w:rPr>
                <w:i/>
                <w:iCs/>
                <w:lang w:val="ru-RU"/>
              </w:rPr>
              <w:t xml:space="preserve"> и </w:t>
            </w:r>
            <w:hyperlink r:id="rId44" w:history="1">
              <w:r w:rsidRPr="006D37E9">
                <w:rPr>
                  <w:rStyle w:val="Hyperlink"/>
                  <w:i/>
                  <w:iCs/>
                  <w:lang w:val="ru-RU"/>
                </w:rPr>
                <w:t>ВКРЭ-25 (Бакинский план действий</w:t>
              </w:r>
            </w:hyperlink>
            <w:r w:rsidRPr="006D37E9">
              <w:rPr>
                <w:i/>
                <w:iCs/>
                <w:lang w:val="ru-RU"/>
              </w:rPr>
              <w:t xml:space="preserve">); Резолюции </w:t>
            </w:r>
            <w:hyperlink r:id="rId45" w:history="1">
              <w:r w:rsidRPr="006D37E9">
                <w:rPr>
                  <w:rStyle w:val="Hyperlink"/>
                  <w:i/>
                  <w:iCs/>
                  <w:lang w:val="ru-RU"/>
                </w:rPr>
                <w:t>17 (Пересм. Баку, 2025 г.)</w:t>
              </w:r>
            </w:hyperlink>
            <w:r w:rsidRPr="006D37E9">
              <w:rPr>
                <w:i/>
                <w:iCs/>
                <w:lang w:val="ru-RU"/>
              </w:rPr>
              <w:t xml:space="preserve"> и </w:t>
            </w:r>
            <w:hyperlink r:id="rId46" w:history="1">
              <w:r w:rsidRPr="006D37E9">
                <w:rPr>
                  <w:rStyle w:val="Hyperlink"/>
                  <w:i/>
                  <w:iCs/>
                  <w:lang w:val="ru-RU"/>
                </w:rPr>
                <w:t>31 (Пересм. Баку, 2025 г.)</w:t>
              </w:r>
            </w:hyperlink>
            <w:r w:rsidRPr="006D37E9">
              <w:rPr>
                <w:i/>
                <w:iCs/>
                <w:lang w:val="ru-RU"/>
              </w:rPr>
              <w:t xml:space="preserve"> Всемирной конференции по развитию электросвязи; Документы </w:t>
            </w:r>
            <w:hyperlink r:id="rId47" w:history="1">
              <w:r w:rsidRPr="006D37E9">
                <w:rPr>
                  <w:rStyle w:val="Hyperlink"/>
                  <w:i/>
                  <w:iCs/>
                  <w:lang w:val="ru-RU"/>
                </w:rPr>
                <w:t>C25/25</w:t>
              </w:r>
            </w:hyperlink>
            <w:r w:rsidRPr="006D37E9">
              <w:rPr>
                <w:i/>
                <w:iCs/>
                <w:lang w:val="ru-RU"/>
              </w:rPr>
              <w:t xml:space="preserve">, </w:t>
            </w:r>
            <w:hyperlink r:id="rId48" w:history="1">
              <w:r w:rsidRPr="006D37E9">
                <w:rPr>
                  <w:rStyle w:val="Hyperlink"/>
                  <w:i/>
                  <w:iCs/>
                  <w:lang w:val="ru-RU"/>
                </w:rPr>
                <w:t>TDAG-25/24</w:t>
              </w:r>
            </w:hyperlink>
            <w:r w:rsidRPr="006D37E9">
              <w:rPr>
                <w:i/>
                <w:iCs/>
                <w:lang w:val="ru-RU"/>
              </w:rPr>
              <w:t xml:space="preserve">, </w:t>
            </w:r>
            <w:hyperlink r:id="rId49" w:history="1">
              <w:r w:rsidRPr="006D37E9">
                <w:rPr>
                  <w:rStyle w:val="Hyperlink"/>
                  <w:i/>
                  <w:iCs/>
                  <w:lang w:val="ru-RU"/>
                </w:rPr>
                <w:t>WTDC-25/2</w:t>
              </w:r>
            </w:hyperlink>
            <w:r w:rsidRPr="006D37E9">
              <w:rPr>
                <w:i/>
                <w:iCs/>
                <w:lang w:val="ru-RU"/>
              </w:rPr>
              <w:t xml:space="preserve">, </w:t>
            </w:r>
            <w:hyperlink r:id="rId50" w:history="1">
              <w:r w:rsidRPr="006D37E9">
                <w:rPr>
                  <w:rStyle w:val="Hyperlink"/>
                  <w:i/>
                  <w:iCs/>
                  <w:lang w:val="ru-RU"/>
                </w:rPr>
                <w:t>TDAG-26/19</w:t>
              </w:r>
            </w:hyperlink>
            <w:r w:rsidRPr="006D37E9">
              <w:rPr>
                <w:i/>
                <w:iCs/>
                <w:lang w:val="ru-RU"/>
              </w:rPr>
              <w:t xml:space="preserve">, </w:t>
            </w:r>
            <w:hyperlink r:id="rId51" w:history="1">
              <w:r w:rsidRPr="006D37E9">
                <w:rPr>
                  <w:rStyle w:val="Hyperlink"/>
                  <w:i/>
                  <w:iCs/>
                  <w:lang w:val="ru-RU"/>
                </w:rPr>
                <w:t>TDAG-26/16</w:t>
              </w:r>
            </w:hyperlink>
            <w:r w:rsidRPr="006D37E9">
              <w:rPr>
                <w:i/>
                <w:iCs/>
                <w:lang w:val="ru-RU"/>
              </w:rPr>
              <w:t xml:space="preserve">, </w:t>
            </w:r>
            <w:hyperlink r:id="rId52" w:history="1">
              <w:r w:rsidRPr="006D37E9">
                <w:rPr>
                  <w:rStyle w:val="Hyperlink"/>
                  <w:i/>
                  <w:iCs/>
                  <w:lang w:val="ru-RU"/>
                </w:rPr>
                <w:t>TDAG-26/8</w:t>
              </w:r>
            </w:hyperlink>
            <w:r w:rsidRPr="006D37E9">
              <w:rPr>
                <w:i/>
                <w:iCs/>
                <w:lang w:val="ru-RU"/>
              </w:rPr>
              <w:t xml:space="preserve"> и </w:t>
            </w:r>
            <w:hyperlink r:id="rId53" w:history="1">
              <w:r w:rsidRPr="006D37E9">
                <w:rPr>
                  <w:rStyle w:val="Hyperlink"/>
                  <w:i/>
                  <w:iCs/>
                  <w:lang w:val="ru-RU"/>
                </w:rPr>
                <w:t>TDAG-26/4</w:t>
              </w:r>
            </w:hyperlink>
            <w:hyperlink r:id="rId54"/>
            <w:hyperlink r:id="rId55"/>
            <w:hyperlink r:id="rId56"/>
            <w:hyperlink r:id="rId57"/>
            <w:hyperlink r:id="rId58"/>
            <w:hyperlink r:id="rId59"/>
            <w:hyperlink r:id="rId60"/>
            <w:hyperlink r:id="rId61"/>
            <w:hyperlink r:id="rId62"/>
            <w:hyperlink r:id="rId63"/>
            <w:hyperlink r:id="rId64"/>
            <w:hyperlink r:id="rId65"/>
            <w:hyperlink r:id="rId66"/>
          </w:p>
        </w:tc>
      </w:tr>
      <w:bookmarkEnd w:id="5"/>
      <w:bookmarkEnd w:id="6"/>
      <w:bookmarkEnd w:id="9"/>
    </w:tbl>
    <w:p w14:paraId="2E486BA7" w14:textId="77777777" w:rsidR="00A971FB" w:rsidRPr="006D37E9" w:rsidRDefault="00A971FB" w:rsidP="00A971FB">
      <w:pPr>
        <w:tabs>
          <w:tab w:val="clear" w:pos="567"/>
          <w:tab w:val="clear" w:pos="1134"/>
          <w:tab w:val="clear" w:pos="1701"/>
          <w:tab w:val="clear" w:pos="2268"/>
          <w:tab w:val="clear" w:pos="2835"/>
        </w:tabs>
        <w:overflowPunct/>
        <w:autoSpaceDE/>
        <w:autoSpaceDN/>
        <w:adjustRightInd/>
        <w:spacing w:before="0"/>
        <w:textAlignment w:val="auto"/>
        <w:rPr>
          <w:b/>
          <w:lang w:val="ru-RU"/>
        </w:rPr>
      </w:pPr>
      <w:r w:rsidRPr="006D37E9">
        <w:rPr>
          <w:lang w:val="ru-RU"/>
        </w:rPr>
        <w:br w:type="page"/>
      </w:r>
    </w:p>
    <w:bookmarkEnd w:id="7"/>
    <w:bookmarkEnd w:id="8"/>
    <w:p w14:paraId="2B56BC70" w14:textId="77777777" w:rsidR="00A971FB" w:rsidRPr="006D37E9" w:rsidRDefault="00A971FB" w:rsidP="00A971FB">
      <w:pPr>
        <w:pStyle w:val="Heading1"/>
        <w:tabs>
          <w:tab w:val="clear" w:pos="567"/>
          <w:tab w:val="clear" w:pos="1134"/>
          <w:tab w:val="clear" w:pos="1701"/>
          <w:tab w:val="clear" w:pos="2268"/>
          <w:tab w:val="clear" w:pos="2835"/>
        </w:tabs>
        <w:ind w:left="0" w:firstLine="0"/>
        <w:rPr>
          <w:rFonts w:eastAsia="SimSun"/>
          <w:lang w:val="ru-RU"/>
        </w:rPr>
      </w:pPr>
      <w:r w:rsidRPr="006D37E9">
        <w:rPr>
          <w:rFonts w:eastAsia="SimSun"/>
          <w:bCs/>
          <w:lang w:val="ru-RU"/>
        </w:rPr>
        <w:lastRenderedPageBreak/>
        <w:t>1</w:t>
      </w:r>
      <w:r w:rsidRPr="006D37E9">
        <w:rPr>
          <w:rFonts w:eastAsia="SimSun"/>
          <w:lang w:val="ru-RU"/>
        </w:rPr>
        <w:tab/>
      </w:r>
      <w:r w:rsidRPr="006D37E9">
        <w:rPr>
          <w:rFonts w:eastAsia="SimSun"/>
          <w:bCs/>
          <w:lang w:val="ru-RU"/>
        </w:rPr>
        <w:t>Базовая информация</w:t>
      </w:r>
    </w:p>
    <w:p w14:paraId="3987D534" w14:textId="17BC0338" w:rsidR="00A971FB" w:rsidRPr="006D37E9" w:rsidRDefault="00A971FB" w:rsidP="00A971FB">
      <w:pPr>
        <w:tabs>
          <w:tab w:val="clear" w:pos="567"/>
          <w:tab w:val="clear" w:pos="1134"/>
          <w:tab w:val="clear" w:pos="1701"/>
          <w:tab w:val="clear" w:pos="2268"/>
          <w:tab w:val="clear" w:pos="2835"/>
        </w:tabs>
        <w:rPr>
          <w:rFonts w:eastAsia="Arial Unicode MS" w:cstheme="minorBidi"/>
          <w:lang w:val="ru-RU"/>
        </w:rPr>
      </w:pPr>
      <w:r w:rsidRPr="006D37E9">
        <w:rPr>
          <w:rFonts w:eastAsia="SimSun"/>
          <w:lang w:val="ru-RU"/>
        </w:rPr>
        <w:t>1.1</w:t>
      </w:r>
      <w:r w:rsidRPr="006D37E9">
        <w:rPr>
          <w:rFonts w:eastAsia="SimSun"/>
          <w:lang w:val="ru-RU"/>
        </w:rPr>
        <w:tab/>
        <w:t>С учетом Статей 1 и 21 Устава МСЭ, а также Статей 5 и 14 Конвенции МСЭ в Резолюции 25 (Пересм. Бухарест, 2022 г.) Полномочной конференции содержится призыв к МСЭ "продолжать укреплять функции региональных и зональных отделений, с тем чтобы они могли играть важную роль в осуществлении Стратегического плана, программ и проектов МСЭ, а также региональных инициатив, изложенных в Кигалийском плане действий в соответствии с Резолюцией 17 (Пересм. Кигали, 2022 г.) Всемирной конференции по развитию электросвязи (ВКРЭ), в пределах имеющихся ресурсов, в том числе выделенных в финансовом плане, и поступающих из других соответствующих источников, таких как добровольные взносы и спонсорская помощь". На ВКРЭ-25, состоявшейся с 17 по 28 ноября 2025 года в Баку, Азербайджан, и посвященной теме "Универсальная и реальная возможность установления приемлемых в ценовом отношении соединений в интересах инклюзивного и устойчивого цифрового будущего", Члены МСЭ приняли Бакинский план действий и одобрили Резолюцию 17 (Пересм. Баку, 2025 г.) ВКРЭ, определяющую региональные инициативы для реализации в период 2026</w:t>
      </w:r>
      <w:r w:rsidR="006D37E9">
        <w:rPr>
          <w:rFonts w:eastAsia="SimSun"/>
          <w:lang w:val="ru-RU"/>
        </w:rPr>
        <w:t>−</w:t>
      </w:r>
      <w:r w:rsidRPr="006D37E9">
        <w:rPr>
          <w:rFonts w:eastAsia="SimSun"/>
          <w:lang w:val="ru-RU"/>
        </w:rPr>
        <w:t>2029 годов во всех шести регионах.</w:t>
      </w:r>
    </w:p>
    <w:p w14:paraId="2B0AEE6E" w14:textId="77777777" w:rsidR="00A971FB" w:rsidRPr="006D37E9" w:rsidRDefault="00A971FB" w:rsidP="00A971FB">
      <w:pPr>
        <w:tabs>
          <w:tab w:val="clear" w:pos="567"/>
          <w:tab w:val="clear" w:pos="1134"/>
          <w:tab w:val="clear" w:pos="1701"/>
          <w:tab w:val="clear" w:pos="2268"/>
          <w:tab w:val="clear" w:pos="2835"/>
        </w:tabs>
        <w:rPr>
          <w:rFonts w:eastAsia="SimSun"/>
          <w:lang w:val="ru-RU"/>
        </w:rPr>
      </w:pPr>
      <w:r w:rsidRPr="006D37E9">
        <w:rPr>
          <w:rFonts w:eastAsia="SimSun"/>
          <w:lang w:val="ru-RU"/>
        </w:rPr>
        <w:t>1.2</w:t>
      </w:r>
      <w:r w:rsidRPr="006D37E9">
        <w:rPr>
          <w:rFonts w:eastAsia="SimSun"/>
          <w:lang w:val="ru-RU"/>
        </w:rPr>
        <w:tab/>
        <w:t xml:space="preserve">В Резолюции 25 (Пересм. Бухарест, 2022 г.) подчеркивается важнейшая роль региональных и зональных отделений МСЭ в укреплении взаимодействия Союза со своими Членами. Эти отделения служат каналом осуществления программ, проектов и видов деятельности, распространения информации о работе Союза, развития более тесных связей с региональными и субрегиональными организациями электросвязи и организациями системы Организации Объединенных Наций и оказания технической помощи странам, в том числе наименее развитым странам (НРС), развивающимся странам, не имеющим выхода к морю (ЛЛДС), и малым островным развивающимся государствам (СИДС), имеющим особые потребности. </w:t>
      </w:r>
    </w:p>
    <w:p w14:paraId="5D69B0D3" w14:textId="77777777" w:rsidR="00A971FB" w:rsidRPr="006D37E9" w:rsidRDefault="00A971FB" w:rsidP="00A971FB">
      <w:pPr>
        <w:tabs>
          <w:tab w:val="clear" w:pos="567"/>
          <w:tab w:val="clear" w:pos="1134"/>
          <w:tab w:val="clear" w:pos="1701"/>
          <w:tab w:val="clear" w:pos="2268"/>
          <w:tab w:val="clear" w:pos="2835"/>
        </w:tabs>
        <w:rPr>
          <w:rFonts w:eastAsia="SimSun"/>
          <w:lang w:val="ru-RU"/>
        </w:rPr>
      </w:pPr>
      <w:r w:rsidRPr="006D37E9">
        <w:rPr>
          <w:rFonts w:eastAsia="SimSun"/>
          <w:lang w:val="ru-RU"/>
        </w:rPr>
        <w:t>1.3</w:t>
      </w:r>
      <w:r w:rsidRPr="006D37E9">
        <w:rPr>
          <w:rFonts w:eastAsia="SimSun"/>
          <w:lang w:val="ru-RU"/>
        </w:rPr>
        <w:tab/>
        <w:t>В настоящем отчете представлена информация об осуществлении региональными и зональными отделениями МСЭ видов деятельности на местах, относящихся к трем Секторам Союза.</w:t>
      </w:r>
    </w:p>
    <w:p w14:paraId="3AB177B4" w14:textId="77777777" w:rsidR="00A971FB" w:rsidRPr="006D37E9" w:rsidRDefault="00A971FB" w:rsidP="00A971FB">
      <w:pPr>
        <w:pStyle w:val="Heading1"/>
        <w:tabs>
          <w:tab w:val="clear" w:pos="567"/>
          <w:tab w:val="clear" w:pos="1134"/>
          <w:tab w:val="clear" w:pos="1701"/>
          <w:tab w:val="clear" w:pos="2268"/>
          <w:tab w:val="clear" w:pos="2835"/>
        </w:tabs>
        <w:ind w:left="0" w:firstLine="0"/>
        <w:rPr>
          <w:rFonts w:eastAsia="SimSun"/>
          <w:lang w:val="ru-RU"/>
        </w:rPr>
      </w:pPr>
      <w:r w:rsidRPr="006D37E9">
        <w:rPr>
          <w:rFonts w:eastAsia="SimSun"/>
          <w:bCs/>
          <w:lang w:val="ru-RU"/>
        </w:rPr>
        <w:t>2</w:t>
      </w:r>
      <w:r w:rsidRPr="006D37E9">
        <w:rPr>
          <w:rFonts w:eastAsia="SimSun"/>
          <w:lang w:val="ru-RU"/>
        </w:rPr>
        <w:tab/>
      </w:r>
      <w:r w:rsidRPr="006D37E9">
        <w:rPr>
          <w:rFonts w:eastAsia="SimSun"/>
          <w:bCs/>
          <w:lang w:val="ru-RU"/>
        </w:rPr>
        <w:t>Деятельность, связанная с Сектором развития МСЭ и БРЭ</w:t>
      </w:r>
    </w:p>
    <w:p w14:paraId="454A0131" w14:textId="22D4459A" w:rsidR="00A971FB" w:rsidRPr="006D37E9" w:rsidRDefault="00A971FB" w:rsidP="00A971FB">
      <w:pPr>
        <w:tabs>
          <w:tab w:val="clear" w:pos="567"/>
          <w:tab w:val="clear" w:pos="1134"/>
          <w:tab w:val="clear" w:pos="1701"/>
          <w:tab w:val="clear" w:pos="2268"/>
          <w:tab w:val="clear" w:pos="2835"/>
        </w:tabs>
        <w:rPr>
          <w:rFonts w:eastAsiaTheme="minorEastAsia" w:cstheme="minorBidi"/>
          <w:lang w:val="ru-RU"/>
        </w:rPr>
      </w:pPr>
      <w:r w:rsidRPr="006D37E9">
        <w:rPr>
          <w:rFonts w:eastAsiaTheme="minorEastAsia" w:cstheme="minorBidi"/>
          <w:lang w:val="ru-RU"/>
        </w:rPr>
        <w:t xml:space="preserve">Бюро развития электросвязи (БРЭ) в тесном сотрудничестве с Бюро радиосвязи (БР), Бюро стандартизации (БСЭ) и Генеральным секретариатом продолжает активно укреплять региональное присутствие МСЭ. Региональные и зональные отделения по-прежнему играют важную роль, выступая в качестве первого контактного звена МСЭ при взаимодействии с местными заинтересованными сторонами и органами власти. Подробный отчет о выполнении Кигалийского плана действий (КПД), вкладе МСЭ-D в Стратегический план МСЭ и реализации региональных инициатив представлен в Документе </w:t>
      </w:r>
      <w:hyperlink r:id="rId67">
        <w:r w:rsidRPr="006D37E9">
          <w:rPr>
            <w:rStyle w:val="Hyperlink"/>
            <w:rFonts w:eastAsiaTheme="minorEastAsia" w:cstheme="minorBidi"/>
            <w:lang w:val="ru-RU"/>
          </w:rPr>
          <w:t>WTDC-25/2</w:t>
        </w:r>
      </w:hyperlink>
      <w:r w:rsidRPr="006D37E9">
        <w:rPr>
          <w:rFonts w:eastAsiaTheme="minorEastAsia" w:cstheme="minorBidi"/>
          <w:lang w:val="ru-RU"/>
        </w:rPr>
        <w:t>.</w:t>
      </w:r>
      <w:hyperlink r:id="rId68"/>
    </w:p>
    <w:p w14:paraId="431C959C" w14:textId="77777777" w:rsidR="00A971FB" w:rsidRPr="006D37E9" w:rsidRDefault="00A971FB" w:rsidP="00A971FB">
      <w:pPr>
        <w:pStyle w:val="Heading2"/>
        <w:tabs>
          <w:tab w:val="clear" w:pos="567"/>
          <w:tab w:val="clear" w:pos="1134"/>
          <w:tab w:val="clear" w:pos="1701"/>
          <w:tab w:val="clear" w:pos="2268"/>
          <w:tab w:val="clear" w:pos="2835"/>
        </w:tabs>
        <w:ind w:left="0" w:firstLine="0"/>
        <w:rPr>
          <w:rFonts w:eastAsia="SimSun"/>
          <w:lang w:val="ru-RU"/>
        </w:rPr>
      </w:pPr>
      <w:r w:rsidRPr="006D37E9">
        <w:rPr>
          <w:rFonts w:eastAsia="SimSun"/>
          <w:bCs/>
          <w:lang w:val="ru-RU"/>
        </w:rPr>
        <w:t>2.1</w:t>
      </w:r>
      <w:r w:rsidRPr="006D37E9">
        <w:rPr>
          <w:rFonts w:eastAsia="SimSun"/>
          <w:lang w:val="ru-RU"/>
        </w:rPr>
        <w:tab/>
      </w:r>
      <w:r w:rsidRPr="006D37E9">
        <w:rPr>
          <w:rFonts w:eastAsia="SimSun"/>
          <w:bCs/>
          <w:lang w:val="ru-RU"/>
        </w:rPr>
        <w:t>Региональные форумы по вопросам развития (РФР)</w:t>
      </w:r>
    </w:p>
    <w:p w14:paraId="3AA44F39" w14:textId="77777777" w:rsidR="00A971FB" w:rsidRPr="006D37E9" w:rsidRDefault="00A971FB" w:rsidP="00A971FB">
      <w:pPr>
        <w:tabs>
          <w:tab w:val="clear" w:pos="567"/>
          <w:tab w:val="clear" w:pos="1134"/>
          <w:tab w:val="clear" w:pos="1701"/>
          <w:tab w:val="clear" w:pos="2268"/>
          <w:tab w:val="clear" w:pos="2835"/>
        </w:tabs>
        <w:rPr>
          <w:rFonts w:eastAsia="SimSun"/>
          <w:lang w:val="ru-RU"/>
        </w:rPr>
      </w:pPr>
      <w:r w:rsidRPr="006D37E9">
        <w:rPr>
          <w:rFonts w:eastAsia="SimSun"/>
          <w:lang w:val="ru-RU"/>
        </w:rPr>
        <w:t>2.1.1</w:t>
      </w:r>
      <w:r w:rsidRPr="006D37E9">
        <w:rPr>
          <w:rFonts w:eastAsia="SimSun"/>
          <w:lang w:val="ru-RU"/>
        </w:rPr>
        <w:tab/>
        <w:t xml:space="preserve">В период с февраля по апрель 2025 года БРЭ организовало серию из шести РФР, приуроченных к региональным подготовительным собраниям (РПС) МСЭ к ВКРЭ-25, как показано в Таблице 1, ниже: </w:t>
      </w:r>
    </w:p>
    <w:p w14:paraId="4C801778" w14:textId="77777777" w:rsidR="00A971FB" w:rsidRPr="006D37E9" w:rsidRDefault="00A971FB" w:rsidP="00A971FB">
      <w:pPr>
        <w:pStyle w:val="TableNo"/>
        <w:rPr>
          <w:lang w:val="ru-RU"/>
        </w:rPr>
      </w:pPr>
      <w:r w:rsidRPr="006D37E9">
        <w:rPr>
          <w:lang w:val="ru-RU"/>
        </w:rPr>
        <w:lastRenderedPageBreak/>
        <w:t>ТАБЛИЦА 1</w:t>
      </w:r>
    </w:p>
    <w:p w14:paraId="691147A9" w14:textId="77777777" w:rsidR="00A971FB" w:rsidRPr="006D37E9" w:rsidRDefault="00A971FB" w:rsidP="00A971FB">
      <w:pPr>
        <w:pStyle w:val="Tabletitle"/>
        <w:rPr>
          <w:lang w:val="ru-RU"/>
        </w:rPr>
      </w:pPr>
      <w:r w:rsidRPr="006D37E9">
        <w:rPr>
          <w:bCs/>
          <w:lang w:val="ru-RU"/>
        </w:rPr>
        <w:t>Даты и место проведения РФР, организованных в 2025 году</w:t>
      </w:r>
    </w:p>
    <w:tbl>
      <w:tblPr>
        <w:tblStyle w:val="TableGrid"/>
        <w:tblW w:w="0" w:type="auto"/>
        <w:jc w:val="center"/>
        <w:tblLayout w:type="fixed"/>
        <w:tblCellMar>
          <w:left w:w="28" w:type="dxa"/>
          <w:right w:w="28" w:type="dxa"/>
        </w:tblCellMar>
        <w:tblLook w:val="04A0" w:firstRow="1" w:lastRow="0" w:firstColumn="1" w:lastColumn="0" w:noHBand="0" w:noVBand="1"/>
      </w:tblPr>
      <w:tblGrid>
        <w:gridCol w:w="1271"/>
        <w:gridCol w:w="2268"/>
        <w:gridCol w:w="2486"/>
        <w:gridCol w:w="2700"/>
      </w:tblGrid>
      <w:tr w:rsidR="00A971FB" w:rsidRPr="006D37E9" w14:paraId="081E54D7" w14:textId="77777777" w:rsidTr="00932679">
        <w:trPr>
          <w:cantSplit/>
          <w:tblHeader/>
          <w:jc w:val="center"/>
        </w:trPr>
        <w:tc>
          <w:tcPr>
            <w:tcW w:w="1271" w:type="dxa"/>
            <w:vAlign w:val="center"/>
          </w:tcPr>
          <w:p w14:paraId="56F6FBE7" w14:textId="77777777" w:rsidR="00A971FB" w:rsidRPr="006D37E9" w:rsidRDefault="00A971FB" w:rsidP="0081297C">
            <w:pPr>
              <w:pStyle w:val="Tablehead"/>
              <w:rPr>
                <w:lang w:val="ru-RU"/>
              </w:rPr>
            </w:pPr>
            <w:r w:rsidRPr="006D37E9">
              <w:rPr>
                <w:bCs/>
                <w:color w:val="000000"/>
                <w:lang w:val="ru-RU"/>
              </w:rPr>
              <w:t>Регион</w:t>
            </w:r>
          </w:p>
        </w:tc>
        <w:tc>
          <w:tcPr>
            <w:tcW w:w="2268" w:type="dxa"/>
            <w:vAlign w:val="center"/>
          </w:tcPr>
          <w:p w14:paraId="5C2AC121" w14:textId="77777777" w:rsidR="00A971FB" w:rsidRPr="006D37E9" w:rsidRDefault="00A971FB" w:rsidP="0081297C">
            <w:pPr>
              <w:pStyle w:val="Tablehead"/>
              <w:rPr>
                <w:lang w:val="ru-RU"/>
              </w:rPr>
            </w:pPr>
            <w:r w:rsidRPr="006D37E9">
              <w:rPr>
                <w:bCs/>
                <w:color w:val="000000"/>
                <w:lang w:val="ru-RU"/>
              </w:rPr>
              <w:t>Даты</w:t>
            </w:r>
          </w:p>
        </w:tc>
        <w:tc>
          <w:tcPr>
            <w:tcW w:w="2486" w:type="dxa"/>
            <w:vAlign w:val="center"/>
          </w:tcPr>
          <w:p w14:paraId="6F4004A0" w14:textId="77777777" w:rsidR="00A971FB" w:rsidRPr="006D37E9" w:rsidRDefault="00A971FB" w:rsidP="0081297C">
            <w:pPr>
              <w:pStyle w:val="Tablehead"/>
              <w:rPr>
                <w:lang w:val="ru-RU"/>
              </w:rPr>
            </w:pPr>
            <w:r w:rsidRPr="006D37E9">
              <w:rPr>
                <w:bCs/>
                <w:color w:val="000000"/>
                <w:lang w:val="ru-RU"/>
              </w:rPr>
              <w:t>Город и принимающая страна</w:t>
            </w:r>
          </w:p>
        </w:tc>
        <w:tc>
          <w:tcPr>
            <w:tcW w:w="2700" w:type="dxa"/>
            <w:vAlign w:val="center"/>
          </w:tcPr>
          <w:p w14:paraId="05FE4EB6" w14:textId="77777777" w:rsidR="00A971FB" w:rsidRPr="006D37E9" w:rsidRDefault="00A971FB" w:rsidP="0081297C">
            <w:pPr>
              <w:pStyle w:val="Tablehead"/>
              <w:rPr>
                <w:lang w:val="ru-RU"/>
              </w:rPr>
            </w:pPr>
            <w:r w:rsidRPr="006D37E9">
              <w:rPr>
                <w:bCs/>
                <w:color w:val="000000"/>
                <w:lang w:val="ru-RU"/>
              </w:rPr>
              <w:t>Веб-сайт</w:t>
            </w:r>
          </w:p>
        </w:tc>
      </w:tr>
      <w:tr w:rsidR="00A971FB" w:rsidRPr="006D37E9" w14:paraId="2125902D" w14:textId="77777777" w:rsidTr="00932679">
        <w:trPr>
          <w:cantSplit/>
          <w:jc w:val="center"/>
        </w:trPr>
        <w:tc>
          <w:tcPr>
            <w:tcW w:w="1271" w:type="dxa"/>
          </w:tcPr>
          <w:p w14:paraId="0EA982D7" w14:textId="77777777" w:rsidR="00A971FB" w:rsidRPr="006D37E9" w:rsidRDefault="00A971FB" w:rsidP="00A971FB">
            <w:pPr>
              <w:pStyle w:val="Tabletext"/>
              <w:keepNext/>
              <w:jc w:val="center"/>
              <w:rPr>
                <w:lang w:val="ru-RU"/>
              </w:rPr>
            </w:pPr>
            <w:r w:rsidRPr="006D37E9">
              <w:rPr>
                <w:color w:val="000000"/>
                <w:lang w:val="ru-RU"/>
              </w:rPr>
              <w:t>РФР-АРБ</w:t>
            </w:r>
          </w:p>
        </w:tc>
        <w:tc>
          <w:tcPr>
            <w:tcW w:w="2268" w:type="dxa"/>
          </w:tcPr>
          <w:p w14:paraId="180D3791" w14:textId="3CED4E58" w:rsidR="00A971FB" w:rsidRPr="00932679" w:rsidRDefault="00A971FB" w:rsidP="00A971FB">
            <w:pPr>
              <w:pStyle w:val="Tabletext"/>
              <w:keepNext/>
              <w:jc w:val="center"/>
              <w:rPr>
                <w:lang w:val="ru-RU"/>
              </w:rPr>
            </w:pPr>
            <w:r w:rsidRPr="006D37E9">
              <w:rPr>
                <w:color w:val="000000"/>
                <w:lang w:val="ru-RU"/>
              </w:rPr>
              <w:t>3 февраля 2025 г</w:t>
            </w:r>
            <w:r w:rsidR="00932679">
              <w:rPr>
                <w:color w:val="000000"/>
                <w:lang w:val="ru-RU"/>
              </w:rPr>
              <w:t>.</w:t>
            </w:r>
          </w:p>
        </w:tc>
        <w:tc>
          <w:tcPr>
            <w:tcW w:w="2486" w:type="dxa"/>
          </w:tcPr>
          <w:p w14:paraId="4E1977C3" w14:textId="77777777" w:rsidR="00A971FB" w:rsidRPr="006D37E9" w:rsidRDefault="00A971FB" w:rsidP="00A971FB">
            <w:pPr>
              <w:pStyle w:val="Tabletext"/>
              <w:keepNext/>
              <w:rPr>
                <w:lang w:val="ru-RU"/>
              </w:rPr>
            </w:pPr>
            <w:r w:rsidRPr="006D37E9">
              <w:rPr>
                <w:color w:val="000000"/>
                <w:lang w:val="ru-RU"/>
              </w:rPr>
              <w:t>Амман, Иордания</w:t>
            </w:r>
          </w:p>
        </w:tc>
        <w:tc>
          <w:tcPr>
            <w:tcW w:w="2700" w:type="dxa"/>
          </w:tcPr>
          <w:p w14:paraId="4214559F" w14:textId="77777777" w:rsidR="00A971FB" w:rsidRPr="006D37E9" w:rsidRDefault="00A971FB" w:rsidP="00A971FB">
            <w:pPr>
              <w:pStyle w:val="Tabletext"/>
              <w:keepNext/>
              <w:rPr>
                <w:rStyle w:val="Hyperlink"/>
                <w:lang w:val="ru-RU"/>
              </w:rPr>
            </w:pPr>
            <w:hyperlink r:id="rId69" w:history="1">
              <w:r w:rsidRPr="006D37E9">
                <w:rPr>
                  <w:rStyle w:val="Hyperlink"/>
                  <w:lang w:val="ru-RU"/>
                </w:rPr>
                <w:t>Страница мероприятия</w:t>
              </w:r>
            </w:hyperlink>
          </w:p>
        </w:tc>
      </w:tr>
      <w:tr w:rsidR="00A971FB" w:rsidRPr="006D37E9" w14:paraId="18E98E9D" w14:textId="77777777" w:rsidTr="00932679">
        <w:trPr>
          <w:cantSplit/>
          <w:jc w:val="center"/>
        </w:trPr>
        <w:tc>
          <w:tcPr>
            <w:tcW w:w="1271" w:type="dxa"/>
          </w:tcPr>
          <w:p w14:paraId="3918D8E7" w14:textId="77777777" w:rsidR="00A971FB" w:rsidRPr="006D37E9" w:rsidRDefault="00A971FB" w:rsidP="0081297C">
            <w:pPr>
              <w:pStyle w:val="Tabletext"/>
              <w:jc w:val="center"/>
              <w:rPr>
                <w:lang w:val="ru-RU"/>
              </w:rPr>
            </w:pPr>
            <w:r w:rsidRPr="006D37E9">
              <w:rPr>
                <w:color w:val="000000"/>
                <w:lang w:val="ru-RU"/>
              </w:rPr>
              <w:t>РФР-ЕВР</w:t>
            </w:r>
          </w:p>
        </w:tc>
        <w:tc>
          <w:tcPr>
            <w:tcW w:w="2268" w:type="dxa"/>
          </w:tcPr>
          <w:p w14:paraId="0945E57F" w14:textId="0B35C181" w:rsidR="00A971FB" w:rsidRPr="006D37E9" w:rsidRDefault="00A971FB" w:rsidP="0081297C">
            <w:pPr>
              <w:pStyle w:val="Tabletext"/>
              <w:jc w:val="center"/>
              <w:rPr>
                <w:lang w:val="ru-RU"/>
              </w:rPr>
            </w:pPr>
            <w:r w:rsidRPr="006D37E9">
              <w:rPr>
                <w:color w:val="000000"/>
                <w:lang w:val="ru-RU"/>
              </w:rPr>
              <w:t>24 февраля 2025 г</w:t>
            </w:r>
            <w:r w:rsidR="00932679">
              <w:rPr>
                <w:color w:val="000000"/>
                <w:lang w:val="ru-RU"/>
              </w:rPr>
              <w:t>.</w:t>
            </w:r>
          </w:p>
        </w:tc>
        <w:tc>
          <w:tcPr>
            <w:tcW w:w="2486" w:type="dxa"/>
          </w:tcPr>
          <w:p w14:paraId="5981E8DD" w14:textId="77777777" w:rsidR="00A971FB" w:rsidRPr="006D37E9" w:rsidRDefault="00A971FB" w:rsidP="0081297C">
            <w:pPr>
              <w:pStyle w:val="Tabletext"/>
              <w:rPr>
                <w:lang w:val="ru-RU"/>
              </w:rPr>
            </w:pPr>
            <w:r w:rsidRPr="006D37E9">
              <w:rPr>
                <w:color w:val="000000"/>
                <w:lang w:val="ru-RU"/>
              </w:rPr>
              <w:t>Будапешт, Венгрия</w:t>
            </w:r>
          </w:p>
        </w:tc>
        <w:tc>
          <w:tcPr>
            <w:tcW w:w="2700" w:type="dxa"/>
          </w:tcPr>
          <w:p w14:paraId="67CF5B2C" w14:textId="77777777" w:rsidR="00A971FB" w:rsidRPr="006D37E9" w:rsidRDefault="00A971FB" w:rsidP="0081297C">
            <w:pPr>
              <w:pStyle w:val="Tabletext"/>
              <w:rPr>
                <w:rStyle w:val="Hyperlink"/>
                <w:lang w:val="ru-RU"/>
              </w:rPr>
            </w:pPr>
            <w:hyperlink r:id="rId70" w:history="1">
              <w:r w:rsidRPr="006D37E9">
                <w:rPr>
                  <w:rStyle w:val="Hyperlink"/>
                  <w:lang w:val="ru-RU"/>
                </w:rPr>
                <w:t>Страница мероприятия</w:t>
              </w:r>
            </w:hyperlink>
          </w:p>
        </w:tc>
      </w:tr>
      <w:tr w:rsidR="00A971FB" w:rsidRPr="006D37E9" w14:paraId="140D4322" w14:textId="77777777" w:rsidTr="00932679">
        <w:trPr>
          <w:cantSplit/>
          <w:jc w:val="center"/>
        </w:trPr>
        <w:tc>
          <w:tcPr>
            <w:tcW w:w="1271" w:type="dxa"/>
          </w:tcPr>
          <w:p w14:paraId="5310D887" w14:textId="77777777" w:rsidR="00A971FB" w:rsidRPr="006D37E9" w:rsidRDefault="00A971FB" w:rsidP="0081297C">
            <w:pPr>
              <w:pStyle w:val="Tabletext"/>
              <w:jc w:val="center"/>
              <w:rPr>
                <w:lang w:val="ru-RU"/>
              </w:rPr>
            </w:pPr>
            <w:r w:rsidRPr="006D37E9">
              <w:rPr>
                <w:color w:val="000000"/>
                <w:lang w:val="ru-RU"/>
              </w:rPr>
              <w:t>РФР-АТР</w:t>
            </w:r>
          </w:p>
        </w:tc>
        <w:tc>
          <w:tcPr>
            <w:tcW w:w="2268" w:type="dxa"/>
          </w:tcPr>
          <w:p w14:paraId="484F956C" w14:textId="3481368D" w:rsidR="00A971FB" w:rsidRPr="006D37E9" w:rsidRDefault="00A971FB" w:rsidP="0081297C">
            <w:pPr>
              <w:pStyle w:val="Tabletext"/>
              <w:jc w:val="center"/>
              <w:rPr>
                <w:lang w:val="ru-RU"/>
              </w:rPr>
            </w:pPr>
            <w:r w:rsidRPr="006D37E9">
              <w:rPr>
                <w:color w:val="000000"/>
                <w:lang w:val="ru-RU"/>
              </w:rPr>
              <w:t>19 марта 2025 г</w:t>
            </w:r>
            <w:r w:rsidR="00932679">
              <w:rPr>
                <w:color w:val="000000"/>
                <w:lang w:val="ru-RU"/>
              </w:rPr>
              <w:t>.</w:t>
            </w:r>
          </w:p>
        </w:tc>
        <w:tc>
          <w:tcPr>
            <w:tcW w:w="2486" w:type="dxa"/>
          </w:tcPr>
          <w:p w14:paraId="30243D08" w14:textId="77777777" w:rsidR="00A971FB" w:rsidRPr="006D37E9" w:rsidRDefault="00A971FB" w:rsidP="0081297C">
            <w:pPr>
              <w:pStyle w:val="Tabletext"/>
              <w:rPr>
                <w:lang w:val="ru-RU"/>
              </w:rPr>
            </w:pPr>
            <w:r w:rsidRPr="006D37E9">
              <w:rPr>
                <w:color w:val="000000"/>
                <w:lang w:val="ru-RU"/>
              </w:rPr>
              <w:t>Бангкок, Таиланд</w:t>
            </w:r>
          </w:p>
        </w:tc>
        <w:tc>
          <w:tcPr>
            <w:tcW w:w="2700" w:type="dxa"/>
          </w:tcPr>
          <w:p w14:paraId="79462BDA" w14:textId="77777777" w:rsidR="00A971FB" w:rsidRPr="006D37E9" w:rsidRDefault="00A971FB" w:rsidP="0081297C">
            <w:pPr>
              <w:pStyle w:val="Tabletext"/>
              <w:rPr>
                <w:rStyle w:val="Hyperlink"/>
                <w:lang w:val="ru-RU"/>
              </w:rPr>
            </w:pPr>
            <w:hyperlink r:id="rId71" w:history="1">
              <w:r w:rsidRPr="006D37E9">
                <w:rPr>
                  <w:rStyle w:val="Hyperlink"/>
                  <w:lang w:val="ru-RU"/>
                </w:rPr>
                <w:t>Страница мероприятия</w:t>
              </w:r>
            </w:hyperlink>
          </w:p>
        </w:tc>
      </w:tr>
      <w:tr w:rsidR="00A971FB" w:rsidRPr="006D37E9" w14:paraId="4623123F" w14:textId="77777777" w:rsidTr="00932679">
        <w:trPr>
          <w:cantSplit/>
          <w:jc w:val="center"/>
        </w:trPr>
        <w:tc>
          <w:tcPr>
            <w:tcW w:w="1271" w:type="dxa"/>
          </w:tcPr>
          <w:p w14:paraId="5BD5296B" w14:textId="77777777" w:rsidR="00A971FB" w:rsidRPr="006D37E9" w:rsidRDefault="00A971FB" w:rsidP="0081297C">
            <w:pPr>
              <w:pStyle w:val="Tabletext"/>
              <w:jc w:val="center"/>
              <w:rPr>
                <w:lang w:val="ru-RU"/>
              </w:rPr>
            </w:pPr>
            <w:r w:rsidRPr="006D37E9">
              <w:rPr>
                <w:color w:val="000000"/>
                <w:lang w:val="ru-RU"/>
              </w:rPr>
              <w:t>РФР-АМР</w:t>
            </w:r>
          </w:p>
        </w:tc>
        <w:tc>
          <w:tcPr>
            <w:tcW w:w="2268" w:type="dxa"/>
          </w:tcPr>
          <w:p w14:paraId="1BA2E54F" w14:textId="69A4905D" w:rsidR="00A971FB" w:rsidRPr="006D37E9" w:rsidRDefault="00A971FB" w:rsidP="0081297C">
            <w:pPr>
              <w:pStyle w:val="Tabletext"/>
              <w:jc w:val="center"/>
              <w:rPr>
                <w:lang w:val="ru-RU"/>
              </w:rPr>
            </w:pPr>
            <w:r w:rsidRPr="006D37E9">
              <w:rPr>
                <w:color w:val="000000"/>
                <w:lang w:val="ru-RU"/>
              </w:rPr>
              <w:t>31 марта 2025 г</w:t>
            </w:r>
            <w:r w:rsidR="00932679">
              <w:rPr>
                <w:color w:val="000000"/>
                <w:lang w:val="ru-RU"/>
              </w:rPr>
              <w:t>.</w:t>
            </w:r>
          </w:p>
        </w:tc>
        <w:tc>
          <w:tcPr>
            <w:tcW w:w="2486" w:type="dxa"/>
          </w:tcPr>
          <w:p w14:paraId="5343CFB4" w14:textId="77777777" w:rsidR="00A971FB" w:rsidRPr="006D37E9" w:rsidRDefault="00A971FB" w:rsidP="0081297C">
            <w:pPr>
              <w:pStyle w:val="Tabletext"/>
              <w:rPr>
                <w:lang w:val="ru-RU"/>
              </w:rPr>
            </w:pPr>
            <w:r w:rsidRPr="006D37E9">
              <w:rPr>
                <w:color w:val="000000"/>
                <w:lang w:val="ru-RU"/>
              </w:rPr>
              <w:t>Асунсьон, Парагвай</w:t>
            </w:r>
          </w:p>
        </w:tc>
        <w:tc>
          <w:tcPr>
            <w:tcW w:w="2700" w:type="dxa"/>
          </w:tcPr>
          <w:p w14:paraId="6B841B95" w14:textId="77777777" w:rsidR="00A971FB" w:rsidRPr="006D37E9" w:rsidRDefault="00A971FB" w:rsidP="0081297C">
            <w:pPr>
              <w:pStyle w:val="Tabletext"/>
              <w:rPr>
                <w:rStyle w:val="Hyperlink"/>
                <w:lang w:val="ru-RU"/>
              </w:rPr>
            </w:pPr>
            <w:hyperlink r:id="rId72" w:history="1">
              <w:r w:rsidRPr="006D37E9">
                <w:rPr>
                  <w:rStyle w:val="Hyperlink"/>
                  <w:lang w:val="ru-RU"/>
                </w:rPr>
                <w:t>Страница мероприятия</w:t>
              </w:r>
            </w:hyperlink>
          </w:p>
        </w:tc>
      </w:tr>
      <w:tr w:rsidR="00A971FB" w:rsidRPr="006D37E9" w14:paraId="3E295766" w14:textId="77777777" w:rsidTr="00932679">
        <w:trPr>
          <w:cantSplit/>
          <w:jc w:val="center"/>
        </w:trPr>
        <w:tc>
          <w:tcPr>
            <w:tcW w:w="1271" w:type="dxa"/>
          </w:tcPr>
          <w:p w14:paraId="4A7FE31D" w14:textId="77777777" w:rsidR="00A971FB" w:rsidRPr="006D37E9" w:rsidRDefault="00A971FB" w:rsidP="0081297C">
            <w:pPr>
              <w:pStyle w:val="Tabletext"/>
              <w:jc w:val="center"/>
              <w:rPr>
                <w:lang w:val="ru-RU"/>
              </w:rPr>
            </w:pPr>
            <w:r w:rsidRPr="006D37E9">
              <w:rPr>
                <w:color w:val="000000"/>
                <w:lang w:val="ru-RU"/>
              </w:rPr>
              <w:t>РФР-АФР</w:t>
            </w:r>
          </w:p>
        </w:tc>
        <w:tc>
          <w:tcPr>
            <w:tcW w:w="2268" w:type="dxa"/>
          </w:tcPr>
          <w:p w14:paraId="27389C6A" w14:textId="4F7152D4" w:rsidR="00A971FB" w:rsidRPr="006D37E9" w:rsidRDefault="00A971FB" w:rsidP="0081297C">
            <w:pPr>
              <w:pStyle w:val="Tabletext"/>
              <w:jc w:val="center"/>
              <w:rPr>
                <w:lang w:val="ru-RU"/>
              </w:rPr>
            </w:pPr>
            <w:r w:rsidRPr="006D37E9">
              <w:rPr>
                <w:color w:val="000000"/>
                <w:lang w:val="ru-RU"/>
              </w:rPr>
              <w:t>7 апреля 2025 г</w:t>
            </w:r>
            <w:r w:rsidR="00932679">
              <w:rPr>
                <w:color w:val="000000"/>
                <w:lang w:val="ru-RU"/>
              </w:rPr>
              <w:t>.</w:t>
            </w:r>
          </w:p>
        </w:tc>
        <w:tc>
          <w:tcPr>
            <w:tcW w:w="2486" w:type="dxa"/>
          </w:tcPr>
          <w:p w14:paraId="41D54FEC" w14:textId="77777777" w:rsidR="00A971FB" w:rsidRPr="006D37E9" w:rsidRDefault="00A971FB" w:rsidP="0081297C">
            <w:pPr>
              <w:pStyle w:val="Tabletext"/>
              <w:rPr>
                <w:lang w:val="ru-RU"/>
              </w:rPr>
            </w:pPr>
            <w:r w:rsidRPr="006D37E9">
              <w:rPr>
                <w:color w:val="000000"/>
                <w:lang w:val="ru-RU"/>
              </w:rPr>
              <w:t>Найроби, Кения</w:t>
            </w:r>
          </w:p>
        </w:tc>
        <w:tc>
          <w:tcPr>
            <w:tcW w:w="2700" w:type="dxa"/>
          </w:tcPr>
          <w:p w14:paraId="2F67DA2A" w14:textId="77777777" w:rsidR="00A971FB" w:rsidRPr="006D37E9" w:rsidRDefault="00A971FB" w:rsidP="0081297C">
            <w:pPr>
              <w:pStyle w:val="Tabletext"/>
              <w:rPr>
                <w:rStyle w:val="Hyperlink"/>
                <w:lang w:val="ru-RU"/>
              </w:rPr>
            </w:pPr>
            <w:hyperlink r:id="rId73" w:history="1">
              <w:r w:rsidRPr="006D37E9">
                <w:rPr>
                  <w:rStyle w:val="Hyperlink"/>
                  <w:lang w:val="ru-RU"/>
                </w:rPr>
                <w:t>Страница мероприятия</w:t>
              </w:r>
            </w:hyperlink>
          </w:p>
        </w:tc>
      </w:tr>
      <w:tr w:rsidR="00A971FB" w:rsidRPr="006D37E9" w14:paraId="732EFEC6" w14:textId="77777777" w:rsidTr="00932679">
        <w:trPr>
          <w:cantSplit/>
          <w:jc w:val="center"/>
        </w:trPr>
        <w:tc>
          <w:tcPr>
            <w:tcW w:w="1271" w:type="dxa"/>
          </w:tcPr>
          <w:p w14:paraId="530AAB3C" w14:textId="77777777" w:rsidR="00A971FB" w:rsidRPr="006D37E9" w:rsidRDefault="00A971FB" w:rsidP="0081297C">
            <w:pPr>
              <w:pStyle w:val="Tabletext"/>
              <w:jc w:val="center"/>
              <w:rPr>
                <w:lang w:val="ru-RU"/>
              </w:rPr>
            </w:pPr>
            <w:r w:rsidRPr="006D37E9">
              <w:rPr>
                <w:color w:val="000000"/>
                <w:lang w:val="ru-RU"/>
              </w:rPr>
              <w:t>РФР-СНГ</w:t>
            </w:r>
          </w:p>
        </w:tc>
        <w:tc>
          <w:tcPr>
            <w:tcW w:w="2268" w:type="dxa"/>
          </w:tcPr>
          <w:p w14:paraId="5B580C10" w14:textId="5393919F" w:rsidR="00A971FB" w:rsidRPr="006D37E9" w:rsidRDefault="00A971FB" w:rsidP="0081297C">
            <w:pPr>
              <w:pStyle w:val="Tabletext"/>
              <w:jc w:val="center"/>
              <w:rPr>
                <w:lang w:val="ru-RU"/>
              </w:rPr>
            </w:pPr>
            <w:r w:rsidRPr="006D37E9">
              <w:rPr>
                <w:color w:val="000000"/>
                <w:lang w:val="ru-RU"/>
              </w:rPr>
              <w:t>23 апреля 2025 г</w:t>
            </w:r>
            <w:r w:rsidR="00932679">
              <w:rPr>
                <w:color w:val="000000"/>
                <w:lang w:val="ru-RU"/>
              </w:rPr>
              <w:t>.</w:t>
            </w:r>
          </w:p>
        </w:tc>
        <w:tc>
          <w:tcPr>
            <w:tcW w:w="2486" w:type="dxa"/>
          </w:tcPr>
          <w:p w14:paraId="5BD3B7E6" w14:textId="77777777" w:rsidR="00A971FB" w:rsidRPr="006D37E9" w:rsidRDefault="00A971FB" w:rsidP="0081297C">
            <w:pPr>
              <w:pStyle w:val="Tabletext"/>
              <w:rPr>
                <w:lang w:val="ru-RU"/>
              </w:rPr>
            </w:pPr>
            <w:r w:rsidRPr="006D37E9">
              <w:rPr>
                <w:color w:val="000000"/>
                <w:lang w:val="ru-RU"/>
              </w:rPr>
              <w:t>Бишкек, Кыргызстан</w:t>
            </w:r>
          </w:p>
        </w:tc>
        <w:tc>
          <w:tcPr>
            <w:tcW w:w="2700" w:type="dxa"/>
          </w:tcPr>
          <w:p w14:paraId="6442D695" w14:textId="77777777" w:rsidR="00A971FB" w:rsidRPr="006D37E9" w:rsidRDefault="00A971FB" w:rsidP="0081297C">
            <w:pPr>
              <w:pStyle w:val="Tabletext"/>
              <w:rPr>
                <w:rStyle w:val="Hyperlink"/>
                <w:lang w:val="ru-RU"/>
              </w:rPr>
            </w:pPr>
            <w:hyperlink r:id="rId74" w:history="1">
              <w:r w:rsidRPr="006D37E9">
                <w:rPr>
                  <w:rStyle w:val="Hyperlink"/>
                  <w:lang w:val="ru-RU"/>
                </w:rPr>
                <w:t>Страница мероприятия</w:t>
              </w:r>
            </w:hyperlink>
          </w:p>
        </w:tc>
      </w:tr>
    </w:tbl>
    <w:p w14:paraId="6EF3BD39" w14:textId="77777777" w:rsidR="00A971FB" w:rsidRPr="006D37E9" w:rsidRDefault="00A971FB" w:rsidP="00A971FB">
      <w:pPr>
        <w:tabs>
          <w:tab w:val="clear" w:pos="567"/>
          <w:tab w:val="clear" w:pos="1134"/>
          <w:tab w:val="clear" w:pos="1701"/>
          <w:tab w:val="clear" w:pos="2268"/>
          <w:tab w:val="clear" w:pos="2835"/>
        </w:tabs>
        <w:overflowPunct/>
        <w:autoSpaceDE/>
        <w:autoSpaceDN/>
        <w:adjustRightInd/>
        <w:textAlignment w:val="auto"/>
        <w:rPr>
          <w:rFonts w:asciiTheme="minorHAnsi" w:eastAsia="Aptos" w:hAnsiTheme="minorHAnsi" w:cstheme="minorBidi"/>
          <w:spacing w:val="-2"/>
          <w:lang w:val="ru-RU"/>
        </w:rPr>
      </w:pPr>
      <w:r w:rsidRPr="006D37E9">
        <w:rPr>
          <w:rFonts w:asciiTheme="minorHAnsi" w:eastAsia="Aptos" w:hAnsiTheme="minorHAnsi" w:cstheme="minorBidi"/>
          <w:lang w:val="ru-RU"/>
        </w:rPr>
        <w:t>2.1.2</w:t>
      </w:r>
      <w:r w:rsidRPr="006D37E9">
        <w:rPr>
          <w:rFonts w:asciiTheme="minorHAnsi" w:eastAsia="Aptos" w:hAnsiTheme="minorHAnsi" w:cstheme="minorBidi"/>
          <w:lang w:val="ru-RU"/>
        </w:rPr>
        <w:tab/>
        <w:t xml:space="preserve">РФР способствуют налаживанию многосторонних партнерских отношений между Государствами-Членами, компаниями отрасли, академическими организациями, гражданским обществом, учреждениями системы ООН, а также региональными и международными агентствами и организациями, занимающимися вопросами развития, по конкретным региональным вопросам в сфере электросвязи и ИКТ. Эти форумы позволили вести диалог на высоком уровне между БРЭ, Государствами-Членами и Членами Сектора МСЭ-D, в первую очередь по вопросам реализации региональных инициатив и КПД. </w:t>
      </w:r>
    </w:p>
    <w:p w14:paraId="17AF1A49" w14:textId="77777777" w:rsidR="00A971FB" w:rsidRPr="006D37E9" w:rsidRDefault="00A971FB" w:rsidP="00A971FB">
      <w:pPr>
        <w:tabs>
          <w:tab w:val="clear" w:pos="567"/>
          <w:tab w:val="clear" w:pos="1134"/>
          <w:tab w:val="clear" w:pos="1701"/>
          <w:tab w:val="clear" w:pos="2268"/>
          <w:tab w:val="clear" w:pos="2835"/>
        </w:tabs>
        <w:overflowPunct/>
        <w:autoSpaceDE/>
        <w:autoSpaceDN/>
        <w:adjustRightInd/>
        <w:textAlignment w:val="auto"/>
        <w:rPr>
          <w:lang w:val="ru-RU"/>
        </w:rPr>
      </w:pPr>
      <w:r w:rsidRPr="006D37E9">
        <w:rPr>
          <w:rFonts w:asciiTheme="minorHAnsi" w:eastAsia="Aptos" w:hAnsiTheme="minorHAnsi" w:cstheme="minorBidi"/>
          <w:lang w:val="ru-RU"/>
        </w:rPr>
        <w:t>2.1.3</w:t>
      </w:r>
      <w:r w:rsidRPr="006D37E9">
        <w:rPr>
          <w:rFonts w:asciiTheme="minorHAnsi" w:eastAsia="Aptos" w:hAnsiTheme="minorHAnsi" w:cstheme="minorBidi"/>
          <w:lang w:val="ru-RU"/>
        </w:rPr>
        <w:tab/>
        <w:t>Предстоящие РФР, запланированные на 2026 год, показаны в Таблице 2, ниже. РФР играют положительную роль в реализации Бакинского плана действий (БПД) ВКРЭ-25 и служат площадкой для налаживания стратегического диалога и сотрудничества. Кроме того, проведение круглых столов по установлению контактов важно для создания устойчивых проектов, поиска подходящих партнеров и ресурсов, что позволяет добиться прогресса в осуществлении реальных мер в целях развития в регионе. Содействуя установлению таких партнерских отношений, РФР способствуют сопряжению инициатив с региональными приоритетами, а также долгосрочному росту и трансформации сектора ИКТ.</w:t>
      </w:r>
    </w:p>
    <w:p w14:paraId="33902F9F" w14:textId="77777777" w:rsidR="00A971FB" w:rsidRPr="006D37E9" w:rsidRDefault="00A971FB" w:rsidP="00A971FB">
      <w:pPr>
        <w:pStyle w:val="TableNo"/>
        <w:rPr>
          <w:lang w:val="ru-RU"/>
        </w:rPr>
      </w:pPr>
      <w:r w:rsidRPr="006D37E9">
        <w:rPr>
          <w:lang w:val="ru-RU"/>
        </w:rPr>
        <w:t>ТАБЛИЦА 2</w:t>
      </w:r>
    </w:p>
    <w:p w14:paraId="3D7FBD14" w14:textId="77777777" w:rsidR="00A971FB" w:rsidRPr="006D37E9" w:rsidRDefault="00A971FB" w:rsidP="00A971FB">
      <w:pPr>
        <w:pStyle w:val="Tabletitle"/>
        <w:rPr>
          <w:lang w:val="ru-RU"/>
        </w:rPr>
      </w:pPr>
      <w:r w:rsidRPr="006D37E9">
        <w:rPr>
          <w:bCs/>
          <w:lang w:val="ru-RU"/>
        </w:rPr>
        <w:t>Даты и места проведения РФР в 2026 году</w:t>
      </w:r>
    </w:p>
    <w:tbl>
      <w:tblPr>
        <w:tblStyle w:val="TableGrid"/>
        <w:tblW w:w="0" w:type="auto"/>
        <w:jc w:val="center"/>
        <w:tblLayout w:type="fixed"/>
        <w:tblCellMar>
          <w:left w:w="28" w:type="dxa"/>
          <w:right w:w="28" w:type="dxa"/>
        </w:tblCellMar>
        <w:tblLook w:val="04A0" w:firstRow="1" w:lastRow="0" w:firstColumn="1" w:lastColumn="0" w:noHBand="0" w:noVBand="1"/>
      </w:tblPr>
      <w:tblGrid>
        <w:gridCol w:w="1838"/>
        <w:gridCol w:w="2693"/>
        <w:gridCol w:w="3261"/>
      </w:tblGrid>
      <w:tr w:rsidR="00A971FB" w:rsidRPr="006D37E9" w14:paraId="54D6F815" w14:textId="77777777" w:rsidTr="006D37E9">
        <w:trPr>
          <w:cantSplit/>
          <w:tblHeader/>
          <w:jc w:val="center"/>
        </w:trPr>
        <w:tc>
          <w:tcPr>
            <w:tcW w:w="1838" w:type="dxa"/>
            <w:vAlign w:val="center"/>
          </w:tcPr>
          <w:p w14:paraId="68858BB1" w14:textId="77777777" w:rsidR="00A971FB" w:rsidRPr="006D37E9" w:rsidRDefault="00A971FB" w:rsidP="006D37E9">
            <w:pPr>
              <w:pStyle w:val="Tablehead"/>
              <w:spacing w:before="80" w:after="80"/>
              <w:rPr>
                <w:rFonts w:eastAsia="SimSun"/>
                <w:lang w:val="ru-RU"/>
              </w:rPr>
            </w:pPr>
            <w:r w:rsidRPr="006D37E9">
              <w:rPr>
                <w:bCs/>
                <w:color w:val="000000"/>
                <w:lang w:val="ru-RU"/>
              </w:rPr>
              <w:t>Регион</w:t>
            </w:r>
          </w:p>
        </w:tc>
        <w:tc>
          <w:tcPr>
            <w:tcW w:w="2693" w:type="dxa"/>
            <w:vAlign w:val="center"/>
          </w:tcPr>
          <w:p w14:paraId="664D06ED" w14:textId="77777777" w:rsidR="00A971FB" w:rsidRPr="006D37E9" w:rsidRDefault="00A971FB" w:rsidP="006D37E9">
            <w:pPr>
              <w:pStyle w:val="Tablehead"/>
              <w:spacing w:before="80" w:after="80"/>
              <w:rPr>
                <w:rFonts w:eastAsia="SimSun"/>
                <w:lang w:val="ru-RU"/>
              </w:rPr>
            </w:pPr>
            <w:r w:rsidRPr="006D37E9">
              <w:rPr>
                <w:bCs/>
                <w:color w:val="000000"/>
                <w:lang w:val="ru-RU"/>
              </w:rPr>
              <w:t>Даты</w:t>
            </w:r>
          </w:p>
        </w:tc>
        <w:tc>
          <w:tcPr>
            <w:tcW w:w="3261" w:type="dxa"/>
            <w:vAlign w:val="center"/>
          </w:tcPr>
          <w:p w14:paraId="340F9514" w14:textId="77777777" w:rsidR="00A971FB" w:rsidRPr="006D37E9" w:rsidRDefault="00A971FB" w:rsidP="006D37E9">
            <w:pPr>
              <w:pStyle w:val="Tablehead"/>
              <w:spacing w:before="80" w:after="80"/>
              <w:rPr>
                <w:rFonts w:eastAsia="SimSun"/>
                <w:lang w:val="ru-RU"/>
              </w:rPr>
            </w:pPr>
            <w:r w:rsidRPr="006D37E9">
              <w:rPr>
                <w:bCs/>
                <w:color w:val="000000"/>
                <w:lang w:val="ru-RU"/>
              </w:rPr>
              <w:t>Город и принимающая страна</w:t>
            </w:r>
          </w:p>
        </w:tc>
      </w:tr>
      <w:tr w:rsidR="00A971FB" w:rsidRPr="006D37E9" w14:paraId="0860A4C8" w14:textId="77777777" w:rsidTr="006D37E9">
        <w:trPr>
          <w:cantSplit/>
          <w:jc w:val="center"/>
        </w:trPr>
        <w:tc>
          <w:tcPr>
            <w:tcW w:w="1838" w:type="dxa"/>
          </w:tcPr>
          <w:p w14:paraId="55F812F9" w14:textId="77777777" w:rsidR="00A971FB" w:rsidRPr="006D37E9" w:rsidRDefault="00A971FB" w:rsidP="006D37E9">
            <w:pPr>
              <w:pStyle w:val="Tabletext"/>
              <w:spacing w:before="40" w:after="40"/>
              <w:jc w:val="center"/>
              <w:rPr>
                <w:rFonts w:eastAsia="SimSun"/>
                <w:lang w:val="ru-RU"/>
              </w:rPr>
            </w:pPr>
            <w:r w:rsidRPr="006D37E9">
              <w:rPr>
                <w:color w:val="000000"/>
                <w:lang w:val="ru-RU"/>
              </w:rPr>
              <w:t>РФР-ЕВР</w:t>
            </w:r>
          </w:p>
        </w:tc>
        <w:tc>
          <w:tcPr>
            <w:tcW w:w="2693" w:type="dxa"/>
          </w:tcPr>
          <w:p w14:paraId="28FCB007" w14:textId="7B73B3E4" w:rsidR="00A971FB" w:rsidRPr="006D37E9" w:rsidRDefault="00A971FB" w:rsidP="006D37E9">
            <w:pPr>
              <w:pStyle w:val="Tabletext"/>
              <w:spacing w:before="40" w:after="40"/>
              <w:jc w:val="center"/>
              <w:rPr>
                <w:rFonts w:eastAsia="SimSun"/>
                <w:lang w:val="ru-RU"/>
              </w:rPr>
            </w:pPr>
            <w:r w:rsidRPr="006D37E9">
              <w:rPr>
                <w:color w:val="000000"/>
                <w:lang w:val="ru-RU"/>
              </w:rPr>
              <w:t>24 марта 2026 г</w:t>
            </w:r>
            <w:r w:rsidR="006D37E9" w:rsidRPr="006D37E9">
              <w:rPr>
                <w:color w:val="000000"/>
                <w:lang w:val="ru-RU"/>
              </w:rPr>
              <w:t>.</w:t>
            </w:r>
          </w:p>
        </w:tc>
        <w:tc>
          <w:tcPr>
            <w:tcW w:w="3261" w:type="dxa"/>
          </w:tcPr>
          <w:p w14:paraId="00F9C0A8" w14:textId="77777777" w:rsidR="00A971FB" w:rsidRPr="006D37E9" w:rsidRDefault="00A971FB" w:rsidP="006D37E9">
            <w:pPr>
              <w:pStyle w:val="Tabletext"/>
              <w:spacing w:before="40" w:after="40"/>
              <w:ind w:left="116"/>
              <w:rPr>
                <w:rFonts w:eastAsia="SimSun"/>
                <w:lang w:val="ru-RU"/>
              </w:rPr>
            </w:pPr>
            <w:r w:rsidRPr="006D37E9">
              <w:rPr>
                <w:color w:val="000000"/>
                <w:lang w:val="ru-RU"/>
              </w:rPr>
              <w:t>Прага, Чешская Республика</w:t>
            </w:r>
          </w:p>
        </w:tc>
      </w:tr>
      <w:tr w:rsidR="00A971FB" w:rsidRPr="006D37E9" w14:paraId="72158903" w14:textId="77777777" w:rsidTr="006D37E9">
        <w:trPr>
          <w:cantSplit/>
          <w:jc w:val="center"/>
        </w:trPr>
        <w:tc>
          <w:tcPr>
            <w:tcW w:w="1838" w:type="dxa"/>
          </w:tcPr>
          <w:p w14:paraId="7E9E4586" w14:textId="77777777" w:rsidR="00A971FB" w:rsidRPr="006D37E9" w:rsidRDefault="00A971FB" w:rsidP="006D37E9">
            <w:pPr>
              <w:pStyle w:val="Tabletext"/>
              <w:spacing w:before="40" w:after="40"/>
              <w:jc w:val="center"/>
              <w:rPr>
                <w:rFonts w:eastAsia="SimSun"/>
                <w:lang w:val="ru-RU"/>
              </w:rPr>
            </w:pPr>
            <w:r w:rsidRPr="006D37E9">
              <w:rPr>
                <w:color w:val="000000"/>
                <w:lang w:val="ru-RU"/>
              </w:rPr>
              <w:t>РФР-АФР</w:t>
            </w:r>
          </w:p>
        </w:tc>
        <w:tc>
          <w:tcPr>
            <w:tcW w:w="2693" w:type="dxa"/>
          </w:tcPr>
          <w:p w14:paraId="18DE2C37" w14:textId="5EFC0C65" w:rsidR="00A971FB" w:rsidRPr="006D37E9" w:rsidRDefault="00A971FB" w:rsidP="006D37E9">
            <w:pPr>
              <w:pStyle w:val="Tabletext"/>
              <w:spacing w:before="40" w:after="40"/>
              <w:jc w:val="center"/>
              <w:rPr>
                <w:rFonts w:eastAsia="SimSun"/>
                <w:lang w:val="ru-RU"/>
              </w:rPr>
            </w:pPr>
            <w:r w:rsidRPr="006D37E9">
              <w:rPr>
                <w:color w:val="000000"/>
                <w:lang w:val="ru-RU"/>
              </w:rPr>
              <w:t>25</w:t>
            </w:r>
            <w:r w:rsidR="006D37E9" w:rsidRPr="006D37E9">
              <w:rPr>
                <w:color w:val="000000"/>
                <w:lang w:val="ru-RU"/>
              </w:rPr>
              <w:t>−</w:t>
            </w:r>
            <w:r w:rsidRPr="006D37E9">
              <w:rPr>
                <w:color w:val="000000"/>
                <w:lang w:val="ru-RU"/>
              </w:rPr>
              <w:t>26 мая 2026 г</w:t>
            </w:r>
            <w:r w:rsidR="006D37E9" w:rsidRPr="006D37E9">
              <w:rPr>
                <w:color w:val="000000"/>
                <w:lang w:val="ru-RU"/>
              </w:rPr>
              <w:t>.</w:t>
            </w:r>
          </w:p>
        </w:tc>
        <w:tc>
          <w:tcPr>
            <w:tcW w:w="3261" w:type="dxa"/>
          </w:tcPr>
          <w:p w14:paraId="1E5305E3" w14:textId="77777777" w:rsidR="00A971FB" w:rsidRPr="006D37E9" w:rsidRDefault="00A971FB" w:rsidP="006D37E9">
            <w:pPr>
              <w:pStyle w:val="Tabletext"/>
              <w:spacing w:before="40" w:after="40"/>
              <w:ind w:left="116"/>
              <w:rPr>
                <w:rFonts w:eastAsia="SimSun"/>
                <w:lang w:val="ru-RU"/>
              </w:rPr>
            </w:pPr>
            <w:r w:rsidRPr="006D37E9">
              <w:rPr>
                <w:lang w:val="ru-RU"/>
              </w:rPr>
              <w:t>Виктория-Фоллз, Зимбабве</w:t>
            </w:r>
          </w:p>
        </w:tc>
      </w:tr>
      <w:tr w:rsidR="00A971FB" w:rsidRPr="006D37E9" w14:paraId="118953B7" w14:textId="77777777" w:rsidTr="006D37E9">
        <w:trPr>
          <w:cantSplit/>
          <w:jc w:val="center"/>
        </w:trPr>
        <w:tc>
          <w:tcPr>
            <w:tcW w:w="1838" w:type="dxa"/>
          </w:tcPr>
          <w:p w14:paraId="3F363718" w14:textId="77777777" w:rsidR="00A971FB" w:rsidRPr="006D37E9" w:rsidRDefault="00A971FB" w:rsidP="006D37E9">
            <w:pPr>
              <w:pStyle w:val="Tabletext"/>
              <w:spacing w:before="40" w:after="40"/>
              <w:jc w:val="center"/>
              <w:rPr>
                <w:rFonts w:eastAsia="SimSun"/>
                <w:lang w:val="ru-RU"/>
              </w:rPr>
            </w:pPr>
            <w:r w:rsidRPr="006D37E9">
              <w:rPr>
                <w:color w:val="000000"/>
                <w:lang w:val="ru-RU"/>
              </w:rPr>
              <w:t>РФР-АМР</w:t>
            </w:r>
          </w:p>
        </w:tc>
        <w:tc>
          <w:tcPr>
            <w:tcW w:w="2693" w:type="dxa"/>
          </w:tcPr>
          <w:p w14:paraId="1DEC6911" w14:textId="3D7FD103" w:rsidR="00A971FB" w:rsidRPr="006D37E9" w:rsidRDefault="00A971FB" w:rsidP="006D37E9">
            <w:pPr>
              <w:pStyle w:val="Tabletext"/>
              <w:spacing w:before="40" w:after="40"/>
              <w:jc w:val="center"/>
              <w:rPr>
                <w:lang w:val="ru-RU"/>
              </w:rPr>
            </w:pPr>
            <w:r w:rsidRPr="006D37E9">
              <w:rPr>
                <w:color w:val="000000"/>
                <w:lang w:val="ru-RU"/>
              </w:rPr>
              <w:t>16</w:t>
            </w:r>
            <w:r w:rsidR="006D37E9" w:rsidRPr="006D37E9">
              <w:rPr>
                <w:color w:val="000000"/>
                <w:lang w:val="ru-RU"/>
              </w:rPr>
              <w:t>−</w:t>
            </w:r>
            <w:r w:rsidRPr="006D37E9">
              <w:rPr>
                <w:color w:val="000000"/>
                <w:lang w:val="ru-RU"/>
              </w:rPr>
              <w:t>17 июня 2026 г</w:t>
            </w:r>
            <w:r w:rsidR="006D37E9" w:rsidRPr="006D37E9">
              <w:rPr>
                <w:color w:val="000000"/>
                <w:lang w:val="ru-RU"/>
              </w:rPr>
              <w:t>.</w:t>
            </w:r>
          </w:p>
        </w:tc>
        <w:tc>
          <w:tcPr>
            <w:tcW w:w="3261" w:type="dxa"/>
          </w:tcPr>
          <w:p w14:paraId="11876062" w14:textId="77777777" w:rsidR="00A971FB" w:rsidRPr="006D37E9" w:rsidRDefault="00A971FB" w:rsidP="006D37E9">
            <w:pPr>
              <w:pStyle w:val="Tabletext"/>
              <w:spacing w:before="40" w:after="40"/>
              <w:ind w:left="116"/>
              <w:rPr>
                <w:rFonts w:eastAsia="SimSun"/>
                <w:lang w:val="ru-RU"/>
              </w:rPr>
            </w:pPr>
            <w:r w:rsidRPr="006D37E9">
              <w:rPr>
                <w:color w:val="000000"/>
                <w:lang w:val="ru-RU"/>
              </w:rPr>
              <w:t>Картахена-де-Индиас, Колумбия</w:t>
            </w:r>
          </w:p>
        </w:tc>
      </w:tr>
      <w:tr w:rsidR="00A971FB" w:rsidRPr="006D37E9" w14:paraId="375BE1F2" w14:textId="77777777" w:rsidTr="006D37E9">
        <w:trPr>
          <w:cantSplit/>
          <w:jc w:val="center"/>
        </w:trPr>
        <w:tc>
          <w:tcPr>
            <w:tcW w:w="1838" w:type="dxa"/>
          </w:tcPr>
          <w:p w14:paraId="5C5D4B3A" w14:textId="77777777" w:rsidR="00A971FB" w:rsidRPr="006D37E9" w:rsidRDefault="00A971FB" w:rsidP="006D37E9">
            <w:pPr>
              <w:pStyle w:val="Tabletext"/>
              <w:spacing w:before="40" w:after="40"/>
              <w:jc w:val="center"/>
              <w:rPr>
                <w:rFonts w:eastAsia="SimSun"/>
                <w:lang w:val="ru-RU"/>
              </w:rPr>
            </w:pPr>
            <w:r w:rsidRPr="006D37E9">
              <w:rPr>
                <w:color w:val="000000"/>
                <w:lang w:val="ru-RU"/>
              </w:rPr>
              <w:t>РФР-АРБ</w:t>
            </w:r>
          </w:p>
        </w:tc>
        <w:tc>
          <w:tcPr>
            <w:tcW w:w="2693" w:type="dxa"/>
          </w:tcPr>
          <w:p w14:paraId="021BCF4F" w14:textId="7C8DE14C" w:rsidR="00A971FB" w:rsidRPr="006D37E9" w:rsidRDefault="00A971FB" w:rsidP="006D37E9">
            <w:pPr>
              <w:pStyle w:val="Tabletext"/>
              <w:spacing w:before="40" w:after="40"/>
              <w:jc w:val="center"/>
              <w:rPr>
                <w:rFonts w:eastAsia="SimSun"/>
                <w:lang w:val="ru-RU"/>
              </w:rPr>
            </w:pPr>
            <w:r w:rsidRPr="006D37E9">
              <w:rPr>
                <w:color w:val="000000"/>
                <w:lang w:val="ru-RU"/>
              </w:rPr>
              <w:t>1</w:t>
            </w:r>
            <w:r w:rsidR="006D37E9" w:rsidRPr="006D37E9">
              <w:rPr>
                <w:color w:val="000000"/>
                <w:lang w:val="ru-RU"/>
              </w:rPr>
              <w:t>−</w:t>
            </w:r>
            <w:r w:rsidRPr="006D37E9">
              <w:rPr>
                <w:color w:val="000000"/>
                <w:lang w:val="ru-RU"/>
              </w:rPr>
              <w:t>2 июля 2026 г</w:t>
            </w:r>
            <w:r w:rsidR="006D37E9" w:rsidRPr="006D37E9">
              <w:rPr>
                <w:color w:val="000000"/>
                <w:lang w:val="ru-RU"/>
              </w:rPr>
              <w:t>.</w:t>
            </w:r>
          </w:p>
        </w:tc>
        <w:tc>
          <w:tcPr>
            <w:tcW w:w="3261" w:type="dxa"/>
          </w:tcPr>
          <w:p w14:paraId="7FECB800" w14:textId="77777777" w:rsidR="00A971FB" w:rsidRPr="006D37E9" w:rsidRDefault="00A971FB" w:rsidP="006D37E9">
            <w:pPr>
              <w:pStyle w:val="Tabletext"/>
              <w:spacing w:before="40" w:after="40"/>
              <w:ind w:left="116"/>
              <w:rPr>
                <w:rFonts w:eastAsia="SimSun"/>
                <w:lang w:val="ru-RU"/>
              </w:rPr>
            </w:pPr>
            <w:r w:rsidRPr="006D37E9">
              <w:rPr>
                <w:i/>
                <w:iCs/>
                <w:color w:val="000000"/>
                <w:lang w:val="ru-RU"/>
              </w:rPr>
              <w:t>Подлежит определению</w:t>
            </w:r>
          </w:p>
        </w:tc>
      </w:tr>
      <w:tr w:rsidR="00A971FB" w:rsidRPr="006D37E9" w14:paraId="18FE4973" w14:textId="77777777" w:rsidTr="006D37E9">
        <w:trPr>
          <w:cantSplit/>
          <w:jc w:val="center"/>
        </w:trPr>
        <w:tc>
          <w:tcPr>
            <w:tcW w:w="1838" w:type="dxa"/>
          </w:tcPr>
          <w:p w14:paraId="5AF7DAC0" w14:textId="77777777" w:rsidR="00A971FB" w:rsidRPr="006D37E9" w:rsidRDefault="00A971FB" w:rsidP="006D37E9">
            <w:pPr>
              <w:pStyle w:val="Tabletext"/>
              <w:spacing w:before="40" w:after="40"/>
              <w:jc w:val="center"/>
              <w:rPr>
                <w:lang w:val="ru-RU"/>
              </w:rPr>
            </w:pPr>
            <w:r w:rsidRPr="006D37E9">
              <w:rPr>
                <w:color w:val="000000"/>
                <w:lang w:val="ru-RU"/>
              </w:rPr>
              <w:t>РФР-АТР</w:t>
            </w:r>
          </w:p>
        </w:tc>
        <w:tc>
          <w:tcPr>
            <w:tcW w:w="2693" w:type="dxa"/>
          </w:tcPr>
          <w:p w14:paraId="718FEFC8" w14:textId="77E403D8" w:rsidR="00A971FB" w:rsidRPr="006D37E9" w:rsidRDefault="00A971FB" w:rsidP="006D37E9">
            <w:pPr>
              <w:pStyle w:val="Tabletext"/>
              <w:spacing w:before="40" w:after="40"/>
              <w:jc w:val="center"/>
              <w:rPr>
                <w:rFonts w:eastAsia="SimSun"/>
                <w:lang w:val="ru-RU"/>
              </w:rPr>
            </w:pPr>
            <w:r w:rsidRPr="006D37E9">
              <w:rPr>
                <w:color w:val="000000"/>
                <w:lang w:val="ru-RU"/>
              </w:rPr>
              <w:t>16</w:t>
            </w:r>
            <w:r w:rsidR="006D37E9" w:rsidRPr="006D37E9">
              <w:rPr>
                <w:color w:val="000000"/>
                <w:lang w:val="ru-RU"/>
              </w:rPr>
              <w:t>−</w:t>
            </w:r>
            <w:r w:rsidRPr="006D37E9">
              <w:rPr>
                <w:color w:val="000000"/>
                <w:lang w:val="ru-RU"/>
              </w:rPr>
              <w:t>17 июля 2026 г</w:t>
            </w:r>
            <w:r w:rsidR="006D37E9" w:rsidRPr="006D37E9">
              <w:rPr>
                <w:color w:val="000000"/>
                <w:lang w:val="ru-RU"/>
              </w:rPr>
              <w:t>.</w:t>
            </w:r>
          </w:p>
        </w:tc>
        <w:tc>
          <w:tcPr>
            <w:tcW w:w="3261" w:type="dxa"/>
          </w:tcPr>
          <w:p w14:paraId="39EECB69" w14:textId="77777777" w:rsidR="00A971FB" w:rsidRPr="006D37E9" w:rsidRDefault="00A971FB" w:rsidP="006D37E9">
            <w:pPr>
              <w:pStyle w:val="Tabletext"/>
              <w:spacing w:before="40" w:after="40"/>
              <w:ind w:left="116"/>
              <w:rPr>
                <w:rFonts w:eastAsia="SimSun"/>
                <w:lang w:val="ru-RU"/>
              </w:rPr>
            </w:pPr>
            <w:r w:rsidRPr="006D37E9">
              <w:rPr>
                <w:color w:val="000000"/>
                <w:lang w:val="ru-RU"/>
              </w:rPr>
              <w:t>Бангкок, Таиланд</w:t>
            </w:r>
          </w:p>
        </w:tc>
      </w:tr>
      <w:tr w:rsidR="00A971FB" w:rsidRPr="006D37E9" w14:paraId="1CEA657B" w14:textId="77777777" w:rsidTr="006D37E9">
        <w:trPr>
          <w:cantSplit/>
          <w:jc w:val="center"/>
        </w:trPr>
        <w:tc>
          <w:tcPr>
            <w:tcW w:w="1838" w:type="dxa"/>
          </w:tcPr>
          <w:p w14:paraId="6E546D22" w14:textId="77777777" w:rsidR="00A971FB" w:rsidRPr="006D37E9" w:rsidRDefault="00A971FB" w:rsidP="006D37E9">
            <w:pPr>
              <w:pStyle w:val="Tabletext"/>
              <w:spacing w:before="40" w:after="40"/>
              <w:jc w:val="center"/>
              <w:rPr>
                <w:lang w:val="ru-RU"/>
              </w:rPr>
            </w:pPr>
            <w:r w:rsidRPr="006D37E9">
              <w:rPr>
                <w:color w:val="000000"/>
                <w:lang w:val="ru-RU"/>
              </w:rPr>
              <w:t>РФР-СНГ</w:t>
            </w:r>
          </w:p>
        </w:tc>
        <w:tc>
          <w:tcPr>
            <w:tcW w:w="2693" w:type="dxa"/>
          </w:tcPr>
          <w:p w14:paraId="37EB9F92" w14:textId="6CDE6D20" w:rsidR="00A971FB" w:rsidRPr="006D37E9" w:rsidRDefault="00A971FB" w:rsidP="006D37E9">
            <w:pPr>
              <w:pStyle w:val="Tabletext"/>
              <w:spacing w:before="40" w:after="40"/>
              <w:jc w:val="center"/>
              <w:rPr>
                <w:rFonts w:eastAsia="SimSun"/>
                <w:lang w:val="ru-RU"/>
              </w:rPr>
            </w:pPr>
            <w:r w:rsidRPr="006D37E9">
              <w:rPr>
                <w:color w:val="000000"/>
                <w:lang w:val="ru-RU"/>
              </w:rPr>
              <w:t>29</w:t>
            </w:r>
            <w:r w:rsidR="006D37E9" w:rsidRPr="006D37E9">
              <w:rPr>
                <w:color w:val="000000"/>
                <w:lang w:val="ru-RU"/>
              </w:rPr>
              <w:t>−</w:t>
            </w:r>
            <w:r w:rsidRPr="006D37E9">
              <w:rPr>
                <w:color w:val="000000"/>
                <w:lang w:val="ru-RU"/>
              </w:rPr>
              <w:t>30 сентября 2026 г</w:t>
            </w:r>
            <w:r w:rsidR="006D37E9" w:rsidRPr="006D37E9">
              <w:rPr>
                <w:color w:val="000000"/>
                <w:lang w:val="ru-RU"/>
              </w:rPr>
              <w:t>.</w:t>
            </w:r>
          </w:p>
        </w:tc>
        <w:tc>
          <w:tcPr>
            <w:tcW w:w="3261" w:type="dxa"/>
          </w:tcPr>
          <w:p w14:paraId="6555855E" w14:textId="77777777" w:rsidR="00A971FB" w:rsidRPr="006D37E9" w:rsidRDefault="00A971FB" w:rsidP="006D37E9">
            <w:pPr>
              <w:pStyle w:val="Tabletext"/>
              <w:spacing w:before="40" w:after="40"/>
              <w:ind w:left="116"/>
              <w:rPr>
                <w:rFonts w:eastAsia="SimSun"/>
                <w:lang w:val="ru-RU"/>
              </w:rPr>
            </w:pPr>
            <w:r w:rsidRPr="006D37E9">
              <w:rPr>
                <w:color w:val="000000"/>
                <w:lang w:val="ru-RU"/>
              </w:rPr>
              <w:t>Душанбе, Таджикистан</w:t>
            </w:r>
          </w:p>
        </w:tc>
      </w:tr>
    </w:tbl>
    <w:p w14:paraId="3172CD46" w14:textId="77777777" w:rsidR="00A971FB" w:rsidRPr="006D37E9" w:rsidRDefault="00A971FB" w:rsidP="00A971FB">
      <w:pPr>
        <w:pStyle w:val="Heading2"/>
        <w:tabs>
          <w:tab w:val="clear" w:pos="567"/>
          <w:tab w:val="clear" w:pos="1134"/>
          <w:tab w:val="clear" w:pos="1701"/>
          <w:tab w:val="clear" w:pos="2268"/>
          <w:tab w:val="clear" w:pos="2835"/>
        </w:tabs>
        <w:ind w:left="0" w:firstLine="0"/>
        <w:rPr>
          <w:rFonts w:eastAsia="SimSun"/>
          <w:lang w:val="ru-RU"/>
        </w:rPr>
      </w:pPr>
      <w:r w:rsidRPr="006D37E9">
        <w:rPr>
          <w:rFonts w:eastAsia="SimSun"/>
          <w:bCs/>
          <w:lang w:val="ru-RU"/>
        </w:rPr>
        <w:t>2.2</w:t>
      </w:r>
      <w:r w:rsidRPr="006D37E9">
        <w:rPr>
          <w:rFonts w:eastAsia="SimSun"/>
          <w:lang w:val="ru-RU"/>
        </w:rPr>
        <w:tab/>
      </w:r>
      <w:r w:rsidRPr="006D37E9">
        <w:rPr>
          <w:rFonts w:eastAsia="SimSun"/>
          <w:bCs/>
          <w:lang w:val="ru-RU"/>
        </w:rPr>
        <w:t>Осуществление Оперативного плана МСЭ-D</w:t>
      </w:r>
    </w:p>
    <w:p w14:paraId="1C39BB4B" w14:textId="77777777" w:rsidR="00A971FB" w:rsidRPr="006D37E9" w:rsidRDefault="00A971FB" w:rsidP="00A971FB">
      <w:pPr>
        <w:tabs>
          <w:tab w:val="clear" w:pos="567"/>
          <w:tab w:val="clear" w:pos="1134"/>
          <w:tab w:val="clear" w:pos="1701"/>
          <w:tab w:val="clear" w:pos="2268"/>
          <w:tab w:val="clear" w:pos="2835"/>
        </w:tabs>
        <w:rPr>
          <w:rFonts w:asciiTheme="minorHAnsi" w:eastAsia="Aptos" w:hAnsiTheme="minorHAnsi" w:cstheme="minorHAnsi"/>
          <w:lang w:val="ru-RU"/>
        </w:rPr>
      </w:pPr>
      <w:r w:rsidRPr="006D37E9">
        <w:rPr>
          <w:rFonts w:asciiTheme="minorHAnsi" w:eastAsia="Aptos" w:hAnsiTheme="minorHAnsi" w:cstheme="minorHAnsi"/>
          <w:lang w:val="ru-RU"/>
        </w:rPr>
        <w:t>2.2.1</w:t>
      </w:r>
      <w:r w:rsidRPr="006D37E9">
        <w:rPr>
          <w:rFonts w:asciiTheme="minorHAnsi" w:eastAsia="Aptos" w:hAnsiTheme="minorHAnsi" w:cstheme="minorHAnsi"/>
          <w:lang w:val="ru-RU"/>
        </w:rPr>
        <w:tab/>
        <w:t xml:space="preserve">Эффективная деятельность МСЭ на региональном уровне в значительной степени способствует выполнению его глобальной миссии – соединить мир, содействовать устойчивой цифровой трансформации и оказывать ощутимое воздействие на развитие во всех Государствах-Членах благодаря работе, которую проводит БРЭ. Эти стратегически важные усилия направлены на </w:t>
      </w:r>
      <w:r w:rsidRPr="006D37E9">
        <w:rPr>
          <w:rFonts w:asciiTheme="minorHAnsi" w:eastAsia="Aptos" w:hAnsiTheme="minorHAnsi" w:cstheme="minorHAnsi"/>
          <w:lang w:val="ru-RU"/>
        </w:rPr>
        <w:lastRenderedPageBreak/>
        <w:t xml:space="preserve">то, чтобы МСЭ сохранял способность реагировать на быстро меняющиеся потребности цифровой экономики и цифрового общества во всем мире. </w:t>
      </w:r>
    </w:p>
    <w:p w14:paraId="6DD2DCF2" w14:textId="77777777" w:rsidR="00A971FB" w:rsidRPr="006D37E9" w:rsidRDefault="00A971FB" w:rsidP="00A971FB">
      <w:pPr>
        <w:tabs>
          <w:tab w:val="clear" w:pos="567"/>
          <w:tab w:val="clear" w:pos="1134"/>
          <w:tab w:val="clear" w:pos="1701"/>
          <w:tab w:val="clear" w:pos="2268"/>
          <w:tab w:val="clear" w:pos="2835"/>
        </w:tabs>
        <w:rPr>
          <w:rFonts w:asciiTheme="minorHAnsi" w:eastAsia="Aptos" w:hAnsiTheme="minorHAnsi" w:cstheme="minorBidi"/>
          <w:lang w:val="ru-RU"/>
        </w:rPr>
      </w:pPr>
      <w:r w:rsidRPr="006D37E9">
        <w:rPr>
          <w:rFonts w:asciiTheme="minorHAnsi" w:eastAsia="Aptos" w:hAnsiTheme="minorHAnsi" w:cstheme="minorBidi"/>
          <w:lang w:val="ru-RU"/>
        </w:rPr>
        <w:t>2.2.2</w:t>
      </w:r>
      <w:r w:rsidRPr="006D37E9">
        <w:rPr>
          <w:rFonts w:asciiTheme="minorHAnsi" w:eastAsia="Aptos" w:hAnsiTheme="minorHAnsi" w:cstheme="minorBidi"/>
          <w:lang w:val="ru-RU"/>
        </w:rPr>
        <w:tab/>
        <w:t>После ВКРЭ-25, на которой был принят БПД, был разработан Оперативный план (ОП) МСЭ-D на 2026 год, согласующийся по структуре со Стратегическим планом Союза на 2024−2027 годы. В его соответствующей БПД структуре определены приоритеты МСЭ-D и средство достижения целей, и соответствующие конечные результаты, продукты и услуги, а также показатели для оценки уровня достижений в рамках работы Сектора. В настоящее время осуществляется 130 мероприятий в разных регионах по всему миру. В целях повышения результативности усилий ведется работа по достижению синергии при осуществлении региональных мероприятий и между региональными и глобальными инициативами, в тесном сотрудничестве с Бюро МСЭ и Генеральным секретариатом.</w:t>
      </w:r>
    </w:p>
    <w:p w14:paraId="4D7332AA" w14:textId="77777777" w:rsidR="00A971FB" w:rsidRPr="006D37E9" w:rsidRDefault="00A971FB" w:rsidP="00A971FB">
      <w:pPr>
        <w:tabs>
          <w:tab w:val="clear" w:pos="567"/>
          <w:tab w:val="clear" w:pos="1134"/>
          <w:tab w:val="clear" w:pos="1701"/>
          <w:tab w:val="clear" w:pos="2268"/>
          <w:tab w:val="clear" w:pos="2835"/>
        </w:tabs>
        <w:rPr>
          <w:rFonts w:asciiTheme="minorHAnsi" w:eastAsia="Aptos" w:hAnsiTheme="minorHAnsi" w:cstheme="minorHAnsi"/>
          <w:lang w:val="ru-RU"/>
        </w:rPr>
      </w:pPr>
      <w:r w:rsidRPr="006D37E9">
        <w:rPr>
          <w:rFonts w:asciiTheme="minorHAnsi" w:eastAsia="Aptos" w:hAnsiTheme="minorHAnsi" w:cstheme="minorHAnsi"/>
          <w:lang w:val="ru-RU"/>
        </w:rPr>
        <w:t>2.2.3</w:t>
      </w:r>
      <w:r w:rsidRPr="006D37E9">
        <w:rPr>
          <w:rFonts w:asciiTheme="minorHAnsi" w:eastAsia="Aptos" w:hAnsiTheme="minorHAnsi" w:cstheme="minorHAnsi"/>
          <w:lang w:val="ru-RU"/>
        </w:rPr>
        <w:tab/>
        <w:t>Региональные и зональные отделения являются неотъемлемой частью процесса оперативного планирования, что подтверждается данными информационных панелей БРЭ для ОП и проектов. Региональные и зональные отделения МСЭ тесно сотрудничают со штаб-квартирой в вопросах определения, реализации и мониторинга ОП. Совместно осуществляются распределение бюджетных средств и оценка эффективности работы. Это подразумевает достижение намеченных результатов деятельности (продукты и услуги МСЭ-D) и конечных результатов (итогов) для Государств-Членов, а также удовлетворение потребностей конкретных стран в соответствии с приоритетами МСЭ-D и средством достижения целей, резолюциями и региональными инициативами, принятыми на ВКРЭ-25. Такой комплексный подход позволяет усилить воздействие и добиться максимальной синергии между регулярной и внебюджетной деятельностью.</w:t>
      </w:r>
    </w:p>
    <w:p w14:paraId="576B7C3F" w14:textId="77777777" w:rsidR="00A971FB" w:rsidRPr="006D37E9" w:rsidRDefault="00A971FB" w:rsidP="00A971FB">
      <w:pPr>
        <w:tabs>
          <w:tab w:val="clear" w:pos="567"/>
          <w:tab w:val="clear" w:pos="1134"/>
          <w:tab w:val="clear" w:pos="1701"/>
          <w:tab w:val="clear" w:pos="2268"/>
          <w:tab w:val="clear" w:pos="2835"/>
        </w:tabs>
        <w:rPr>
          <w:rFonts w:asciiTheme="minorHAnsi" w:eastAsia="Aptos" w:hAnsiTheme="minorHAnsi" w:cstheme="minorHAnsi"/>
          <w:lang w:val="ru-RU"/>
        </w:rPr>
      </w:pPr>
      <w:r w:rsidRPr="006D37E9">
        <w:rPr>
          <w:rFonts w:asciiTheme="minorHAnsi" w:eastAsia="Aptos" w:hAnsiTheme="minorHAnsi" w:cstheme="minorHAnsi"/>
          <w:lang w:val="ru-RU"/>
        </w:rPr>
        <w:t>2.2.4</w:t>
      </w:r>
      <w:r w:rsidRPr="006D37E9">
        <w:rPr>
          <w:rFonts w:asciiTheme="minorHAnsi" w:eastAsia="Aptos" w:hAnsiTheme="minorHAnsi" w:cstheme="minorHAnsi"/>
          <w:lang w:val="ru-RU"/>
        </w:rPr>
        <w:tab/>
        <w:t xml:space="preserve">Региональные и зональные отделения совместно со штаб-квартирой осуществляют слаженную разработку ОП, опирающегося на показатели намеченных результатов деятельности и конечных результатов, а также обеспечивают его управление и представление соответствующих отчетов. </w:t>
      </w:r>
    </w:p>
    <w:p w14:paraId="518A6A95" w14:textId="77777777" w:rsidR="00A971FB" w:rsidRPr="006D37E9" w:rsidRDefault="00A971FB" w:rsidP="00A971FB">
      <w:pPr>
        <w:tabs>
          <w:tab w:val="clear" w:pos="567"/>
          <w:tab w:val="clear" w:pos="1134"/>
          <w:tab w:val="clear" w:pos="1701"/>
          <w:tab w:val="clear" w:pos="2268"/>
          <w:tab w:val="clear" w:pos="2835"/>
        </w:tabs>
        <w:rPr>
          <w:rFonts w:asciiTheme="minorHAnsi" w:eastAsia="Aptos" w:hAnsiTheme="minorHAnsi" w:cstheme="minorHAnsi"/>
          <w:lang w:val="ru-RU"/>
        </w:rPr>
      </w:pPr>
      <w:r w:rsidRPr="006D37E9">
        <w:rPr>
          <w:rFonts w:asciiTheme="minorHAnsi" w:eastAsia="Aptos" w:hAnsiTheme="minorHAnsi" w:cstheme="minorHAnsi"/>
          <w:lang w:val="ru-RU"/>
        </w:rPr>
        <w:t>2.2.5</w:t>
      </w:r>
      <w:r w:rsidRPr="006D37E9">
        <w:rPr>
          <w:rFonts w:asciiTheme="minorHAnsi" w:eastAsia="Aptos" w:hAnsiTheme="minorHAnsi" w:cstheme="minorHAnsi"/>
          <w:lang w:val="ru-RU"/>
        </w:rPr>
        <w:tab/>
        <w:t>Что касается действий в рамках ОП, региональные и зональные отделения отвечают за предоставление услуг Государствам-Членам, а службы БРЭ в штаб-квартире обеспечивают разработку новых продуктов и управление межрегиональными видами деятельности. В региональных и зональных отделениях работают руководители проектов, относящихся к конкретным регионам или странам. Осуществление мероприятий ОП и проектов МСЭ-D измеряется с помощью показателей, принятых на ВКРЭ-25.</w:t>
      </w:r>
    </w:p>
    <w:p w14:paraId="4627ACF9" w14:textId="445C5843" w:rsidR="00A971FB" w:rsidRPr="006D37E9" w:rsidRDefault="00A971FB" w:rsidP="00A971FB">
      <w:pPr>
        <w:tabs>
          <w:tab w:val="clear" w:pos="567"/>
          <w:tab w:val="clear" w:pos="1134"/>
          <w:tab w:val="clear" w:pos="1701"/>
          <w:tab w:val="clear" w:pos="2268"/>
          <w:tab w:val="clear" w:pos="2835"/>
        </w:tabs>
        <w:spacing w:line="259" w:lineRule="auto"/>
        <w:rPr>
          <w:rFonts w:asciiTheme="minorHAnsi" w:eastAsia="Aptos" w:hAnsiTheme="minorHAnsi" w:cstheme="minorBidi"/>
          <w:lang w:val="ru-RU"/>
        </w:rPr>
      </w:pPr>
      <w:r w:rsidRPr="006D37E9">
        <w:rPr>
          <w:rFonts w:asciiTheme="minorHAnsi" w:eastAsia="Aptos" w:hAnsiTheme="minorHAnsi" w:cstheme="minorBidi"/>
          <w:lang w:val="ru-RU"/>
        </w:rPr>
        <w:t>2.2.6</w:t>
      </w:r>
      <w:r w:rsidRPr="006D37E9">
        <w:rPr>
          <w:rFonts w:asciiTheme="minorHAnsi" w:eastAsia="Aptos" w:hAnsiTheme="minorHAnsi" w:cstheme="minorBidi"/>
          <w:lang w:val="ru-RU"/>
        </w:rPr>
        <w:tab/>
        <w:t xml:space="preserve">КГРЭ на своем 32-м собрании 12−16 мая 2025 года рассмотрела Отчет о региональном присутствии, представленный в Документе </w:t>
      </w:r>
      <w:hyperlink r:id="rId75">
        <w:r w:rsidRPr="006D37E9">
          <w:rPr>
            <w:rFonts w:asciiTheme="minorHAnsi" w:eastAsia="Aptos" w:hAnsiTheme="minorHAnsi" w:cstheme="minorBidi"/>
            <w:color w:val="4F81BD" w:themeColor="accent1"/>
            <w:u w:val="single"/>
            <w:lang w:val="ru-RU"/>
          </w:rPr>
          <w:t>TDAG-25/24</w:t>
        </w:r>
      </w:hyperlink>
      <w:r w:rsidRPr="006D37E9">
        <w:rPr>
          <w:rFonts w:asciiTheme="minorHAnsi" w:eastAsia="Aptos" w:hAnsiTheme="minorHAnsi" w:cstheme="minorBidi"/>
          <w:lang w:val="ru-RU"/>
        </w:rPr>
        <w:t>. КГРЭ приняла отчет к сведению и признала исключительно важную роль региональных и зональных отделений в реализации региональных инициатив и КПД; она также подтвердила вспомогательную роль отделений в деятельности, связанной с развитием, и мероприятиях по линии МСЭ-T и МСЭ-R. КГРЭ отметила и высоко оценила тесное сотрудничество между региональными отделениями и БРЭ, проявленное во время сессии, отметив работу директоров региональных отделений и эффективные действия в регионах. КГРЭ высоко оценила синергию между региональными отделениями и БРЭ в процессе планирования, реализации, мониторинга и оценки мероприятий и проектов, о чем свидетельствуют положительные отзывы, прозвучавшие в выступлениях многих членов. При проведении обзора действий, направленных на укрепление регионального присутствия, следует в полной мере учитывать Резолюцию 25 (Пересм. Бухарест, 2022 г.).</w:t>
      </w:r>
      <w:hyperlink r:id="rId76"/>
    </w:p>
    <w:p w14:paraId="7B2393EF" w14:textId="77777777" w:rsidR="00A971FB" w:rsidRPr="006D37E9" w:rsidRDefault="00A971FB" w:rsidP="00A971FB">
      <w:pPr>
        <w:pStyle w:val="Heading2"/>
        <w:tabs>
          <w:tab w:val="clear" w:pos="567"/>
          <w:tab w:val="clear" w:pos="1134"/>
          <w:tab w:val="clear" w:pos="1701"/>
          <w:tab w:val="clear" w:pos="2268"/>
          <w:tab w:val="clear" w:pos="2835"/>
        </w:tabs>
        <w:ind w:left="0" w:firstLine="0"/>
        <w:rPr>
          <w:rFonts w:eastAsia="Aptos"/>
          <w:lang w:val="ru-RU"/>
        </w:rPr>
      </w:pPr>
      <w:r w:rsidRPr="006D37E9">
        <w:rPr>
          <w:rFonts w:eastAsia="Aptos"/>
          <w:bCs/>
          <w:lang w:val="ru-RU"/>
        </w:rPr>
        <w:lastRenderedPageBreak/>
        <w:t>2.3</w:t>
      </w:r>
      <w:r w:rsidRPr="006D37E9">
        <w:rPr>
          <w:rFonts w:eastAsia="Aptos"/>
          <w:lang w:val="ru-RU"/>
        </w:rPr>
        <w:tab/>
      </w:r>
      <w:r w:rsidRPr="006D37E9">
        <w:rPr>
          <w:rFonts w:eastAsia="Aptos"/>
          <w:bCs/>
          <w:lang w:val="ru-RU"/>
        </w:rPr>
        <w:t>Обзор регионального присутствия МСЭ</w:t>
      </w:r>
      <w:r w:rsidRPr="006D37E9">
        <w:rPr>
          <w:rFonts w:eastAsia="Aptos"/>
          <w:lang w:val="ru-RU"/>
        </w:rPr>
        <w:t xml:space="preserve"> </w:t>
      </w:r>
    </w:p>
    <w:p w14:paraId="1EEF42F8" w14:textId="77777777" w:rsidR="00A971FB" w:rsidRPr="006D37E9" w:rsidRDefault="00A971FB" w:rsidP="00A971FB">
      <w:pPr>
        <w:tabs>
          <w:tab w:val="clear" w:pos="567"/>
          <w:tab w:val="clear" w:pos="1134"/>
          <w:tab w:val="clear" w:pos="1701"/>
          <w:tab w:val="clear" w:pos="2268"/>
          <w:tab w:val="clear" w:pos="2835"/>
        </w:tabs>
        <w:rPr>
          <w:rFonts w:eastAsia="Aptos"/>
          <w:b/>
          <w:bCs/>
          <w:lang w:val="ru-RU"/>
        </w:rPr>
      </w:pPr>
      <w:r w:rsidRPr="006D37E9">
        <w:rPr>
          <w:rFonts w:eastAsia="Aptos"/>
          <w:lang w:val="ru-RU"/>
        </w:rPr>
        <w:t>2.3.1</w:t>
      </w:r>
      <w:r w:rsidRPr="006D37E9">
        <w:rPr>
          <w:rFonts w:eastAsia="Aptos"/>
          <w:lang w:val="ru-RU"/>
        </w:rPr>
        <w:tab/>
        <w:t xml:space="preserve">В соответствии с рекомендациями сессии Совета-25 (отчет Председателя Постоянного комитета по администрированию и управлению, Документ </w:t>
      </w:r>
      <w:hyperlink r:id="rId77">
        <w:r w:rsidRPr="006D37E9">
          <w:rPr>
            <w:rStyle w:val="Hyperlink"/>
            <w:rFonts w:asciiTheme="minorHAnsi" w:eastAsia="Aptos" w:hAnsiTheme="minorHAnsi" w:cstheme="minorHAnsi"/>
            <w:color w:val="467886"/>
            <w:szCs w:val="24"/>
            <w:lang w:val="ru-RU"/>
          </w:rPr>
          <w:t>C25/105</w:t>
        </w:r>
      </w:hyperlink>
      <w:r w:rsidRPr="006D37E9">
        <w:rPr>
          <w:rFonts w:eastAsia="Aptos"/>
          <w:lang w:val="ru-RU"/>
        </w:rPr>
        <w:t>, п. 26, Приложение H, Приложение A и Приложение 1</w:t>
      </w:r>
      <w:r w:rsidRPr="006D37E9">
        <w:rPr>
          <w:rStyle w:val="FootnoteReference"/>
          <w:rFonts w:eastAsia="Aptos"/>
          <w:lang w:val="ru-RU"/>
        </w:rPr>
        <w:footnoteReference w:id="1"/>
      </w:r>
      <w:r w:rsidRPr="006D37E9">
        <w:rPr>
          <w:rFonts w:eastAsia="Aptos"/>
          <w:lang w:val="ru-RU"/>
        </w:rPr>
        <w:t xml:space="preserve">) </w:t>
      </w:r>
      <w:r w:rsidRPr="006D37E9">
        <w:rPr>
          <w:rFonts w:eastAsia="Aptos"/>
          <w:b/>
          <w:bCs/>
          <w:lang w:val="ru-RU"/>
        </w:rPr>
        <w:t>был проведен обзор регионального присутствия МСЭ</w:t>
      </w:r>
      <w:r w:rsidRPr="006D37E9">
        <w:rPr>
          <w:rFonts w:eastAsia="Aptos"/>
          <w:lang w:val="ru-RU"/>
        </w:rPr>
        <w:t>.</w:t>
      </w:r>
      <w:hyperlink r:id="rId78"/>
    </w:p>
    <w:p w14:paraId="5BE8E368" w14:textId="77777777" w:rsidR="00A971FB" w:rsidRPr="006D37E9" w:rsidRDefault="00A971FB" w:rsidP="00A971FB">
      <w:pPr>
        <w:keepNext/>
        <w:tabs>
          <w:tab w:val="clear" w:pos="567"/>
          <w:tab w:val="clear" w:pos="1134"/>
          <w:tab w:val="clear" w:pos="1701"/>
          <w:tab w:val="clear" w:pos="2268"/>
          <w:tab w:val="clear" w:pos="2835"/>
        </w:tabs>
        <w:rPr>
          <w:rFonts w:eastAsia="Aptos"/>
          <w:lang w:val="ru-RU"/>
        </w:rPr>
      </w:pPr>
      <w:r w:rsidRPr="006D37E9">
        <w:rPr>
          <w:rFonts w:eastAsia="Aptos"/>
          <w:lang w:val="ru-RU"/>
        </w:rPr>
        <w:t>2.3.2</w:t>
      </w:r>
      <w:r w:rsidRPr="006D37E9">
        <w:rPr>
          <w:rFonts w:eastAsia="Aptos"/>
          <w:lang w:val="ru-RU"/>
        </w:rPr>
        <w:tab/>
        <w:t xml:space="preserve">С июля 2025 года БРЭ осуществляет следующие виды деятельности: </w:t>
      </w:r>
    </w:p>
    <w:p w14:paraId="1068F948" w14:textId="77777777" w:rsidR="00A971FB" w:rsidRPr="006D37E9" w:rsidRDefault="00A971FB" w:rsidP="00A971FB">
      <w:pPr>
        <w:pStyle w:val="enumlev1"/>
        <w:tabs>
          <w:tab w:val="clear" w:pos="567"/>
          <w:tab w:val="clear" w:pos="1134"/>
          <w:tab w:val="clear" w:pos="1701"/>
          <w:tab w:val="clear" w:pos="2268"/>
          <w:tab w:val="clear" w:pos="2835"/>
        </w:tabs>
        <w:ind w:left="709"/>
        <w:rPr>
          <w:rFonts w:eastAsia="Aptos"/>
          <w:lang w:val="ru-RU"/>
        </w:rPr>
      </w:pPr>
      <w:r w:rsidRPr="006D37E9">
        <w:rPr>
          <w:rFonts w:eastAsia="Aptos"/>
          <w:i/>
          <w:iCs/>
          <w:lang w:val="ru-RU"/>
        </w:rPr>
        <w:t>a)</w:t>
      </w:r>
      <w:r w:rsidRPr="006D37E9">
        <w:rPr>
          <w:rFonts w:eastAsia="Aptos"/>
          <w:lang w:val="ru-RU"/>
        </w:rPr>
        <w:tab/>
        <w:t>подготовка и проведение опроса членов МСЭ;</w:t>
      </w:r>
    </w:p>
    <w:p w14:paraId="262FF33C" w14:textId="77777777" w:rsidR="00A971FB" w:rsidRPr="006D37E9" w:rsidRDefault="00A971FB" w:rsidP="00A971FB">
      <w:pPr>
        <w:pStyle w:val="enumlev1"/>
        <w:tabs>
          <w:tab w:val="clear" w:pos="567"/>
          <w:tab w:val="clear" w:pos="1134"/>
          <w:tab w:val="clear" w:pos="1701"/>
          <w:tab w:val="clear" w:pos="2268"/>
          <w:tab w:val="clear" w:pos="2835"/>
        </w:tabs>
        <w:ind w:left="709"/>
        <w:rPr>
          <w:rFonts w:eastAsia="Aptos"/>
          <w:lang w:val="ru-RU"/>
        </w:rPr>
      </w:pPr>
      <w:r w:rsidRPr="006D37E9">
        <w:rPr>
          <w:rFonts w:eastAsia="Aptos"/>
          <w:i/>
          <w:iCs/>
          <w:lang w:val="ru-RU"/>
        </w:rPr>
        <w:t>b)</w:t>
      </w:r>
      <w:r w:rsidRPr="006D37E9">
        <w:rPr>
          <w:rFonts w:eastAsia="Aptos"/>
          <w:lang w:val="ru-RU"/>
        </w:rPr>
        <w:tab/>
        <w:t>аналитический обзор;</w:t>
      </w:r>
    </w:p>
    <w:p w14:paraId="1893017E" w14:textId="77777777" w:rsidR="00A971FB" w:rsidRPr="006D37E9" w:rsidRDefault="00A971FB" w:rsidP="00A971FB">
      <w:pPr>
        <w:pStyle w:val="enumlev1"/>
        <w:tabs>
          <w:tab w:val="clear" w:pos="567"/>
          <w:tab w:val="clear" w:pos="1134"/>
          <w:tab w:val="clear" w:pos="1701"/>
          <w:tab w:val="clear" w:pos="2268"/>
          <w:tab w:val="clear" w:pos="2835"/>
        </w:tabs>
        <w:ind w:left="709"/>
        <w:rPr>
          <w:rFonts w:eastAsia="Aptos"/>
          <w:lang w:val="ru-RU"/>
        </w:rPr>
      </w:pPr>
      <w:r w:rsidRPr="006D37E9">
        <w:rPr>
          <w:rFonts w:eastAsia="Aptos"/>
          <w:i/>
          <w:iCs/>
          <w:lang w:val="ru-RU"/>
        </w:rPr>
        <w:t>c)</w:t>
      </w:r>
      <w:r w:rsidRPr="006D37E9">
        <w:rPr>
          <w:rFonts w:eastAsia="Aptos"/>
          <w:lang w:val="ru-RU"/>
        </w:rPr>
        <w:tab/>
        <w:t xml:space="preserve">консультации с заинтересованными сторонами, включая разработку и проведение обследования по внутренней оценке, а также собеседований с представителями региональных организаций электросвязи; </w:t>
      </w:r>
    </w:p>
    <w:p w14:paraId="5AACF731" w14:textId="77777777" w:rsidR="00A971FB" w:rsidRPr="006D37E9" w:rsidRDefault="00A971FB" w:rsidP="00A971FB">
      <w:pPr>
        <w:pStyle w:val="enumlev1"/>
        <w:tabs>
          <w:tab w:val="clear" w:pos="567"/>
          <w:tab w:val="clear" w:pos="1134"/>
          <w:tab w:val="clear" w:pos="1701"/>
          <w:tab w:val="clear" w:pos="2268"/>
          <w:tab w:val="clear" w:pos="2835"/>
        </w:tabs>
        <w:ind w:left="709"/>
        <w:rPr>
          <w:rFonts w:eastAsia="Aptos"/>
          <w:lang w:val="ru-RU"/>
        </w:rPr>
      </w:pPr>
      <w:r w:rsidRPr="006D37E9">
        <w:rPr>
          <w:rFonts w:eastAsia="Aptos"/>
          <w:i/>
          <w:iCs/>
          <w:lang w:val="ru-RU"/>
        </w:rPr>
        <w:t>d)</w:t>
      </w:r>
      <w:r w:rsidRPr="006D37E9">
        <w:rPr>
          <w:rFonts w:eastAsia="Aptos"/>
          <w:lang w:val="ru-RU"/>
        </w:rPr>
        <w:tab/>
        <w:t>периодическое представление отчетов в соответствии с поручениями Рабочей группы Совета по финансовым и людским ресурсам (РГС-ФЛР) и Совета.</w:t>
      </w:r>
    </w:p>
    <w:p w14:paraId="38940A63" w14:textId="07382B86" w:rsidR="00A971FB" w:rsidRPr="006D37E9" w:rsidRDefault="00A971FB" w:rsidP="00A971FB">
      <w:pPr>
        <w:rPr>
          <w:rFonts w:eastAsia="Aptos" w:cs="Calibri"/>
          <w:spacing w:val="-2"/>
          <w:lang w:val="ru-RU"/>
        </w:rPr>
      </w:pPr>
      <w:r w:rsidRPr="006D37E9">
        <w:rPr>
          <w:rFonts w:asciiTheme="minorHAnsi" w:eastAsia="Aptos" w:hAnsiTheme="minorHAnsi" w:cstheme="minorBidi"/>
          <w:lang w:val="ru-RU"/>
        </w:rPr>
        <w:t>2.3.3</w:t>
      </w:r>
      <w:r w:rsidRPr="006D37E9">
        <w:rPr>
          <w:rFonts w:asciiTheme="minorHAnsi" w:eastAsia="Aptos" w:hAnsiTheme="minorHAnsi" w:cstheme="minorBidi"/>
          <w:lang w:val="ru-RU"/>
        </w:rPr>
        <w:tab/>
      </w:r>
      <w:r w:rsidRPr="006D37E9">
        <w:rPr>
          <w:lang w:val="ru-RU"/>
        </w:rPr>
        <w:t>Промежуточный отчет о проведении обзора регионального присутствия МСЭ (Документ</w:t>
      </w:r>
      <w:r w:rsidR="006D37E9">
        <w:rPr>
          <w:lang w:val="ru-RU"/>
        </w:rPr>
        <w:t> </w:t>
      </w:r>
      <w:hyperlink r:id="rId79" w:history="1">
        <w:r w:rsidRPr="006D37E9">
          <w:rPr>
            <w:rStyle w:val="Hyperlink"/>
            <w:lang w:val="ru-RU"/>
          </w:rPr>
          <w:t>CWG</w:t>
        </w:r>
        <w:r w:rsidR="006D37E9">
          <w:rPr>
            <w:rStyle w:val="Hyperlink"/>
            <w:lang w:val="ru-RU"/>
          </w:rPr>
          <w:noBreakHyphen/>
        </w:r>
        <w:r w:rsidRPr="006D37E9">
          <w:rPr>
            <w:rStyle w:val="Hyperlink"/>
            <w:lang w:val="ru-RU"/>
          </w:rPr>
          <w:t>FHR-22/4</w:t>
        </w:r>
      </w:hyperlink>
      <w:r w:rsidRPr="006D37E9">
        <w:rPr>
          <w:lang w:val="ru-RU"/>
        </w:rPr>
        <w:t xml:space="preserve">) был представлен на 22-м собрании РГС-ФЛР 16 января 2026 года вместе с Информационным документом </w:t>
      </w:r>
      <w:hyperlink r:id="rId80" w:history="1">
        <w:r w:rsidRPr="006D37E9">
          <w:rPr>
            <w:rStyle w:val="Hyperlink"/>
            <w:lang w:val="ru-RU"/>
          </w:rPr>
          <w:t>CWG-FHR-22/INF/1</w:t>
        </w:r>
      </w:hyperlink>
      <w:r w:rsidRPr="006D37E9">
        <w:rPr>
          <w:lang w:val="ru-RU"/>
        </w:rPr>
        <w:t>, в котором подробно изложены конкретные инициативы БРЭ, направленные на дальнейшую поддержку регионального присутствия. В ходе ВКРЭ</w:t>
      </w:r>
      <w:r w:rsidR="006D37E9">
        <w:rPr>
          <w:lang w:val="ru-RU"/>
        </w:rPr>
        <w:noBreakHyphen/>
      </w:r>
      <w:r w:rsidRPr="006D37E9">
        <w:rPr>
          <w:lang w:val="ru-RU"/>
        </w:rPr>
        <w:t xml:space="preserve">25 24 ноября 2025 года была проведена специальная сессия, посвященная предварительным результатам обследования членов (Документ </w:t>
      </w:r>
      <w:hyperlink r:id="rId81" w:history="1">
        <w:r w:rsidRPr="006D37E9">
          <w:rPr>
            <w:rStyle w:val="Hyperlink"/>
            <w:lang w:val="ru-RU"/>
          </w:rPr>
          <w:t>CWG-FHR-22/4</w:t>
        </w:r>
      </w:hyperlink>
      <w:r w:rsidRPr="006D37E9">
        <w:rPr>
          <w:lang w:val="ru-RU"/>
        </w:rPr>
        <w:t xml:space="preserve">, Приложение 2). БРЭ представило промежуточный отчет на собраниях КГСЭ 2026 года (Документ </w:t>
      </w:r>
      <w:hyperlink r:id="rId82" w:history="1">
        <w:r w:rsidRPr="006D37E9">
          <w:rPr>
            <w:rStyle w:val="Hyperlink"/>
            <w:lang w:val="ru-RU"/>
          </w:rPr>
          <w:t>TSAG-TD313</w:t>
        </w:r>
      </w:hyperlink>
      <w:r w:rsidRPr="006D37E9">
        <w:rPr>
          <w:lang w:val="ru-RU"/>
        </w:rPr>
        <w:t>), КГРЭ (Документ</w:t>
      </w:r>
      <w:r w:rsidR="006D37E9">
        <w:rPr>
          <w:lang w:val="ru-RU"/>
        </w:rPr>
        <w:t> </w:t>
      </w:r>
      <w:hyperlink r:id="rId83" w:history="1">
        <w:r w:rsidRPr="006D37E9">
          <w:rPr>
            <w:rStyle w:val="Hyperlink"/>
            <w:lang w:val="ru-RU"/>
          </w:rPr>
          <w:t>TDAG</w:t>
        </w:r>
        <w:r w:rsidR="006D37E9">
          <w:rPr>
            <w:rStyle w:val="Hyperlink"/>
            <w:lang w:val="ru-RU"/>
          </w:rPr>
          <w:noBreakHyphen/>
        </w:r>
        <w:r w:rsidRPr="006D37E9">
          <w:rPr>
            <w:rStyle w:val="Hyperlink"/>
            <w:lang w:val="ru-RU"/>
          </w:rPr>
          <w:t>26/16</w:t>
        </w:r>
      </w:hyperlink>
      <w:r w:rsidRPr="006D37E9">
        <w:rPr>
          <w:lang w:val="ru-RU"/>
        </w:rPr>
        <w:t xml:space="preserve">) и КГР (Документ </w:t>
      </w:r>
      <w:hyperlink r:id="rId84" w:history="1">
        <w:r w:rsidRPr="006D37E9">
          <w:rPr>
            <w:rStyle w:val="Hyperlink"/>
            <w:lang w:val="ru-RU"/>
          </w:rPr>
          <w:t>RAG/66</w:t>
        </w:r>
      </w:hyperlink>
      <w:r w:rsidRPr="006D37E9">
        <w:rPr>
          <w:lang w:val="ru-RU"/>
        </w:rPr>
        <w:t>) в целях получения более полного представления и стратегических руководящих указаний в отношении формирования будущего направления усилий регионального присутствия МСЭ в ходе консультаций с консультативными группами МСЭ. В</w:t>
      </w:r>
      <w:r w:rsidR="006D37E9">
        <w:rPr>
          <w:lang w:val="ru-RU"/>
        </w:rPr>
        <w:t> </w:t>
      </w:r>
      <w:r w:rsidRPr="006D37E9">
        <w:rPr>
          <w:lang w:val="ru-RU"/>
        </w:rPr>
        <w:t>соответствии с просьбой, выраженной на 22-м собрании РГС-ФЛР, 5 марта 2026 года была проведена Информационная сессия по региональному присутствию в преддверии Совета-26. Вся проделанная работа нашла отражение в заключительном отчете о проведении обзора регионального присутствия МСЭ, который будет представлен на Совете-26</w:t>
      </w:r>
      <w:r w:rsidRPr="006D37E9">
        <w:rPr>
          <w:rFonts w:asciiTheme="minorHAnsi" w:eastAsia="Aptos" w:hAnsiTheme="minorHAnsi" w:cstheme="minorBidi"/>
          <w:lang w:val="ru-RU"/>
        </w:rPr>
        <w:t>.</w:t>
      </w:r>
      <w:hyperlink r:id="rId85"/>
      <w:hyperlink r:id="rId86"/>
      <w:hyperlink r:id="rId87" w:history="1"/>
      <w:hyperlink r:id="rId88"/>
      <w:hyperlink r:id="rId89"/>
      <w:hyperlink r:id="rId90"/>
    </w:p>
    <w:p w14:paraId="225F4DE9" w14:textId="77777777" w:rsidR="00A971FB" w:rsidRPr="006D37E9" w:rsidRDefault="00A971FB" w:rsidP="00A971FB">
      <w:pPr>
        <w:pStyle w:val="Heading2"/>
        <w:tabs>
          <w:tab w:val="clear" w:pos="567"/>
          <w:tab w:val="clear" w:pos="1134"/>
          <w:tab w:val="clear" w:pos="1701"/>
          <w:tab w:val="clear" w:pos="2268"/>
          <w:tab w:val="clear" w:pos="2835"/>
        </w:tabs>
        <w:ind w:left="0" w:firstLine="0"/>
        <w:rPr>
          <w:lang w:val="ru-RU"/>
        </w:rPr>
      </w:pPr>
      <w:r w:rsidRPr="006D37E9">
        <w:rPr>
          <w:rFonts w:eastAsia="Aptos"/>
          <w:bCs/>
          <w:lang w:val="ru-RU"/>
        </w:rPr>
        <w:t>2.4</w:t>
      </w:r>
      <w:r w:rsidRPr="006D37E9">
        <w:rPr>
          <w:rFonts w:eastAsia="Aptos"/>
          <w:lang w:val="ru-RU"/>
        </w:rPr>
        <w:tab/>
      </w:r>
      <w:r w:rsidRPr="006D37E9">
        <w:rPr>
          <w:rFonts w:eastAsia="Aptos"/>
          <w:bCs/>
          <w:lang w:val="ru-RU"/>
        </w:rPr>
        <w:t>Участие региональных и зональных отделений в реализации проектов МСЭ-D</w:t>
      </w:r>
    </w:p>
    <w:p w14:paraId="3D3CA43C" w14:textId="77777777" w:rsidR="00A971FB" w:rsidRPr="006D37E9" w:rsidRDefault="00A971FB" w:rsidP="00A971FB">
      <w:pPr>
        <w:tabs>
          <w:tab w:val="clear" w:pos="567"/>
          <w:tab w:val="clear" w:pos="1134"/>
          <w:tab w:val="clear" w:pos="1701"/>
          <w:tab w:val="clear" w:pos="2268"/>
          <w:tab w:val="clear" w:pos="2835"/>
        </w:tabs>
        <w:rPr>
          <w:lang w:val="ru-RU"/>
        </w:rPr>
      </w:pPr>
      <w:r w:rsidRPr="006D37E9">
        <w:rPr>
          <w:lang w:val="ru-RU"/>
        </w:rPr>
        <w:t>2.4.1</w:t>
      </w:r>
      <w:r w:rsidRPr="006D37E9">
        <w:rPr>
          <w:lang w:val="ru-RU"/>
        </w:rPr>
        <w:tab/>
        <w:t>Проекты МСЭ-D, призванные облегчить и ускорить развитие электросвязи/ИКТ посредством технического сотрудничества и помощи, реализуются во всех шести регионах. БРЭ отвечает за формирование концепций, разработку, реализацию и оценку проектов.</w:t>
      </w:r>
    </w:p>
    <w:p w14:paraId="5A755B4D" w14:textId="77777777" w:rsidR="00A971FB" w:rsidRPr="006D37E9" w:rsidRDefault="00A971FB" w:rsidP="00A971FB">
      <w:pPr>
        <w:tabs>
          <w:tab w:val="clear" w:pos="567"/>
          <w:tab w:val="clear" w:pos="1134"/>
          <w:tab w:val="clear" w:pos="1701"/>
          <w:tab w:val="clear" w:pos="2268"/>
          <w:tab w:val="clear" w:pos="2835"/>
        </w:tabs>
        <w:rPr>
          <w:lang w:val="ru-RU"/>
        </w:rPr>
      </w:pPr>
      <w:r w:rsidRPr="006D37E9">
        <w:rPr>
          <w:lang w:val="ru-RU"/>
        </w:rPr>
        <w:t>2.4.2</w:t>
      </w:r>
      <w:r w:rsidRPr="006D37E9">
        <w:rPr>
          <w:lang w:val="ru-RU"/>
        </w:rPr>
        <w:tab/>
        <w:t xml:space="preserve">Региональные и зональные отделения играют ключевую роль в обеспечении взаимодействия МСЭ с местными заинтересованными сторонами и правительствами, работая в тесной координации со штаб-квартирой над определением, реализацией и мониторингом проектов по предоставлению технической помощи, продуктов и услуг МСЭ-D, а также над удовлетворением потребностей конкретных стран в соответствии с Планом действий и региональными инициативами. Такой комплексный подход, позволяющий использовать взаимосвязь между регулярными и внебюджетными видами деятельности, позволяет БРЭ предоставлять более качественные услуги Государствам-Членам. </w:t>
      </w:r>
    </w:p>
    <w:p w14:paraId="633C7A14" w14:textId="77777777" w:rsidR="00A971FB" w:rsidRPr="006D37E9" w:rsidRDefault="00A971FB" w:rsidP="00A971FB">
      <w:pPr>
        <w:tabs>
          <w:tab w:val="clear" w:pos="567"/>
          <w:tab w:val="clear" w:pos="1134"/>
          <w:tab w:val="clear" w:pos="1701"/>
          <w:tab w:val="clear" w:pos="2268"/>
          <w:tab w:val="clear" w:pos="2835"/>
        </w:tabs>
        <w:rPr>
          <w:rFonts w:eastAsia="Aptos"/>
          <w:lang w:val="ru-RU"/>
        </w:rPr>
      </w:pPr>
      <w:r w:rsidRPr="006D37E9">
        <w:rPr>
          <w:rFonts w:eastAsia="Aptos"/>
          <w:lang w:val="ru-RU"/>
        </w:rPr>
        <w:lastRenderedPageBreak/>
        <w:t>2.4.3</w:t>
      </w:r>
      <w:r w:rsidRPr="006D37E9">
        <w:rPr>
          <w:rFonts w:eastAsia="Aptos"/>
          <w:lang w:val="ru-RU"/>
        </w:rPr>
        <w:tab/>
        <w:t>БРЭ улучшило управление проектами, организовав подготовку руководителей проектов, установив четкое руководство через Комитет по проектам БРЭ, оптимизировав процесс предоставления отчетов партнерам по финансированию и усовершенствовав системы мониторинга. Ведется постоянный мониторинг проектов с предоставлением соответствующих отчетов через информационные панели, а также отчетов об оценке в помощь процессу принятия решений на основе данных. Комитет по проектам обеспечивает увязку с Планом действий и надлежащее управление портфелем проектов. Для обеспечения объективной оценки прогресса ежеквартальные отчеты рассматриваются и оцениваются независимыми группами (поддержка проектов), не участвующими в реализации проекта.</w:t>
      </w:r>
    </w:p>
    <w:p w14:paraId="22243AB1" w14:textId="77777777" w:rsidR="00A971FB" w:rsidRPr="006D37E9" w:rsidRDefault="00A971FB" w:rsidP="00A971FB">
      <w:pPr>
        <w:tabs>
          <w:tab w:val="clear" w:pos="567"/>
          <w:tab w:val="clear" w:pos="1134"/>
          <w:tab w:val="clear" w:pos="1701"/>
          <w:tab w:val="clear" w:pos="2268"/>
          <w:tab w:val="clear" w:pos="2835"/>
        </w:tabs>
        <w:rPr>
          <w:rFonts w:eastAsia="Aptos"/>
          <w:spacing w:val="-2"/>
          <w:lang w:val="ru-RU"/>
        </w:rPr>
      </w:pPr>
      <w:r w:rsidRPr="006D37E9">
        <w:rPr>
          <w:rFonts w:eastAsia="Aptos"/>
          <w:lang w:val="ru-RU"/>
        </w:rPr>
        <w:t>2.4.4</w:t>
      </w:r>
      <w:r w:rsidRPr="006D37E9">
        <w:rPr>
          <w:rFonts w:eastAsia="Aptos"/>
          <w:lang w:val="ru-RU"/>
        </w:rPr>
        <w:tab/>
        <w:t xml:space="preserve">После ВКРЭ-22 БРЭ мобилизовало внебюджетные ресурсы и разработало и реализовало за трехлетний период КПД 91 проект на сумму 51 миллионов швейцарских франков, что способствовало выполнению приоритетных задач и региональных инициатив по удовлетворению конкретных потребностей регионов. Реализация проектов БРЭ для каждого региона способствует разработке различных продуктов и услуг в соответствии с приоритетами и средствами достижения целей МСЭ-D, определенными в КПД, а также в соответствии со Стратегическим планом МСЭ. Завершенные проекты БРЭ или проекты, реализация которых продолжается в рамках каждой из региональных инициатив на период 2023−2025 годов, приводятся в Информационном документе </w:t>
      </w:r>
      <w:hyperlink r:id="rId91" w:history="1">
        <w:r w:rsidRPr="006D37E9">
          <w:rPr>
            <w:rStyle w:val="Hyperlink"/>
            <w:rFonts w:eastAsia="Aptos"/>
            <w:spacing w:val="-2"/>
            <w:lang w:val="ru-RU"/>
          </w:rPr>
          <w:t>TDAG-25/INF/4</w:t>
        </w:r>
      </w:hyperlink>
      <w:r w:rsidRPr="006D37E9">
        <w:rPr>
          <w:rFonts w:eastAsia="Aptos"/>
          <w:lang w:val="ru-RU"/>
        </w:rPr>
        <w:t>.</w:t>
      </w:r>
      <w:hyperlink r:id="rId92" w:history="1"/>
    </w:p>
    <w:p w14:paraId="62EC6194" w14:textId="77777777" w:rsidR="00A971FB" w:rsidRPr="006D37E9" w:rsidRDefault="00A971FB" w:rsidP="00A971FB">
      <w:pPr>
        <w:tabs>
          <w:tab w:val="clear" w:pos="567"/>
          <w:tab w:val="clear" w:pos="1134"/>
          <w:tab w:val="clear" w:pos="1701"/>
          <w:tab w:val="clear" w:pos="2268"/>
          <w:tab w:val="clear" w:pos="2835"/>
        </w:tabs>
        <w:rPr>
          <w:rFonts w:eastAsia="Aptos"/>
          <w:lang w:val="ru-RU"/>
        </w:rPr>
      </w:pPr>
      <w:r w:rsidRPr="006D37E9">
        <w:rPr>
          <w:rFonts w:eastAsia="Aptos"/>
          <w:lang w:val="ru-RU"/>
        </w:rPr>
        <w:t>2.4.5</w:t>
      </w:r>
      <w:r w:rsidRPr="006D37E9">
        <w:rPr>
          <w:rFonts w:eastAsia="Aptos"/>
          <w:lang w:val="ru-RU"/>
        </w:rPr>
        <w:tab/>
      </w:r>
      <w:r w:rsidRPr="006D37E9">
        <w:rPr>
          <w:lang w:val="ru-RU"/>
        </w:rPr>
        <w:t xml:space="preserve">После принятия БПД были приняты новые и измененные Резолюции и региональные инициативы, осуществление которых планируется в 2026−2029 годах. В Документе </w:t>
      </w:r>
      <w:hyperlink r:id="rId93" w:history="1">
        <w:r w:rsidRPr="006D37E9">
          <w:rPr>
            <w:rStyle w:val="Hyperlink"/>
            <w:lang w:val="ru-RU"/>
          </w:rPr>
          <w:t>TDAG-26/4</w:t>
        </w:r>
      </w:hyperlink>
      <w:r w:rsidRPr="006D37E9">
        <w:rPr>
          <w:lang w:val="ru-RU"/>
        </w:rPr>
        <w:t xml:space="preserve"> освещаются финансовые последствия Резолюций, принятых на ВКРЭ-25, а в Документе </w:t>
      </w:r>
      <w:hyperlink r:id="rId94" w:history="1">
        <w:r w:rsidRPr="006D37E9">
          <w:rPr>
            <w:rStyle w:val="Hyperlink"/>
            <w:lang w:val="ru-RU"/>
          </w:rPr>
          <w:t>TDAG</w:t>
        </w:r>
        <w:r w:rsidRPr="006D37E9">
          <w:rPr>
            <w:rStyle w:val="Hyperlink"/>
            <w:lang w:val="ru-RU"/>
          </w:rPr>
          <w:noBreakHyphen/>
          <w:t>26/19</w:t>
        </w:r>
      </w:hyperlink>
      <w:r w:rsidRPr="006D37E9">
        <w:rPr>
          <w:lang w:val="ru-RU"/>
        </w:rPr>
        <w:t xml:space="preserve"> – финансовые последствия вновь принятых региональных инициатив. Более подробная информация о проектах МСЭ-D содержится в Документах </w:t>
      </w:r>
      <w:hyperlink r:id="rId95" w:history="1">
        <w:r w:rsidRPr="006D37E9">
          <w:rPr>
            <w:rStyle w:val="Hyperlink"/>
            <w:lang w:val="ru-RU"/>
          </w:rPr>
          <w:t>TDAG-25/5</w:t>
        </w:r>
      </w:hyperlink>
      <w:r w:rsidRPr="006D37E9">
        <w:rPr>
          <w:lang w:val="ru-RU"/>
        </w:rPr>
        <w:t xml:space="preserve"> и </w:t>
      </w:r>
      <w:hyperlink r:id="rId96" w:history="1">
        <w:r w:rsidRPr="006D37E9">
          <w:rPr>
            <w:rStyle w:val="Hyperlink"/>
            <w:lang w:val="ru-RU"/>
          </w:rPr>
          <w:t>TDAG</w:t>
        </w:r>
        <w:r w:rsidRPr="006D37E9">
          <w:rPr>
            <w:rStyle w:val="Hyperlink"/>
            <w:lang w:val="ru-RU"/>
          </w:rPr>
          <w:noBreakHyphen/>
          <w:t>26/8</w:t>
        </w:r>
      </w:hyperlink>
      <w:r w:rsidRPr="006D37E9">
        <w:rPr>
          <w:rFonts w:eastAsia="Aptos"/>
          <w:lang w:val="ru-RU"/>
        </w:rPr>
        <w:t xml:space="preserve">. </w:t>
      </w:r>
      <w:hyperlink r:id="rId97" w:history="1"/>
      <w:hyperlink r:id="rId98" w:history="1"/>
      <w:hyperlink r:id="rId99" w:history="1"/>
      <w:hyperlink r:id="rId100" w:history="1"/>
    </w:p>
    <w:p w14:paraId="21685D55" w14:textId="77777777" w:rsidR="00A971FB" w:rsidRPr="006D37E9" w:rsidRDefault="00A971FB" w:rsidP="00A971FB">
      <w:pPr>
        <w:pStyle w:val="Heading1"/>
        <w:tabs>
          <w:tab w:val="clear" w:pos="567"/>
          <w:tab w:val="clear" w:pos="1134"/>
          <w:tab w:val="clear" w:pos="1701"/>
          <w:tab w:val="clear" w:pos="2268"/>
          <w:tab w:val="clear" w:pos="2835"/>
        </w:tabs>
        <w:ind w:left="0" w:firstLine="0"/>
        <w:rPr>
          <w:rFonts w:eastAsia="SimSun"/>
          <w:lang w:val="ru-RU"/>
        </w:rPr>
      </w:pPr>
      <w:r w:rsidRPr="006D37E9">
        <w:rPr>
          <w:rFonts w:eastAsia="SimSun"/>
          <w:bCs/>
          <w:lang w:val="ru-RU"/>
        </w:rPr>
        <w:t>3</w:t>
      </w:r>
      <w:r w:rsidRPr="006D37E9">
        <w:rPr>
          <w:rFonts w:eastAsia="SimSun"/>
          <w:lang w:val="ru-RU"/>
        </w:rPr>
        <w:tab/>
      </w:r>
      <w:r w:rsidRPr="006D37E9">
        <w:rPr>
          <w:rFonts w:eastAsia="SimSun"/>
          <w:bCs/>
          <w:lang w:val="ru-RU"/>
        </w:rPr>
        <w:t>Деятельность, связанная с другими Секторами и Бюро МСЭ</w:t>
      </w:r>
    </w:p>
    <w:p w14:paraId="3BD1554E" w14:textId="77777777" w:rsidR="00A971FB" w:rsidRPr="006D37E9" w:rsidRDefault="00A971FB" w:rsidP="00A971FB">
      <w:pPr>
        <w:pStyle w:val="Heading2"/>
        <w:tabs>
          <w:tab w:val="clear" w:pos="567"/>
          <w:tab w:val="clear" w:pos="1134"/>
          <w:tab w:val="clear" w:pos="1701"/>
          <w:tab w:val="clear" w:pos="2268"/>
          <w:tab w:val="clear" w:pos="2835"/>
        </w:tabs>
        <w:ind w:left="0" w:firstLine="0"/>
        <w:rPr>
          <w:rFonts w:eastAsia="Aptos"/>
          <w:lang w:val="ru-RU"/>
        </w:rPr>
      </w:pPr>
      <w:r w:rsidRPr="006D37E9">
        <w:rPr>
          <w:rFonts w:eastAsia="Aptos"/>
          <w:bCs/>
          <w:lang w:val="ru-RU"/>
        </w:rPr>
        <w:t>3.1</w:t>
      </w:r>
      <w:r w:rsidRPr="006D37E9">
        <w:rPr>
          <w:rFonts w:eastAsia="Aptos"/>
          <w:lang w:val="ru-RU"/>
        </w:rPr>
        <w:tab/>
      </w:r>
      <w:r w:rsidRPr="006D37E9">
        <w:rPr>
          <w:rFonts w:eastAsia="Aptos"/>
          <w:bCs/>
          <w:lang w:val="ru-RU"/>
        </w:rPr>
        <w:t>Общее сотрудничество</w:t>
      </w:r>
    </w:p>
    <w:p w14:paraId="68C2597D" w14:textId="77777777" w:rsidR="00A971FB" w:rsidRPr="006D37E9" w:rsidRDefault="00A971FB" w:rsidP="00A971FB">
      <w:pPr>
        <w:tabs>
          <w:tab w:val="clear" w:pos="567"/>
          <w:tab w:val="clear" w:pos="1134"/>
          <w:tab w:val="clear" w:pos="1701"/>
          <w:tab w:val="clear" w:pos="2268"/>
          <w:tab w:val="clear" w:pos="2835"/>
        </w:tabs>
        <w:rPr>
          <w:rFonts w:eastAsia="Aptos"/>
          <w:lang w:val="ru-RU"/>
        </w:rPr>
      </w:pPr>
      <w:r w:rsidRPr="006D37E9">
        <w:rPr>
          <w:rFonts w:eastAsia="Aptos"/>
          <w:lang w:val="ru-RU"/>
        </w:rPr>
        <w:t xml:space="preserve">БРЭ в сотрудничестве и тесной координации с БР, БСЭ и Генеральным секретариатом неустанно работает над укреплением регионального присутствия МСЭ и повышением качества предоставления услуг Государствам-Членам. </w:t>
      </w:r>
    </w:p>
    <w:p w14:paraId="02F00D8B" w14:textId="77777777" w:rsidR="00A971FB" w:rsidRPr="006D37E9" w:rsidRDefault="00A971FB" w:rsidP="00A971FB">
      <w:pPr>
        <w:pStyle w:val="Heading2"/>
        <w:tabs>
          <w:tab w:val="clear" w:pos="567"/>
          <w:tab w:val="clear" w:pos="1134"/>
          <w:tab w:val="clear" w:pos="1701"/>
          <w:tab w:val="clear" w:pos="2268"/>
          <w:tab w:val="clear" w:pos="2835"/>
        </w:tabs>
        <w:ind w:left="0" w:firstLine="0"/>
        <w:rPr>
          <w:rFonts w:eastAsia="Aptos"/>
          <w:lang w:val="ru-RU"/>
        </w:rPr>
      </w:pPr>
      <w:r w:rsidRPr="006D37E9">
        <w:rPr>
          <w:rFonts w:eastAsia="Aptos"/>
          <w:bCs/>
          <w:lang w:val="ru-RU"/>
        </w:rPr>
        <w:t>3.2</w:t>
      </w:r>
      <w:r w:rsidRPr="006D37E9">
        <w:rPr>
          <w:rFonts w:eastAsia="Aptos"/>
          <w:lang w:val="ru-RU"/>
        </w:rPr>
        <w:tab/>
      </w:r>
      <w:r w:rsidRPr="006D37E9">
        <w:rPr>
          <w:rFonts w:eastAsia="Aptos"/>
          <w:bCs/>
          <w:lang w:val="ru-RU"/>
        </w:rPr>
        <w:t>Региональное отделение для Африки (РО-АФР)/деятельность в Африке</w:t>
      </w:r>
    </w:p>
    <w:p w14:paraId="4E444E02" w14:textId="77777777" w:rsidR="00A971FB" w:rsidRPr="006D37E9" w:rsidRDefault="00A971FB" w:rsidP="00A971FB">
      <w:pPr>
        <w:pStyle w:val="Headingb"/>
        <w:tabs>
          <w:tab w:val="clear" w:pos="567"/>
          <w:tab w:val="clear" w:pos="1134"/>
          <w:tab w:val="clear" w:pos="1701"/>
          <w:tab w:val="clear" w:pos="2268"/>
          <w:tab w:val="clear" w:pos="2835"/>
        </w:tabs>
        <w:rPr>
          <w:rFonts w:eastAsia="Aptos"/>
          <w:lang w:val="ru-RU"/>
        </w:rPr>
      </w:pPr>
      <w:r w:rsidRPr="006D37E9">
        <w:rPr>
          <w:rFonts w:eastAsia="Aptos"/>
          <w:bCs/>
          <w:lang w:val="ru-RU"/>
        </w:rPr>
        <w:t>Вопросы, связанные с деятельностью БР</w:t>
      </w:r>
      <w:r w:rsidRPr="006D37E9">
        <w:rPr>
          <w:rFonts w:eastAsia="Aptos"/>
          <w:lang w:val="ru-RU"/>
        </w:rPr>
        <w:t xml:space="preserve"> </w:t>
      </w:r>
    </w:p>
    <w:p w14:paraId="2D718BA1"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r>
      <w:r w:rsidRPr="006D37E9">
        <w:rPr>
          <w:lang w:val="ru-RU"/>
        </w:rPr>
        <w:t xml:space="preserve">РО-АФР оказало содействие в организации </w:t>
      </w:r>
      <w:hyperlink r:id="rId101" w:history="1">
        <w:r w:rsidRPr="006D37E9">
          <w:rPr>
            <w:rStyle w:val="Hyperlink"/>
            <w:lang w:val="ru-RU"/>
          </w:rPr>
          <w:t>Регионального семинара МСЭ по радиосвязи для Африки</w:t>
        </w:r>
      </w:hyperlink>
      <w:r w:rsidRPr="006D37E9">
        <w:rPr>
          <w:lang w:val="ru-RU"/>
        </w:rPr>
        <w:t>, который состоялся 5−8 мая 2025 года в Джибути</w:t>
      </w:r>
      <w:r w:rsidRPr="006D37E9">
        <w:rPr>
          <w:rFonts w:asciiTheme="minorHAnsi" w:eastAsia="Aptos" w:hAnsiTheme="minorHAnsi" w:cstheme="minorHAnsi"/>
          <w:lang w:val="ru-RU"/>
        </w:rPr>
        <w:t>.</w:t>
      </w:r>
      <w:hyperlink r:id="rId102" w:history="1"/>
    </w:p>
    <w:p w14:paraId="7806755A"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r>
      <w:r w:rsidRPr="006D37E9">
        <w:rPr>
          <w:lang w:val="ru-RU"/>
        </w:rPr>
        <w:t xml:space="preserve">20 октября 2025 года в Кигали, Руанда, РО-АФР в сотрудничестве с Ассоциацией GSM, Восточноафриканским сообществом (ВАС) и Межправительственным органом по вопросам развития (МОВР) при поддержке Всемирного банка провело в рамках Регионального проекта цифровой интеграции стран Восточной Африки (EARDIP) </w:t>
      </w:r>
      <w:hyperlink r:id="rId103" w:history="1">
        <w:r w:rsidRPr="006D37E9">
          <w:rPr>
            <w:rStyle w:val="Hyperlink"/>
            <w:lang w:val="ru-RU"/>
          </w:rPr>
          <w:t>Семинар-практикум по управлению использованием спектра на тему "Региональное согласование для расширения возможности установления трансграничных соединений в Восточной Африке"</w:t>
        </w:r>
      </w:hyperlink>
      <w:r w:rsidRPr="006D37E9">
        <w:rPr>
          <w:lang w:val="ru-RU"/>
        </w:rPr>
        <w:t xml:space="preserve">. В ходе учебного мероприятия по управлению использованием спектра, в котором приняли участие 42 специалиста из Бурунди, Демократической Республики Конго, Джибути, Эфиопии, Кении, Руанды, Сомали, Судана, Южного Судана, Танзании и Уганды, особое внимание было уделено региональной интеграции и трансграничной координации в Восточной Африке; мероприятие дало регуляторным и директивным органам возможность внедрять функционально совместимые, устойчивые и ориентированные на будущее модели управления использованием спектра, не ограничивающиеся рамками национальных границ. Совместно с БР было проведено учебное мероприятие для МСЭ по регламентарным аспектам </w:t>
      </w:r>
      <w:r w:rsidRPr="006D37E9">
        <w:rPr>
          <w:lang w:val="ru-RU"/>
        </w:rPr>
        <w:lastRenderedPageBreak/>
        <w:t>координации и заявления IMT; а также по обеспечению согласования полос частот и технических условий на региональном уровне; и опыту МСЭ в области трансграничной координации использования спектра в стандартизации технологий наземной широкополосной связи</w:t>
      </w:r>
      <w:r w:rsidRPr="006D37E9">
        <w:rPr>
          <w:rFonts w:asciiTheme="minorHAnsi" w:eastAsia="Aptos" w:hAnsiTheme="minorHAnsi" w:cstheme="minorHAnsi"/>
          <w:lang w:val="ru-RU"/>
        </w:rPr>
        <w:t>.</w:t>
      </w:r>
      <w:hyperlink r:id="rId104" w:history="1"/>
    </w:p>
    <w:p w14:paraId="2AD1040B" w14:textId="77777777" w:rsidR="00A971FB" w:rsidRPr="006D37E9" w:rsidRDefault="00A971FB" w:rsidP="00A971FB">
      <w:pPr>
        <w:pStyle w:val="Headingb"/>
        <w:tabs>
          <w:tab w:val="clear" w:pos="567"/>
          <w:tab w:val="clear" w:pos="1134"/>
          <w:tab w:val="clear" w:pos="1701"/>
          <w:tab w:val="clear" w:pos="2268"/>
          <w:tab w:val="clear" w:pos="2835"/>
        </w:tabs>
        <w:rPr>
          <w:rFonts w:eastAsia="Aptos"/>
          <w:lang w:val="ru-RU"/>
        </w:rPr>
      </w:pPr>
      <w:r w:rsidRPr="006D37E9">
        <w:rPr>
          <w:rFonts w:eastAsia="Aptos"/>
          <w:bCs/>
          <w:lang w:val="ru-RU"/>
        </w:rPr>
        <w:t>Вопросы, связанные с деятельностью БСЭ</w:t>
      </w:r>
    </w:p>
    <w:p w14:paraId="2F94E7B3"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В сотрудничестве с БСЭ была проведена серия практикумов по безопасности цифровых финансовых услуг (ЦФУ) для Гамбии, Южного Судана, Ганы, Зимбабве, Малави, Лесото, Эфиопии, Эсватини, Сьерра-Леоне, Буркина-Фасо и Габона.</w:t>
      </w:r>
    </w:p>
    <w:p w14:paraId="7E897F5C"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asciiTheme="minorHAnsi" w:eastAsia="Aptos" w:hAnsiTheme="minorHAnsi" w:cstheme="minorHAnsi"/>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РО-АФР в сотрудничестве с Ассоциацией GSM координировало организацию семинара-практикума в Бенине 5 сентября 2025 года, в ходе которого БСЭ провело учебное занятие по вопросам качества обслуживания и соответствующим рекомендациям, принятым МСЭ.</w:t>
      </w:r>
    </w:p>
    <w:p w14:paraId="7BE7FB9B"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Bidi"/>
          <w:lang w:val="ru-RU"/>
        </w:rPr>
        <w:t>–</w:t>
      </w:r>
      <w:r w:rsidRPr="006D37E9">
        <w:rPr>
          <w:rFonts w:asciiTheme="minorHAnsi" w:eastAsia="Aptos" w:hAnsiTheme="minorHAnsi" w:cstheme="minorBidi"/>
          <w:lang w:val="ru-RU"/>
        </w:rPr>
        <w:tab/>
        <w:t>Три сотрудника БСЭ назначены в РО-АФР для оказания помощи членам в работе, связанной со стандартизацией.</w:t>
      </w:r>
    </w:p>
    <w:p w14:paraId="0DAC6E03" w14:textId="77777777" w:rsidR="00A971FB" w:rsidRPr="006D37E9" w:rsidRDefault="00A971FB" w:rsidP="00A971FB">
      <w:pPr>
        <w:pStyle w:val="Heading2"/>
        <w:tabs>
          <w:tab w:val="clear" w:pos="567"/>
          <w:tab w:val="clear" w:pos="1134"/>
          <w:tab w:val="clear" w:pos="1701"/>
          <w:tab w:val="clear" w:pos="2268"/>
          <w:tab w:val="clear" w:pos="2835"/>
        </w:tabs>
        <w:ind w:left="0" w:firstLine="0"/>
        <w:rPr>
          <w:rFonts w:eastAsia="Aptos"/>
          <w:lang w:val="ru-RU"/>
        </w:rPr>
      </w:pPr>
      <w:r w:rsidRPr="006D37E9">
        <w:rPr>
          <w:rFonts w:eastAsia="Aptos"/>
          <w:bCs/>
          <w:lang w:val="ru-RU"/>
        </w:rPr>
        <w:t>3.3</w:t>
      </w:r>
      <w:r w:rsidRPr="006D37E9">
        <w:rPr>
          <w:rFonts w:eastAsia="Aptos"/>
          <w:lang w:val="ru-RU"/>
        </w:rPr>
        <w:tab/>
      </w:r>
      <w:r w:rsidRPr="006D37E9">
        <w:rPr>
          <w:rFonts w:eastAsia="Aptos"/>
          <w:bCs/>
          <w:lang w:val="ru-RU"/>
        </w:rPr>
        <w:t>Региональное отделение для Северной и Южной Америки (РО-АМР)/деятельность в Северной и Южной Америке</w:t>
      </w:r>
    </w:p>
    <w:p w14:paraId="2B051094" w14:textId="77777777" w:rsidR="00A971FB" w:rsidRPr="006D37E9" w:rsidRDefault="00A971FB" w:rsidP="00A971FB">
      <w:pPr>
        <w:pStyle w:val="Headingb"/>
        <w:tabs>
          <w:tab w:val="clear" w:pos="567"/>
          <w:tab w:val="clear" w:pos="1134"/>
          <w:tab w:val="clear" w:pos="1701"/>
          <w:tab w:val="clear" w:pos="2268"/>
          <w:tab w:val="clear" w:pos="2835"/>
        </w:tabs>
        <w:rPr>
          <w:rFonts w:eastAsia="Aptos"/>
          <w:lang w:val="ru-RU"/>
        </w:rPr>
      </w:pPr>
      <w:r w:rsidRPr="006D37E9">
        <w:rPr>
          <w:rFonts w:eastAsia="Aptos"/>
          <w:bCs/>
          <w:lang w:val="ru-RU"/>
        </w:rPr>
        <w:t>Вопросы, связанные с деятельностью БР</w:t>
      </w:r>
    </w:p>
    <w:p w14:paraId="7C59CD09"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Для поддержки мероприятий по реагированию на ураганы на Ямайке (2025 г.) было развернуто спутниковое оборудование. Предварительно размещенное спутниковое оборудование уже было развернуто на Барбадосе накануне сезона ураганов 2024 года.</w:t>
      </w:r>
    </w:p>
    <w:p w14:paraId="1C1BD938"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r>
      <w:r w:rsidRPr="006D37E9">
        <w:rPr>
          <w:lang w:val="ru-RU"/>
        </w:rPr>
        <w:t xml:space="preserve">РО-АМР участвовало в совместной организации </w:t>
      </w:r>
      <w:hyperlink r:id="rId105" w:history="1">
        <w:r w:rsidRPr="006D37E9">
          <w:rPr>
            <w:rStyle w:val="Hyperlink"/>
            <w:lang w:val="ru-RU"/>
          </w:rPr>
          <w:t>Регионального семинара по радиосвязи для Северной и Южной Америки</w:t>
        </w:r>
      </w:hyperlink>
      <w:r w:rsidRPr="006D37E9">
        <w:rPr>
          <w:lang w:val="ru-RU"/>
        </w:rPr>
        <w:t xml:space="preserve"> 12–16 июня 2025 года в Тегусигальпе, Гондурас, оказывая содействие Государствам-Членам в деле интеграции спутниковых технологий в национальные стратегии в области широкополосной связи</w:t>
      </w:r>
      <w:r w:rsidRPr="006D37E9">
        <w:rPr>
          <w:rFonts w:asciiTheme="minorHAnsi" w:eastAsia="Aptos" w:hAnsiTheme="minorHAnsi" w:cstheme="minorHAnsi"/>
          <w:lang w:val="ru-RU"/>
        </w:rPr>
        <w:t>.</w:t>
      </w:r>
      <w:hyperlink r:id="rId106" w:history="1"/>
    </w:p>
    <w:p w14:paraId="7368F210"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БРЭ сотрудничало с центрами профессиональной подготовки Академии МСЭ в Перу и Бразилии по различным программам создания потенциала в области управления использованием радиочастотного спектра, в том числе по восьми связанным с технологией 5G учебным курсам, которые проводились в Коста-Рике с сентября по октябрь 2025 года.</w:t>
      </w:r>
    </w:p>
    <w:p w14:paraId="1C1B3CE9"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В декабре 2025 года БРЭ подготовило для Колумбии Генеральный план прекращения аналогового телевизионного вещания (PGCEA).</w:t>
      </w:r>
    </w:p>
    <w:p w14:paraId="5BFC7C1A"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Доминиканской Республике (2025 г.) была оказана техническая помощь в разработке плана внедрения системы картирования.</w:t>
      </w:r>
    </w:p>
    <w:p w14:paraId="0031D9E6" w14:textId="77777777" w:rsidR="00A971FB" w:rsidRPr="006D37E9" w:rsidRDefault="00A971FB" w:rsidP="00A971FB">
      <w:pPr>
        <w:pStyle w:val="Headingb"/>
        <w:tabs>
          <w:tab w:val="clear" w:pos="567"/>
          <w:tab w:val="clear" w:pos="1134"/>
          <w:tab w:val="clear" w:pos="1701"/>
          <w:tab w:val="clear" w:pos="2268"/>
          <w:tab w:val="clear" w:pos="2835"/>
        </w:tabs>
        <w:rPr>
          <w:rFonts w:eastAsia="Aptos"/>
          <w:lang w:val="ru-RU"/>
        </w:rPr>
      </w:pPr>
      <w:r w:rsidRPr="006D37E9">
        <w:rPr>
          <w:rFonts w:eastAsia="Aptos"/>
          <w:bCs/>
          <w:lang w:val="ru-RU"/>
        </w:rPr>
        <w:t>Вопросы, связанные с деятельностью БСЭ</w:t>
      </w:r>
      <w:r w:rsidRPr="006D37E9">
        <w:rPr>
          <w:rFonts w:eastAsia="Aptos"/>
          <w:lang w:val="ru-RU"/>
        </w:rPr>
        <w:t xml:space="preserve"> </w:t>
      </w:r>
    </w:p>
    <w:p w14:paraId="138107FA"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Через РО-АМР БРЭ содействует активному привлечению Государств-Членов из региона Северной и Южной Америки и Членов МСЭ, представляющих компании отрасли, к работе исследовательских комиссий БСЭ на различных собраниях.</w:t>
      </w:r>
    </w:p>
    <w:p w14:paraId="581BB6DF"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Проводятся периодические координационные совещания с Директором БСЭ и руководящим составом БСЭ, которые по мере необходимости дополняются консультациями на оперативном уровне.</w:t>
      </w:r>
    </w:p>
    <w:p w14:paraId="3A4361EF"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 xml:space="preserve">РО-АМР содействовало координации между БСЭ и региональными организациями (СИТЕЛ, главным образом в ПКК 1) и оказывало помощь в обеспечении регионального участия. Что касается программы по преодолению разрыва в стандартизации (ПРС), то РО-АМР оказывает поддержку БСЭ на самом высоком уровне соответствующих мероприятий или площадок, используя обновленные продукты и услуги в области ПРС в стандартизации (с учетом Резолюции 123 ПК-22 и Резолюции 44 ВАСЭ-24). </w:t>
      </w:r>
    </w:p>
    <w:p w14:paraId="4610E078"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lastRenderedPageBreak/>
        <w:t>–</w:t>
      </w:r>
      <w:r w:rsidRPr="006D37E9">
        <w:rPr>
          <w:rFonts w:asciiTheme="minorHAnsi" w:eastAsia="Aptos" w:hAnsiTheme="minorHAnsi" w:cstheme="minorHAnsi"/>
          <w:lang w:val="ru-RU"/>
        </w:rPr>
        <w:tab/>
        <w:t>БСЭ приняло активное участие в Региональном экономическом диалоге (РЭД-АМР) в октябре 2025 года в Монтевидео, Уругвай, поделившись знаниями и опытом в области текущей деятельности 3-й Исследовательской комиссии МСЭ-T и Оперативной группы МСЭ-Т по моделям определения затрат для приемлемых в ценовом отношении услуг передачи данных (ОГ-CD), а также нормативных положений, применимых к сетям электросвязи.</w:t>
      </w:r>
    </w:p>
    <w:p w14:paraId="23913DD9" w14:textId="3A1A061F"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РО-АМР содействовало проведению собрания Региональной группы 3-й Исследовательской комиссии МСЭ-Т для Латинской Америки и Карибского бассейна (РегГр-ЛАК ИК3) и собрания Региональной группы 2-й Исследовательской комиссии МСЭ-Т для Северной и Южной Америки (РегГр-АМР ИК2), которые состоялись в Монтевидео, Уругвай, в октябре 2025 года.</w:t>
      </w:r>
    </w:p>
    <w:p w14:paraId="15FE7E75" w14:textId="77777777" w:rsidR="00A971FB" w:rsidRPr="006D37E9" w:rsidRDefault="00A971FB" w:rsidP="00A971FB">
      <w:pPr>
        <w:pStyle w:val="Heading2"/>
        <w:tabs>
          <w:tab w:val="clear" w:pos="567"/>
          <w:tab w:val="clear" w:pos="1134"/>
          <w:tab w:val="clear" w:pos="1701"/>
          <w:tab w:val="clear" w:pos="2268"/>
          <w:tab w:val="clear" w:pos="2835"/>
        </w:tabs>
        <w:ind w:left="0" w:firstLine="0"/>
        <w:rPr>
          <w:rFonts w:eastAsia="Aptos"/>
          <w:lang w:val="ru-RU"/>
        </w:rPr>
      </w:pPr>
      <w:r w:rsidRPr="006D37E9">
        <w:rPr>
          <w:rFonts w:eastAsia="Aptos"/>
          <w:bCs/>
          <w:lang w:val="ru-RU"/>
        </w:rPr>
        <w:t>3.4</w:t>
      </w:r>
      <w:r w:rsidRPr="006D37E9">
        <w:rPr>
          <w:rFonts w:eastAsia="Aptos"/>
          <w:lang w:val="ru-RU"/>
        </w:rPr>
        <w:tab/>
      </w:r>
      <w:r w:rsidRPr="006D37E9">
        <w:rPr>
          <w:rFonts w:eastAsia="Aptos"/>
          <w:bCs/>
          <w:lang w:val="ru-RU"/>
        </w:rPr>
        <w:t>Региональное отделение для арабских государств (РО-АРБ)/деятельность в арабских государствах</w:t>
      </w:r>
    </w:p>
    <w:p w14:paraId="5F461310" w14:textId="77777777" w:rsidR="00A971FB" w:rsidRPr="006D37E9" w:rsidRDefault="00A971FB" w:rsidP="00A971FB">
      <w:pPr>
        <w:pStyle w:val="Headingb"/>
        <w:tabs>
          <w:tab w:val="clear" w:pos="567"/>
          <w:tab w:val="clear" w:pos="1134"/>
          <w:tab w:val="clear" w:pos="1701"/>
          <w:tab w:val="clear" w:pos="2268"/>
          <w:tab w:val="clear" w:pos="2835"/>
        </w:tabs>
        <w:rPr>
          <w:rFonts w:eastAsia="Aptos"/>
          <w:lang w:val="ru-RU"/>
        </w:rPr>
      </w:pPr>
      <w:r w:rsidRPr="006D37E9">
        <w:rPr>
          <w:rFonts w:eastAsia="Aptos"/>
          <w:bCs/>
          <w:lang w:val="ru-RU"/>
        </w:rPr>
        <w:t>Вопросы, связанные с деятельностью БР</w:t>
      </w:r>
    </w:p>
    <w:p w14:paraId="1E562E5F"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В Алжире был организован региональный семинар-практикум МСЭ для региона арабских государств на тему "Универсальная и реальная возможность установления соединений", на котором рассматривались проблемы, связанные с развитием инфраструктуры и возможностью установления соединений.</w:t>
      </w:r>
    </w:p>
    <w:p w14:paraId="6B3DB904"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Bidi"/>
          <w:lang w:val="ru-RU"/>
        </w:rPr>
        <w:t>–</w:t>
      </w:r>
      <w:r w:rsidRPr="006D37E9">
        <w:rPr>
          <w:rFonts w:asciiTheme="minorHAnsi" w:eastAsia="Aptos" w:hAnsiTheme="minorHAnsi" w:cstheme="minorBidi"/>
          <w:lang w:val="ru-RU"/>
        </w:rPr>
        <w:tab/>
        <w:t>РО-АРБ продолжило координацию с БР региональной работы в рамках Арабской группы по управлению использованием спектра (ASMG).</w:t>
      </w:r>
    </w:p>
    <w:p w14:paraId="39EFCBBC" w14:textId="25B2E7CB" w:rsidR="00A971FB" w:rsidRPr="006D37E9" w:rsidRDefault="00A971FB" w:rsidP="00A971FB">
      <w:pPr>
        <w:pStyle w:val="Headingb"/>
        <w:tabs>
          <w:tab w:val="clear" w:pos="567"/>
          <w:tab w:val="clear" w:pos="1134"/>
          <w:tab w:val="clear" w:pos="1701"/>
          <w:tab w:val="clear" w:pos="2268"/>
          <w:tab w:val="clear" w:pos="2835"/>
        </w:tabs>
        <w:rPr>
          <w:rFonts w:eastAsia="Aptos"/>
          <w:lang w:val="ru-RU"/>
        </w:rPr>
      </w:pPr>
      <w:r w:rsidRPr="006D37E9">
        <w:rPr>
          <w:rFonts w:eastAsia="Aptos"/>
          <w:bCs/>
          <w:lang w:val="ru-RU"/>
        </w:rPr>
        <w:t>Вопросы, связанные с деятельностью БСЭ</w:t>
      </w:r>
    </w:p>
    <w:p w14:paraId="3F67B9BF" w14:textId="1EC5314D" w:rsidR="00A971FB" w:rsidRPr="006D37E9" w:rsidRDefault="00A971FB" w:rsidP="00A971FB">
      <w:pPr>
        <w:pStyle w:val="enumlev1"/>
        <w:tabs>
          <w:tab w:val="clear" w:pos="567"/>
          <w:tab w:val="clear" w:pos="1134"/>
          <w:tab w:val="clear" w:pos="1701"/>
          <w:tab w:val="clear" w:pos="2268"/>
          <w:tab w:val="clear" w:pos="2835"/>
        </w:tabs>
        <w:ind w:left="709" w:hanging="425"/>
        <w:rPr>
          <w:szCs w:val="24"/>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БРЭ оказало содействие в организации собрания Региональной группы 3</w:t>
      </w:r>
      <w:r w:rsidR="006D37E9" w:rsidRPr="006D37E9">
        <w:rPr>
          <w:rFonts w:asciiTheme="minorHAnsi" w:eastAsia="Aptos" w:hAnsiTheme="minorHAnsi" w:cstheme="minorHAnsi"/>
          <w:lang w:val="ru-RU"/>
        </w:rPr>
        <w:noBreakHyphen/>
      </w:r>
      <w:r w:rsidRPr="006D37E9">
        <w:rPr>
          <w:rFonts w:asciiTheme="minorHAnsi" w:eastAsia="Aptos" w:hAnsiTheme="minorHAnsi" w:cstheme="minorHAnsi"/>
          <w:lang w:val="ru-RU"/>
        </w:rPr>
        <w:t>й</w:t>
      </w:r>
      <w:r w:rsidR="006D37E9" w:rsidRPr="006D37E9">
        <w:rPr>
          <w:rFonts w:asciiTheme="minorHAnsi" w:eastAsia="Aptos" w:hAnsiTheme="minorHAnsi" w:cstheme="minorHAnsi"/>
          <w:lang w:val="ru-RU"/>
        </w:rPr>
        <w:t> </w:t>
      </w:r>
      <w:r w:rsidRPr="006D37E9">
        <w:rPr>
          <w:rFonts w:asciiTheme="minorHAnsi" w:eastAsia="Aptos" w:hAnsiTheme="minorHAnsi" w:cstheme="minorHAnsi"/>
          <w:lang w:val="ru-RU"/>
        </w:rPr>
        <w:t>Исследовательской комиссии БСЭ в Аммане, Иордания, в феврале 2025 года.</w:t>
      </w:r>
    </w:p>
    <w:p w14:paraId="094DB50C"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szCs w:val="24"/>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БРЭ и Национальный регуляторный орган электросвязи Египта (NTRA) реализуют проект "Умные" устойчивые города и сообщества (SSC&amp;C)". В рамках этого проекта РО-АРБ координировало разработку и продвижение проекта SSC&amp;C с 20-й Исследовательской комиссией МСЭ-Т. Кроме того, вклады, замечания и технические руководящие указания руководства 20-й Исследовательской комиссии МСЭ-Т были учтены в работе, развернутой БРЭ над проектом рамочной основы оценки SSC&amp;C для Египта.</w:t>
      </w:r>
    </w:p>
    <w:p w14:paraId="05274CFA" w14:textId="63EA1A57" w:rsidR="00A971FB" w:rsidRPr="006D37E9" w:rsidRDefault="00A971FB" w:rsidP="00A971FB">
      <w:pPr>
        <w:pStyle w:val="enumlev1"/>
        <w:tabs>
          <w:tab w:val="clear" w:pos="567"/>
          <w:tab w:val="clear" w:pos="1134"/>
          <w:tab w:val="clear" w:pos="1701"/>
          <w:tab w:val="clear" w:pos="2268"/>
          <w:tab w:val="clear" w:pos="2835"/>
        </w:tabs>
        <w:ind w:left="709" w:hanging="425"/>
        <w:rPr>
          <w:rFonts w:eastAsia="Calibri" w:cs="Calibri"/>
          <w:szCs w:val="22"/>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29−30 марта 2026 года планируется провести собрание Региональной группы 3</w:t>
      </w:r>
      <w:r w:rsidR="006D37E9" w:rsidRPr="006D37E9">
        <w:rPr>
          <w:rFonts w:asciiTheme="minorHAnsi" w:eastAsia="Aptos" w:hAnsiTheme="minorHAnsi" w:cstheme="minorHAnsi"/>
          <w:lang w:val="ru-RU"/>
        </w:rPr>
        <w:noBreakHyphen/>
      </w:r>
      <w:r w:rsidRPr="006D37E9">
        <w:rPr>
          <w:rFonts w:asciiTheme="minorHAnsi" w:eastAsia="Aptos" w:hAnsiTheme="minorHAnsi" w:cstheme="minorHAnsi"/>
          <w:lang w:val="ru-RU"/>
        </w:rPr>
        <w:t>й</w:t>
      </w:r>
      <w:r w:rsidR="006D37E9" w:rsidRPr="006D37E9">
        <w:rPr>
          <w:rFonts w:asciiTheme="minorHAnsi" w:eastAsia="Aptos" w:hAnsiTheme="minorHAnsi" w:cstheme="minorHAnsi"/>
          <w:lang w:val="ru-RU"/>
        </w:rPr>
        <w:t> </w:t>
      </w:r>
      <w:r w:rsidRPr="006D37E9">
        <w:rPr>
          <w:rFonts w:asciiTheme="minorHAnsi" w:eastAsia="Aptos" w:hAnsiTheme="minorHAnsi" w:cstheme="minorHAnsi"/>
          <w:lang w:val="ru-RU"/>
        </w:rPr>
        <w:t>Исследовательской комиссии МСЭ-Т для Арабского региона (РегГр-АРБ ИК3), а затем, 30−31</w:t>
      </w:r>
      <w:r w:rsidR="006D37E9" w:rsidRPr="006D37E9">
        <w:rPr>
          <w:rFonts w:asciiTheme="minorHAnsi" w:eastAsia="Aptos" w:hAnsiTheme="minorHAnsi" w:cstheme="minorHAnsi"/>
          <w:lang w:val="ru-RU"/>
        </w:rPr>
        <w:t> </w:t>
      </w:r>
      <w:r w:rsidRPr="006D37E9">
        <w:rPr>
          <w:rFonts w:asciiTheme="minorHAnsi" w:eastAsia="Aptos" w:hAnsiTheme="minorHAnsi" w:cstheme="minorHAnsi"/>
          <w:lang w:val="ru-RU"/>
        </w:rPr>
        <w:t>марта 2026 года, состоится собрание Региональной группы 20-й Исследовательской комиссии МСЭ-Т для Африки (РегГр-АФР ИК20) в Каире, Египет.</w:t>
      </w:r>
    </w:p>
    <w:p w14:paraId="4FC0CE76"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Calibri" w:cs="Calibri"/>
          <w:szCs w:val="22"/>
          <w:lang w:val="ru-RU"/>
        </w:rPr>
      </w:pPr>
      <w:r w:rsidRPr="006D37E9">
        <w:rPr>
          <w:rFonts w:asciiTheme="minorHAnsi" w:eastAsia="Aptos" w:hAnsiTheme="minorHAnsi" w:cstheme="minorBidi"/>
          <w:lang w:val="ru-RU"/>
        </w:rPr>
        <w:t>–</w:t>
      </w:r>
      <w:r w:rsidRPr="006D37E9">
        <w:rPr>
          <w:rFonts w:asciiTheme="minorHAnsi" w:eastAsia="Aptos" w:hAnsiTheme="minorHAnsi" w:cstheme="minorBidi"/>
          <w:lang w:val="ru-RU"/>
        </w:rPr>
        <w:tab/>
        <w:t>В РО-АРБ был назначен сотрудник категории общего обслуживания в целях повышения координации и содействия в работе с БСЭ, связанной с исследовательскими комиссиями.</w:t>
      </w:r>
    </w:p>
    <w:p w14:paraId="32BD7530" w14:textId="77777777" w:rsidR="00A971FB" w:rsidRPr="006D37E9" w:rsidRDefault="00A971FB" w:rsidP="00A971FB">
      <w:pPr>
        <w:pStyle w:val="Heading2"/>
        <w:tabs>
          <w:tab w:val="clear" w:pos="567"/>
          <w:tab w:val="clear" w:pos="1134"/>
          <w:tab w:val="clear" w:pos="1701"/>
          <w:tab w:val="clear" w:pos="2268"/>
          <w:tab w:val="clear" w:pos="2835"/>
        </w:tabs>
        <w:ind w:left="0" w:firstLine="0"/>
        <w:rPr>
          <w:rFonts w:eastAsia="Aptos"/>
          <w:lang w:val="ru-RU"/>
        </w:rPr>
      </w:pPr>
      <w:r w:rsidRPr="006D37E9">
        <w:rPr>
          <w:rFonts w:eastAsia="Aptos"/>
          <w:bCs/>
          <w:lang w:val="ru-RU"/>
        </w:rPr>
        <w:t>3.5</w:t>
      </w:r>
      <w:r w:rsidRPr="006D37E9">
        <w:rPr>
          <w:rFonts w:eastAsia="Aptos"/>
          <w:lang w:val="ru-RU"/>
        </w:rPr>
        <w:tab/>
      </w:r>
      <w:r w:rsidRPr="006D37E9">
        <w:rPr>
          <w:rFonts w:eastAsia="Aptos"/>
          <w:bCs/>
          <w:lang w:val="ru-RU"/>
        </w:rPr>
        <w:t>Региональное отделение для Азиатско-Тихоокеанского региона (РО-АТР)/деятельность в Азиатско-Тихоокеанском регионе</w:t>
      </w:r>
    </w:p>
    <w:p w14:paraId="294570A1" w14:textId="0E0118FD" w:rsidR="00A971FB" w:rsidRPr="006D37E9" w:rsidRDefault="00A971FB" w:rsidP="00A971FB">
      <w:pPr>
        <w:pStyle w:val="Headingb"/>
        <w:tabs>
          <w:tab w:val="clear" w:pos="567"/>
          <w:tab w:val="clear" w:pos="1134"/>
          <w:tab w:val="clear" w:pos="1701"/>
          <w:tab w:val="clear" w:pos="2268"/>
          <w:tab w:val="clear" w:pos="2835"/>
        </w:tabs>
        <w:rPr>
          <w:rFonts w:eastAsia="Aptos"/>
          <w:lang w:val="ru-RU"/>
        </w:rPr>
      </w:pPr>
      <w:r w:rsidRPr="006D37E9">
        <w:rPr>
          <w:rFonts w:eastAsia="Aptos"/>
          <w:bCs/>
          <w:lang w:val="ru-RU"/>
        </w:rPr>
        <w:t>Вопросы, связанные с деятельностью БР</w:t>
      </w:r>
    </w:p>
    <w:p w14:paraId="67FEA12F"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r>
      <w:r w:rsidRPr="006D37E9">
        <w:rPr>
          <w:lang w:val="ru-RU"/>
        </w:rPr>
        <w:t xml:space="preserve">РО-АТР оказало содействие БР в организации </w:t>
      </w:r>
      <w:hyperlink r:id="rId107" w:history="1">
        <w:r w:rsidRPr="006D37E9">
          <w:rPr>
            <w:rStyle w:val="Hyperlink"/>
            <w:lang w:val="ru-RU"/>
          </w:rPr>
          <w:t>Регионального семинара МСЭ по радиосвязи для Азиатско-Тихоокеанского региона</w:t>
        </w:r>
      </w:hyperlink>
      <w:r w:rsidRPr="006D37E9">
        <w:rPr>
          <w:lang w:val="ru-RU"/>
        </w:rPr>
        <w:t>, который состоялся 20−24 октября 2025 года в Чэнду, Китайская Народная Республика. Деятельность РО</w:t>
      </w:r>
      <w:r w:rsidRPr="006D37E9">
        <w:rPr>
          <w:lang w:val="ru-RU"/>
        </w:rPr>
        <w:noBreakHyphen/>
        <w:t>АТР осуществлялась во исполнение Резолюции 9 ВКРЭ-22 и в соответствии с Региональной инициативой 3 АТР: ожидаемый результат 6</w:t>
      </w:r>
      <w:r w:rsidRPr="006D37E9">
        <w:rPr>
          <w:rFonts w:asciiTheme="minorHAnsi" w:eastAsia="Aptos" w:hAnsiTheme="minorHAnsi" w:cstheme="minorHAnsi"/>
          <w:lang w:val="ru-RU"/>
        </w:rPr>
        <w:t>.</w:t>
      </w:r>
      <w:hyperlink r:id="rId108"/>
    </w:p>
    <w:p w14:paraId="2E7A79F7"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r>
      <w:r w:rsidRPr="006D37E9">
        <w:rPr>
          <w:lang w:val="ru-RU"/>
        </w:rPr>
        <w:t xml:space="preserve">РО-АТР содействовало БР в организации </w:t>
      </w:r>
      <w:hyperlink r:id="rId109" w:history="1">
        <w:r w:rsidRPr="006D37E9">
          <w:rPr>
            <w:rStyle w:val="Hyperlink"/>
            <w:lang w:val="ru-RU"/>
          </w:rPr>
          <w:t>Семинара-практикума МСЭ по современным методам управления использованием спектра 2025 года для Района 3 (WS-MSS-25-R3)</w:t>
        </w:r>
      </w:hyperlink>
      <w:hyperlink r:id="rId110" w:history="1"/>
      <w:r w:rsidRPr="006D37E9">
        <w:rPr>
          <w:lang w:val="ru-RU"/>
        </w:rPr>
        <w:t xml:space="preserve"> РО-АТР обратило внимание на потребности в радиочастотном спектре для критически важных служб, включая воздушные, морские, службы раннего предупреждения и смягчения последствий </w:t>
      </w:r>
      <w:r w:rsidRPr="006D37E9">
        <w:rPr>
          <w:lang w:val="ru-RU"/>
        </w:rPr>
        <w:lastRenderedPageBreak/>
        <w:t>бедствий, и осветило возможности системы SMS4DC в области автоматизации управления использованием спектра. Семинар-практикум прошел 27</w:t>
      </w:r>
      <w:r w:rsidRPr="006D37E9">
        <w:rPr>
          <w:rFonts w:cs="Calibri"/>
          <w:lang w:val="ru-RU"/>
        </w:rPr>
        <w:t>−</w:t>
      </w:r>
      <w:r w:rsidRPr="006D37E9">
        <w:rPr>
          <w:lang w:val="ru-RU"/>
        </w:rPr>
        <w:t>29 октября 2025 года при поддержке MIIT Китая</w:t>
      </w:r>
      <w:r w:rsidRPr="006D37E9">
        <w:rPr>
          <w:rFonts w:asciiTheme="minorHAnsi" w:eastAsia="Aptos" w:hAnsiTheme="minorHAnsi" w:cstheme="minorHAnsi"/>
          <w:lang w:val="ru-RU"/>
        </w:rPr>
        <w:t xml:space="preserve">. </w:t>
      </w:r>
      <w:hyperlink r:id="rId111" w:history="1"/>
    </w:p>
    <w:p w14:paraId="2BA5D62B"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 xml:space="preserve">РО-АТР оказало поддержку в проведении семинара по научным службам в рамках подготовки к ВКР-27, состоявшемся 9−10 декабря 2025 года в Сайберджае, Малайзия. </w:t>
      </w:r>
    </w:p>
    <w:p w14:paraId="1415F682"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В ходе оказания прямого содействия Палау, Науру и Вануату в рамках Региональной инициативы 3 АТР (ожидаемый результат 6) удалось расширить базу знаний технического персонала благодаря проведению специальных сессий, посвященных управлению использованием спектра на национальном уровне, радиочастотному контролю, международной координации и роли ВКР. На 2026 год запланированы аналогичные меры содействия для Тимора-Лешти, Республики Маршалловы Острова и Брунея.</w:t>
      </w:r>
    </w:p>
    <w:p w14:paraId="299E8643"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r>
      <w:r w:rsidRPr="006D37E9">
        <w:rPr>
          <w:lang w:val="ru-RU"/>
        </w:rPr>
        <w:t>28</w:t>
      </w:r>
      <w:r w:rsidRPr="006D37E9">
        <w:rPr>
          <w:rFonts w:cs="Calibri"/>
          <w:lang w:val="ru-RU"/>
        </w:rPr>
        <w:t>−</w:t>
      </w:r>
      <w:r w:rsidRPr="006D37E9">
        <w:rPr>
          <w:lang w:val="ru-RU"/>
        </w:rPr>
        <w:t xml:space="preserve">29 августа 2025 года в Улан-Баторе, Монголия, состоялся </w:t>
      </w:r>
      <w:hyperlink r:id="rId112" w:history="1">
        <w:r w:rsidRPr="006D37E9">
          <w:rPr>
            <w:rStyle w:val="Hyperlink"/>
            <w:lang w:val="ru-RU"/>
          </w:rPr>
          <w:t>семинар МСЭ – ITTLLDC (Международный аналитический центр для ЛЛДС) 2025 года</w:t>
        </w:r>
      </w:hyperlink>
      <w:r w:rsidRPr="006D37E9">
        <w:rPr>
          <w:lang w:val="ru-RU"/>
        </w:rPr>
        <w:t>, посвященный теме "Сотрудничество в сфере устойчивой космической связи, использования спектра и систем раннего предупреждения". В мероприятии приняли участие представители ЛЛДС из АТР и СНГ, а также других стран региона АТР</w:t>
      </w:r>
      <w:r w:rsidRPr="006D37E9">
        <w:rPr>
          <w:rFonts w:asciiTheme="minorHAnsi" w:eastAsia="Aptos" w:hAnsiTheme="minorHAnsi" w:cstheme="minorHAnsi"/>
          <w:lang w:val="ru-RU"/>
        </w:rPr>
        <w:t>.</w:t>
      </w:r>
      <w:hyperlink r:id="rId113" w:history="1"/>
    </w:p>
    <w:p w14:paraId="4191722F"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Bidi"/>
          <w:lang w:val="ru-RU"/>
        </w:rPr>
        <w:t>–</w:t>
      </w:r>
      <w:r w:rsidRPr="006D37E9">
        <w:rPr>
          <w:rFonts w:asciiTheme="minorHAnsi" w:eastAsia="Aptos" w:hAnsiTheme="minorHAnsi" w:cstheme="minorBidi"/>
          <w:lang w:val="ru-RU"/>
        </w:rPr>
        <w:tab/>
      </w:r>
      <w:r w:rsidRPr="006D37E9">
        <w:rPr>
          <w:lang w:val="ru-RU"/>
        </w:rPr>
        <w:t xml:space="preserve">Помимо этого, в рамках </w:t>
      </w:r>
      <w:hyperlink r:id="rId114" w:history="1">
        <w:r w:rsidRPr="006D37E9">
          <w:rPr>
            <w:rStyle w:val="Hyperlink"/>
            <w:lang w:val="ru-RU"/>
          </w:rPr>
          <w:t>Программы "Раннее предупреждение для всех" (EW4ALL)</w:t>
        </w:r>
      </w:hyperlink>
      <w:r w:rsidRPr="006D37E9">
        <w:rPr>
          <w:lang w:val="ru-RU"/>
        </w:rPr>
        <w:t xml:space="preserve"> в АТР был проведен ряд мероприятий, связанных с деятельностью БР</w:t>
      </w:r>
      <w:r w:rsidRPr="006D37E9">
        <w:rPr>
          <w:rFonts w:asciiTheme="minorHAnsi" w:eastAsia="Aptos" w:hAnsiTheme="minorHAnsi" w:cstheme="minorBidi"/>
          <w:lang w:val="ru-RU"/>
        </w:rPr>
        <w:t>.</w:t>
      </w:r>
      <w:hyperlink r:id="rId115"/>
    </w:p>
    <w:p w14:paraId="03D6579C"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РО-АТР приняло участие в 12-й Азиатско-Тихоокеанской конференции по управлению использованием спектра, организованной Forum Global в Пномпене 11−12 марта 2026 года.</w:t>
      </w:r>
    </w:p>
    <w:p w14:paraId="50EBA9AD" w14:textId="77777777" w:rsidR="00A971FB" w:rsidRPr="006D37E9" w:rsidRDefault="00A971FB" w:rsidP="00A971FB">
      <w:pPr>
        <w:pStyle w:val="Headingb"/>
        <w:tabs>
          <w:tab w:val="clear" w:pos="567"/>
          <w:tab w:val="clear" w:pos="1134"/>
          <w:tab w:val="clear" w:pos="1701"/>
          <w:tab w:val="clear" w:pos="2268"/>
          <w:tab w:val="clear" w:pos="2835"/>
        </w:tabs>
        <w:rPr>
          <w:rFonts w:eastAsia="Aptos"/>
          <w:lang w:val="ru-RU"/>
        </w:rPr>
      </w:pPr>
      <w:r w:rsidRPr="006D37E9">
        <w:rPr>
          <w:rFonts w:eastAsia="Aptos"/>
          <w:bCs/>
          <w:lang w:val="ru-RU"/>
        </w:rPr>
        <w:t>Вопросы, связанные с деятельностью БСЭ</w:t>
      </w:r>
      <w:r w:rsidRPr="006D37E9">
        <w:rPr>
          <w:rFonts w:eastAsia="Aptos"/>
          <w:lang w:val="ru-RU"/>
        </w:rPr>
        <w:t xml:space="preserve"> </w:t>
      </w:r>
    </w:p>
    <w:p w14:paraId="7BD93FEA" w14:textId="77777777" w:rsidR="00A971FB" w:rsidRPr="006D37E9" w:rsidRDefault="00A971FB" w:rsidP="00A971FB">
      <w:pPr>
        <w:pStyle w:val="enumlev1"/>
        <w:tabs>
          <w:tab w:val="clear" w:pos="567"/>
          <w:tab w:val="clear" w:pos="1134"/>
          <w:tab w:val="clear" w:pos="1701"/>
          <w:tab w:val="clear" w:pos="2268"/>
          <w:tab w:val="clear" w:pos="2835"/>
        </w:tabs>
        <w:ind w:left="709" w:hanging="425"/>
        <w:rPr>
          <w:lang w:val="ru-RU"/>
        </w:rPr>
      </w:pPr>
      <w:r w:rsidRPr="006D37E9">
        <w:rPr>
          <w:rFonts w:asciiTheme="minorHAnsi" w:eastAsia="Aptos" w:hAnsiTheme="minorHAnsi" w:cstheme="minorBidi"/>
          <w:lang w:val="ru-RU"/>
        </w:rPr>
        <w:t>–</w:t>
      </w:r>
      <w:r w:rsidRPr="006D37E9">
        <w:rPr>
          <w:rFonts w:asciiTheme="minorHAnsi" w:eastAsia="Aptos" w:hAnsiTheme="minorHAnsi" w:cstheme="minorBidi"/>
          <w:lang w:val="ru-RU"/>
        </w:rPr>
        <w:tab/>
        <w:t>После консультаций с БСЭ и Министерством внутренних дел и связи Японии (MIC) БРЭ и MIC 6 февраля 2025 года обменялись письмами, в результате чего было выделено финансирование для проекта "Создание потенциала в области технологий и стандартов искусственного интеллекта в Азиатско-Тихоокеанском регионе", призванного укрепить потенциал правительств и заинтересованных сторон в области технологий и стандартов ИИ для поддержки цифровой трансформации и сокращения разрыва в стандартизации. После первого семинара-практикума, прошедшего в мае 2025 года в Дели, Индия, в том же году были организованы следующие дополнительные семинары-практикумы:</w:t>
      </w:r>
    </w:p>
    <w:p w14:paraId="5875EDB1" w14:textId="77777777" w:rsidR="00A971FB" w:rsidRPr="006D37E9" w:rsidRDefault="00A971FB" w:rsidP="00A971FB">
      <w:pPr>
        <w:pStyle w:val="enumlev2"/>
        <w:tabs>
          <w:tab w:val="clear" w:pos="567"/>
          <w:tab w:val="clear" w:pos="1134"/>
          <w:tab w:val="clear" w:pos="1701"/>
          <w:tab w:val="clear" w:pos="2268"/>
          <w:tab w:val="clear" w:pos="2835"/>
        </w:tabs>
        <w:ind w:hanging="425"/>
        <w:rPr>
          <w:rFonts w:eastAsia="Aptos"/>
          <w:lang w:val="ru-RU"/>
        </w:rPr>
      </w:pPr>
      <w:r w:rsidRPr="006D37E9">
        <w:rPr>
          <w:rFonts w:eastAsia="Aptos"/>
          <w:lang w:val="ru-RU"/>
        </w:rPr>
        <w:t>•</w:t>
      </w:r>
      <w:r w:rsidRPr="006D37E9">
        <w:rPr>
          <w:rFonts w:eastAsia="Aptos"/>
          <w:lang w:val="ru-RU"/>
        </w:rPr>
        <w:tab/>
        <w:t>в Куала-Лумпуре, Малайзия, 9−12 сентября, в ходе которого обучение прошли в общей сложности 73 участника из 9 Государств-Членов, включая Малайзию, Индонезию, Бруней, Тимор-Лешти, Таиланд, Камбоджу, Монголию, Лаосскую НДР и Пакистан. Перед семинаром-практикумом 19 и 16 августа были организованы две онлайновые сессии, на которых обсуждались учебные материалы по a) стандартам ИИ и b) технологиям ИИ.</w:t>
      </w:r>
    </w:p>
    <w:p w14:paraId="3F2C788A" w14:textId="77777777" w:rsidR="00A971FB" w:rsidRPr="006D37E9" w:rsidRDefault="00A971FB" w:rsidP="00A971FB">
      <w:pPr>
        <w:pStyle w:val="enumlev2"/>
        <w:tabs>
          <w:tab w:val="clear" w:pos="567"/>
          <w:tab w:val="clear" w:pos="1134"/>
          <w:tab w:val="clear" w:pos="1701"/>
          <w:tab w:val="clear" w:pos="2268"/>
          <w:tab w:val="clear" w:pos="2835"/>
        </w:tabs>
        <w:ind w:hanging="425"/>
        <w:rPr>
          <w:rFonts w:eastAsia="Aptos"/>
          <w:lang w:val="ru-RU"/>
        </w:rPr>
      </w:pPr>
      <w:r w:rsidRPr="006D37E9">
        <w:rPr>
          <w:rFonts w:eastAsia="Aptos"/>
          <w:lang w:val="ru-RU"/>
        </w:rPr>
        <w:t>•</w:t>
      </w:r>
      <w:r w:rsidRPr="006D37E9">
        <w:rPr>
          <w:rFonts w:eastAsia="Aptos"/>
          <w:lang w:val="ru-RU"/>
        </w:rPr>
        <w:tab/>
        <w:t>в Тхимпху, Бутан, 22−26 сентября, в ходе которого обучение основам ИИ в двух группах прошли 69 государственных служащих из Бутана.</w:t>
      </w:r>
    </w:p>
    <w:p w14:paraId="28192CC9" w14:textId="77777777" w:rsidR="00A971FB" w:rsidRPr="006D37E9" w:rsidRDefault="00A971FB" w:rsidP="00A971FB">
      <w:pPr>
        <w:pStyle w:val="enumlev2"/>
        <w:tabs>
          <w:tab w:val="clear" w:pos="567"/>
          <w:tab w:val="clear" w:pos="1134"/>
          <w:tab w:val="clear" w:pos="1701"/>
          <w:tab w:val="clear" w:pos="2268"/>
          <w:tab w:val="clear" w:pos="2835"/>
        </w:tabs>
        <w:ind w:hanging="425"/>
        <w:rPr>
          <w:rFonts w:eastAsia="Aptos"/>
          <w:lang w:val="ru-RU"/>
        </w:rPr>
      </w:pPr>
      <w:r w:rsidRPr="006D37E9">
        <w:rPr>
          <w:rFonts w:eastAsia="Aptos"/>
          <w:lang w:val="ru-RU"/>
        </w:rPr>
        <w:t>•</w:t>
      </w:r>
      <w:r w:rsidRPr="006D37E9">
        <w:rPr>
          <w:rFonts w:eastAsia="Aptos"/>
          <w:lang w:val="ru-RU"/>
        </w:rPr>
        <w:tab/>
        <w:t>в Пномпене, Камбоджа, 8−10 октября, в ходе которого подготовку на национальном уровне прошли в общей сложности 55 участников. В дополнение к очному обучению 3 октября была организована вспомогательная онлайновая сессия, на которой рассматривались материалы по стандартам ИИ.</w:t>
      </w:r>
    </w:p>
    <w:p w14:paraId="68D7EF03"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color w:val="000000" w:themeColor="text1"/>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В ходе параллельного мероприятия, посвященного цифровому правительству и состоявшегося в рамках Вьетнамской недели цифровых технологий 28 октября 2025 года, участникам были представлены такие инициативы МСЭ-Т как AI4GOOD, Коалиция по навыкам ИИ и Обмен данными по стандартам в области ИИ.</w:t>
      </w:r>
    </w:p>
    <w:p w14:paraId="3EF937AE"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color w:val="000000" w:themeColor="text1"/>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 xml:space="preserve">Совместно с Ассоциацией технологий электросвязи (TTA) Республики Корея и Альянс "Без пароля" 11–13 февраля 2026 года в Бангкоке, Таиланд, был организован межрегиональный учебный курс по двум Рекомендациям МСЭ-Т – по защите информации, хранящейся в памяти </w:t>
      </w:r>
      <w:r w:rsidRPr="006D37E9">
        <w:rPr>
          <w:rFonts w:asciiTheme="minorHAnsi" w:eastAsia="Aptos" w:hAnsiTheme="minorHAnsi" w:cstheme="minorHAnsi"/>
          <w:lang w:val="ru-RU"/>
        </w:rPr>
        <w:lastRenderedPageBreak/>
        <w:t>(X.1220/X.nspam), и беспарольной аутентификации (X.1280), в рамках которого освещались вопросы влияния этих стандартов кибербезопасности для участников из регионов АТР и СНГ.</w:t>
      </w:r>
    </w:p>
    <w:p w14:paraId="79D9F622"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color w:val="000000" w:themeColor="text1"/>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По просьбе БСЭ Директор регионального отделения для Азиатско-Тихоокеанского региона выступил в качестве докладчика на Индийском саммите по влиянию ИИ 2026 года в рамках сессии 16 февраля 2026 года, посвященной стандартам и направлениям политики для масштабирования агропродовольственных систем с поддержкой ИИ, ориентированных на потребности фермеров.</w:t>
      </w:r>
    </w:p>
    <w:p w14:paraId="39C47415"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color w:val="000000" w:themeColor="text1"/>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r>
      <w:r w:rsidRPr="006D37E9">
        <w:rPr>
          <w:lang w:val="ru-RU"/>
        </w:rPr>
        <w:t xml:space="preserve">В 2026 году РО-АТР присоединилось к работе БСЭ по расширению сотрудничества с ООН-ХАБИТАТ в Азиатско-Тихоокеанском регионе, чтобы поддержать инициативу </w:t>
      </w:r>
      <w:hyperlink r:id="rId116" w:history="1">
        <w:r w:rsidRPr="006D37E9">
          <w:rPr>
            <w:rStyle w:val="Hyperlink"/>
            <w:lang w:val="ru-RU"/>
          </w:rPr>
          <w:t>"Объединение усилий в целях построения "умных" устойчивых городов"</w:t>
        </w:r>
      </w:hyperlink>
      <w:r w:rsidRPr="006D37E9">
        <w:rPr>
          <w:lang w:val="ru-RU"/>
        </w:rPr>
        <w:t xml:space="preserve"> (U4SSC); в настоящее время обсуждения продолжаются</w:t>
      </w:r>
      <w:r w:rsidRPr="006D37E9">
        <w:rPr>
          <w:rFonts w:asciiTheme="minorHAnsi" w:eastAsia="Aptos" w:hAnsiTheme="minorHAnsi" w:cstheme="minorHAnsi"/>
          <w:lang w:val="ru-RU"/>
        </w:rPr>
        <w:t>.</w:t>
      </w:r>
      <w:hyperlink r:id="rId117" w:history="1"/>
    </w:p>
    <w:p w14:paraId="40A61BAD"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color w:val="000000" w:themeColor="text1"/>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Один сотрудник БСЭ был принят на работу в зональное отделение в Индии.</w:t>
      </w:r>
    </w:p>
    <w:p w14:paraId="3F8091B7" w14:textId="77777777" w:rsidR="00A971FB" w:rsidRPr="006D37E9" w:rsidRDefault="00A971FB" w:rsidP="00A971FB">
      <w:pPr>
        <w:pStyle w:val="Heading2"/>
        <w:tabs>
          <w:tab w:val="clear" w:pos="567"/>
          <w:tab w:val="clear" w:pos="1134"/>
          <w:tab w:val="clear" w:pos="1701"/>
          <w:tab w:val="clear" w:pos="2268"/>
          <w:tab w:val="clear" w:pos="2835"/>
        </w:tabs>
        <w:ind w:left="0" w:firstLine="0"/>
        <w:rPr>
          <w:rFonts w:eastAsia="Aptos"/>
          <w:lang w:val="ru-RU"/>
        </w:rPr>
      </w:pPr>
      <w:r w:rsidRPr="006D37E9">
        <w:rPr>
          <w:rFonts w:eastAsia="Aptos"/>
          <w:bCs/>
          <w:lang w:val="ru-RU"/>
        </w:rPr>
        <w:t>3.6</w:t>
      </w:r>
      <w:r w:rsidRPr="006D37E9">
        <w:rPr>
          <w:rFonts w:eastAsia="Aptos"/>
          <w:lang w:val="ru-RU"/>
        </w:rPr>
        <w:tab/>
      </w:r>
      <w:r w:rsidRPr="006D37E9">
        <w:rPr>
          <w:rFonts w:eastAsia="Aptos"/>
          <w:bCs/>
          <w:lang w:val="ru-RU"/>
        </w:rPr>
        <w:t>Региональное отделение для СНГ (РО-СНГ)/деятельность в СНГ</w:t>
      </w:r>
    </w:p>
    <w:p w14:paraId="4262F977" w14:textId="77777777" w:rsidR="00A971FB" w:rsidRPr="006D37E9" w:rsidRDefault="00A971FB" w:rsidP="00A971FB">
      <w:pPr>
        <w:pStyle w:val="Headingb"/>
        <w:tabs>
          <w:tab w:val="clear" w:pos="567"/>
          <w:tab w:val="clear" w:pos="1134"/>
          <w:tab w:val="clear" w:pos="1701"/>
          <w:tab w:val="clear" w:pos="2268"/>
          <w:tab w:val="clear" w:pos="2835"/>
        </w:tabs>
        <w:rPr>
          <w:rFonts w:ascii="Helvetica Neue" w:hAnsi="Helvetica Neue" w:cs="Helvetica Neue"/>
          <w:color w:val="000000"/>
          <w:sz w:val="26"/>
          <w:szCs w:val="26"/>
          <w:lang w:val="ru-RU"/>
        </w:rPr>
      </w:pPr>
      <w:r w:rsidRPr="006D37E9">
        <w:rPr>
          <w:rFonts w:eastAsia="Aptos"/>
          <w:bCs/>
          <w:lang w:val="ru-RU"/>
        </w:rPr>
        <w:t>Вопросы, связанные с деятельностью БР</w:t>
      </w:r>
      <w:r w:rsidRPr="006D37E9">
        <w:rPr>
          <w:rFonts w:eastAsia="Aptos"/>
          <w:lang w:val="ru-RU"/>
        </w:rPr>
        <w:t xml:space="preserve"> </w:t>
      </w:r>
    </w:p>
    <w:p w14:paraId="6A0917DB"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color w:val="000000" w:themeColor="text1"/>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В феврале 2025 года БРЭ совместно с МОКС "Интерспутник" и при участии экспертов БР организовало семинар-практикум "Космическая деятельность в современных реалиях" в Алматы, Казахстан. Это мероприятие, в котором приняли участие представители сообщества спутниковой связи, давшие ему высокую оценку, предоставило уникальную возможность обменяться примерами передового опыта в разработке либо совершенствовании национального законодательства в области космической деятельности и уделить внимание вопросам, связанным с национальной политикой доступа к рынку спутниковых систем. В сентябре 2025 года по приглашению Космического агентства "АзерКосмос" Азербайджанской Республики было организовано второе учебное занятие по глобальным перспективам в сфере космической связи.</w:t>
      </w:r>
    </w:p>
    <w:p w14:paraId="79E50D4A" w14:textId="5B732E56"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color w:val="000000" w:themeColor="text1"/>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Техническая помощь оказывается Армении, Азербайджану и Грузии по вопросам планирования частот цифрового звукового радиовещания (DAB) в полосе 174−230 МГц.</w:t>
      </w:r>
    </w:p>
    <w:p w14:paraId="633BBCD4"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asciiTheme="minorHAnsi" w:hAnsiTheme="minorHAnsi" w:cstheme="minorHAnsi"/>
          <w:color w:val="000000"/>
          <w:szCs w:val="24"/>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БР и БРЭ оказали всестороннюю регуляторную и техническую помощь Узбекистану, организовав специальный семинар-практикум, посвященный процедурам координации, заявления и регистрации наземных и спутниковых частотных присвоений в соответствии с Регламентом радиосвязи. Помощь предполагала практическое обучение методам использования инструментов и программного обеспечения МСЭ (таких как ИФИК БР, SpaceCom и GIMS), руководящие указания по внедрению и защите национальных частотных присвоений и выделений, а также адресную поддержку для решения поднятых администрацией Узбекистана конкретных вопросов координации и соблюдения требований.</w:t>
      </w:r>
    </w:p>
    <w:p w14:paraId="05C7EF0E" w14:textId="77777777" w:rsidR="00A971FB" w:rsidRPr="006D37E9" w:rsidRDefault="00A971FB" w:rsidP="00A971FB">
      <w:pPr>
        <w:pStyle w:val="Headingb"/>
        <w:tabs>
          <w:tab w:val="clear" w:pos="567"/>
          <w:tab w:val="clear" w:pos="1134"/>
          <w:tab w:val="clear" w:pos="1701"/>
          <w:tab w:val="clear" w:pos="2268"/>
          <w:tab w:val="clear" w:pos="2835"/>
        </w:tabs>
        <w:rPr>
          <w:rFonts w:eastAsia="Aptos"/>
          <w:lang w:val="ru-RU"/>
        </w:rPr>
      </w:pPr>
      <w:r w:rsidRPr="006D37E9">
        <w:rPr>
          <w:rFonts w:eastAsia="Aptos"/>
          <w:bCs/>
          <w:lang w:val="ru-RU"/>
        </w:rPr>
        <w:t>Вопросы, связанные с деятельностью БСЭ</w:t>
      </w:r>
      <w:r w:rsidRPr="006D37E9">
        <w:rPr>
          <w:rFonts w:eastAsia="Aptos"/>
          <w:lang w:val="ru-RU"/>
        </w:rPr>
        <w:t xml:space="preserve"> </w:t>
      </w:r>
    </w:p>
    <w:p w14:paraId="622A9DFD" w14:textId="77777777" w:rsidR="00A971FB" w:rsidRPr="006D37E9" w:rsidRDefault="00A971FB" w:rsidP="00A971FB">
      <w:pPr>
        <w:tabs>
          <w:tab w:val="clear" w:pos="567"/>
          <w:tab w:val="clear" w:pos="1134"/>
          <w:tab w:val="clear" w:pos="1701"/>
          <w:tab w:val="clear" w:pos="2268"/>
          <w:tab w:val="clear" w:pos="2835"/>
        </w:tabs>
        <w:rPr>
          <w:rFonts w:asciiTheme="minorHAnsi" w:hAnsiTheme="minorHAnsi" w:cstheme="minorHAnsi"/>
          <w:szCs w:val="24"/>
          <w:lang w:val="ru-RU"/>
        </w:rPr>
      </w:pPr>
      <w:r w:rsidRPr="006D37E9">
        <w:rPr>
          <w:rFonts w:asciiTheme="minorHAnsi" w:hAnsiTheme="minorHAnsi" w:cstheme="minorHAnsi"/>
          <w:szCs w:val="24"/>
          <w:lang w:val="ru-RU"/>
        </w:rPr>
        <w:t xml:space="preserve">Что касается конкретных тематических областей работы, РО-СНГ тесно сотрудничало с группами БРЭ и БСЭ по следующим направлениям деятельности: </w:t>
      </w:r>
    </w:p>
    <w:p w14:paraId="17FBCBB4"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asciiTheme="minorHAnsi" w:hAnsiTheme="minorHAnsi" w:cstheme="minorHAnsi"/>
          <w:szCs w:val="24"/>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реализация регионального проекта по обеспечению соответствия и функциональной совместимости "Международный центр исследования, разработки и тестирования (IRDTC) для Государств – Членов МСЭ и Членов Секторов МСЭ в регионе СНГ – Фаза 2", совместно финансируемого МСЭ и ПАО "Ростелеком" (Членом Сектора МСЭ-Т). За отчетный период группа по проекту провела серию испытаний оборудования электросвязи на соответствие Рекомендациям МСЭ-Т.</w:t>
      </w:r>
    </w:p>
    <w:p w14:paraId="31C2753C"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asciiTheme="minorHAnsi" w:eastAsia="Aptos" w:hAnsiTheme="minorHAnsi" w:cstheme="minorHAnsi"/>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r>
      <w:r w:rsidRPr="006D37E9">
        <w:rPr>
          <w:lang w:val="ru-RU"/>
        </w:rPr>
        <w:t xml:space="preserve">Региональный форум МСЭ </w:t>
      </w:r>
      <w:hyperlink r:id="rId118" w:history="1">
        <w:r w:rsidRPr="006D37E9">
          <w:rPr>
            <w:rStyle w:val="Hyperlink"/>
            <w:lang w:val="ru-RU"/>
          </w:rPr>
          <w:t>"Технологии будущего: ИИ, метавселенная, голография и другие ИКТ, приложения и услуги. Перспектива 2030"</w:t>
        </w:r>
      </w:hyperlink>
      <w:r w:rsidRPr="006D37E9">
        <w:rPr>
          <w:lang w:val="ru-RU"/>
        </w:rPr>
        <w:t xml:space="preserve"> состоялся в Санкт</w:t>
      </w:r>
      <w:r w:rsidRPr="006D37E9">
        <w:rPr>
          <w:lang w:val="ru-RU"/>
        </w:rPr>
        <w:noBreakHyphen/>
        <w:t xml:space="preserve">Петербурге, Российская Федерация, 9−11 июня 2025 года. Форум был организован МСЭ совместно с Региональным </w:t>
      </w:r>
      <w:r w:rsidRPr="006D37E9">
        <w:rPr>
          <w:lang w:val="ru-RU"/>
        </w:rPr>
        <w:lastRenderedPageBreak/>
        <w:t>содружеством в области связи (РСС) при поддержке Министерства цифрового развития, связи и массовых коммуникаций Российской Федерации. Форум был приурочен к собраниям Региональной группы 11-й Исследовательской комиссии МСЭ-Т, Региональной группы 13-й Исследовательской комиссии МСЭ-Т и Региональной группы 20-й Исследовательской комиссии МСЭ-Т для Восточной Европы, Центральной Азии и Закавказья (РегГр-ВЕЦАЗ ИК11, РегГр-ВЕЦАЗ ИК13 и РегГр-ВЕЦАЗ ИК20)</w:t>
      </w:r>
      <w:r w:rsidRPr="006D37E9">
        <w:rPr>
          <w:rFonts w:asciiTheme="minorHAnsi" w:eastAsia="Aptos" w:hAnsiTheme="minorHAnsi" w:cstheme="minorHAnsi"/>
          <w:lang w:val="ru-RU"/>
        </w:rPr>
        <w:t>.</w:t>
      </w:r>
      <w:hyperlink r:id="rId119" w:history="1"/>
    </w:p>
    <w:p w14:paraId="0C184528" w14:textId="77777777" w:rsidR="00A971FB" w:rsidRPr="006D37E9" w:rsidRDefault="00A971FB" w:rsidP="00A971FB">
      <w:pPr>
        <w:pStyle w:val="Heading2"/>
        <w:tabs>
          <w:tab w:val="clear" w:pos="567"/>
          <w:tab w:val="clear" w:pos="1134"/>
          <w:tab w:val="clear" w:pos="1701"/>
          <w:tab w:val="clear" w:pos="2268"/>
          <w:tab w:val="clear" w:pos="2835"/>
        </w:tabs>
        <w:ind w:left="0" w:firstLine="0"/>
        <w:rPr>
          <w:rFonts w:eastAsia="Aptos"/>
          <w:lang w:val="ru-RU"/>
        </w:rPr>
      </w:pPr>
      <w:r w:rsidRPr="006D37E9">
        <w:rPr>
          <w:rFonts w:eastAsia="Aptos"/>
          <w:bCs/>
          <w:lang w:val="ru-RU"/>
        </w:rPr>
        <w:t>3.7</w:t>
      </w:r>
      <w:r w:rsidRPr="006D37E9">
        <w:rPr>
          <w:rFonts w:eastAsia="Aptos"/>
          <w:lang w:val="ru-RU"/>
        </w:rPr>
        <w:tab/>
      </w:r>
      <w:r w:rsidRPr="006D37E9">
        <w:rPr>
          <w:rFonts w:eastAsia="Aptos"/>
          <w:bCs/>
          <w:lang w:val="ru-RU"/>
        </w:rPr>
        <w:t>Региональное отделение МСЭ для Европы (РО-ЕВР)/деятельность в Европе</w:t>
      </w:r>
    </w:p>
    <w:p w14:paraId="1A21D884" w14:textId="77777777" w:rsidR="00A971FB" w:rsidRPr="006D37E9" w:rsidRDefault="00A971FB" w:rsidP="00A971FB">
      <w:pPr>
        <w:pStyle w:val="Headingb"/>
        <w:tabs>
          <w:tab w:val="clear" w:pos="567"/>
          <w:tab w:val="clear" w:pos="1134"/>
          <w:tab w:val="clear" w:pos="1701"/>
          <w:tab w:val="clear" w:pos="2268"/>
          <w:tab w:val="clear" w:pos="2835"/>
        </w:tabs>
        <w:rPr>
          <w:rFonts w:eastAsia="Aptos"/>
          <w:lang w:val="ru-RU"/>
        </w:rPr>
      </w:pPr>
      <w:r w:rsidRPr="006D37E9">
        <w:rPr>
          <w:rFonts w:eastAsia="Aptos"/>
          <w:bCs/>
          <w:lang w:val="ru-RU"/>
        </w:rPr>
        <w:t>Вопросы, связанные с деятельностью БР</w:t>
      </w:r>
      <w:r w:rsidRPr="006D37E9">
        <w:rPr>
          <w:rFonts w:eastAsia="Aptos"/>
          <w:lang w:val="ru-RU"/>
        </w:rPr>
        <w:t xml:space="preserve"> </w:t>
      </w:r>
    </w:p>
    <w:p w14:paraId="1F7BF049"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 xml:space="preserve">27 марта 2025 года в Брюсселе для Рабочей группы Совета ЕС по электросвязи и информационному обществу был проведен брифинг по вопросам, связанным с деятельностью БР. </w:t>
      </w:r>
    </w:p>
    <w:p w14:paraId="70BDDA10"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Эксперты БР вносят свой вклад в оказание технической помощи Украине в соответствии с Резолюцией 1408 Совета МСЭ. Это предполагает проведение онлайновых консультаций по вопросам спектра для украинских должностных лиц и разработку повестки дня следующего семинара-практикума МСЭ и TAIEX Европейской комиссии, который пройдет во втором квартале 2026 года.</w:t>
      </w:r>
    </w:p>
    <w:p w14:paraId="3E6384D5"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 xml:space="preserve">Эксперты БР внесли свой вклад в семинары-практикумы EaPeReg, что способствовало дальнейшему укреплению сотрудничества между МСЭ и членами EaPeReg. 14−15 октября 2025 года на Кипре прошел организованный МСЭ, EaPeReg и EMERG семинар-практикум по созданию потенциала для представителей регуляторных органов, посвященный качеству обслуживания и способности инфраструктуры подвижной связи к восстановлению, который был призвать способствовать укреплению человеческого потенциала более 60 заинтересованных сторон из 14 стран. </w:t>
      </w:r>
    </w:p>
    <w:p w14:paraId="0AEBC450"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r>
      <w:hyperlink r:id="rId120" w:history="1">
        <w:r w:rsidRPr="006D37E9">
          <w:rPr>
            <w:rStyle w:val="Hyperlink"/>
            <w:lang w:val="ru-RU"/>
          </w:rPr>
          <w:t>Региональный семинар МСЭ по радиосвязи для Европы</w:t>
        </w:r>
      </w:hyperlink>
      <w:r w:rsidRPr="006D37E9">
        <w:rPr>
          <w:lang w:val="ru-RU"/>
        </w:rPr>
        <w:t xml:space="preserve"> состоялся 16</w:t>
      </w:r>
      <w:r w:rsidRPr="006D37E9">
        <w:rPr>
          <w:rFonts w:cs="Calibri"/>
          <w:lang w:val="ru-RU"/>
        </w:rPr>
        <w:t>−</w:t>
      </w:r>
      <w:r w:rsidRPr="006D37E9">
        <w:rPr>
          <w:lang w:val="ru-RU"/>
        </w:rPr>
        <w:t>20 февраля 2026 года в Афинах, Греция, что способствовало дальнейшему развитию человеческого потенциала более чем 120 экспертов из более чем 30 европейских стран</w:t>
      </w:r>
      <w:r w:rsidRPr="006D37E9">
        <w:rPr>
          <w:rFonts w:asciiTheme="minorHAnsi" w:eastAsia="Aptos" w:hAnsiTheme="minorHAnsi" w:cstheme="minorHAnsi"/>
          <w:lang w:val="ru-RU"/>
        </w:rPr>
        <w:t xml:space="preserve">. </w:t>
      </w:r>
      <w:hyperlink r:id="rId121" w:history="1"/>
    </w:p>
    <w:p w14:paraId="11D6D7E1" w14:textId="77777777" w:rsidR="00A971FB" w:rsidRPr="006D37E9" w:rsidRDefault="00A971FB" w:rsidP="00A971FB">
      <w:pPr>
        <w:pStyle w:val="Headingb"/>
        <w:tabs>
          <w:tab w:val="clear" w:pos="567"/>
          <w:tab w:val="clear" w:pos="1134"/>
          <w:tab w:val="clear" w:pos="1701"/>
          <w:tab w:val="clear" w:pos="2268"/>
          <w:tab w:val="clear" w:pos="2835"/>
        </w:tabs>
        <w:rPr>
          <w:rFonts w:eastAsia="Aptos"/>
          <w:lang w:val="ru-RU"/>
        </w:rPr>
      </w:pPr>
      <w:r w:rsidRPr="006D37E9">
        <w:rPr>
          <w:rFonts w:eastAsia="Aptos"/>
          <w:bCs/>
          <w:lang w:val="ru-RU"/>
        </w:rPr>
        <w:t>Вопросы, связанные с деятельностью БСЭ</w:t>
      </w:r>
    </w:p>
    <w:p w14:paraId="7A2489A8"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РО-ЕВР содействовало улучшению координации между БСЭ и региональными организациями (СЕПТ и ЕС), продолжало отслеживать работу Ком-МСЭ СЕПТ по вопросам МСЭ-T и обеспечило поддержку участия Директора БСЭ в собрании Ком-МСЭ СЕПТ в Афинах (сентябрь 2025 г.).</w:t>
      </w:r>
    </w:p>
    <w:p w14:paraId="66C1F7B4"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 xml:space="preserve">В целях определения областей расширения сотрудничества 19 февраля 2025 года был организован семинар-практикум по синхронизации между БСЭ и Европейской комиссией в Брюсселе. </w:t>
      </w:r>
    </w:p>
    <w:p w14:paraId="3A489007"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 xml:space="preserve">20 февраля 2025 года в Брюсселе для Рабочей группы Совета ЕС по электросвязи и информационному обществу был проведен брифинг по вопросам, связанным с деятельностью БСЭ. </w:t>
      </w:r>
    </w:p>
    <w:p w14:paraId="0CCA3C01"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r>
      <w:r w:rsidRPr="006D37E9">
        <w:rPr>
          <w:lang w:val="ru-RU"/>
        </w:rPr>
        <w:t>В сентябре 2025 года в Молдове совместно с БСЭ был организован семинар-практикум "</w:t>
      </w:r>
      <w:hyperlink r:id="rId122" w:history="1">
        <w:r w:rsidRPr="006D37E9">
          <w:rPr>
            <w:rStyle w:val="Hyperlink"/>
            <w:lang w:val="ru-RU"/>
          </w:rPr>
          <w:t>Согласованность в сфере ЭМП: международные, региональные и национальные меры политики, стратегии и стандарты, касающиеся воздействия электромагнитных полей на человека</w:t>
        </w:r>
      </w:hyperlink>
      <w:r w:rsidRPr="006D37E9">
        <w:rPr>
          <w:lang w:val="ru-RU"/>
        </w:rPr>
        <w:t>"; Молдове была оказана техническая помощь</w:t>
      </w:r>
      <w:r w:rsidRPr="006D37E9">
        <w:rPr>
          <w:rFonts w:asciiTheme="minorHAnsi" w:eastAsia="Aptos" w:hAnsiTheme="minorHAnsi" w:cstheme="minorHAnsi"/>
          <w:lang w:val="ru-RU"/>
        </w:rPr>
        <w:t>.</w:t>
      </w:r>
      <w:hyperlink r:id="rId123" w:history="1"/>
    </w:p>
    <w:p w14:paraId="456CB593"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 xml:space="preserve">2−3 декабря 2025 года в Брюсселе состоялся Форум МСЭ-ЕК "Доступная Европа: ICT4ALL", программа которого была разработана совместно со всеми Секторами и в ходе основных сессий БСЭ по ИИ и "умным" городам. </w:t>
      </w:r>
    </w:p>
    <w:p w14:paraId="767E9F9E"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Symbol" w:eastAsia="Aptos" w:hAnsi="Symbol"/>
          <w:lang w:val="ru-RU"/>
        </w:rPr>
        <w:t></w:t>
      </w:r>
      <w:r w:rsidRPr="006D37E9">
        <w:rPr>
          <w:rFonts w:ascii="Symbol" w:eastAsia="Aptos" w:hAnsi="Symbol"/>
          <w:lang w:val="ru-RU"/>
        </w:rPr>
        <w:tab/>
      </w:r>
      <w:r w:rsidRPr="006D37E9">
        <w:rPr>
          <w:lang w:val="ru-RU"/>
        </w:rPr>
        <w:t>РО-ЕВР оказало поддержку в проведении семинара-практикума МСЭ-Т "Глобальная инициатива по обеспечению устойчивости к стихийным бедствиям с помощью решений на основе ИИ" (декабрь 2025 г.), организованного Европейской комиссией в Брюсселе.</w:t>
      </w:r>
    </w:p>
    <w:p w14:paraId="72BE5AB8" w14:textId="77777777" w:rsidR="00A971FB" w:rsidRPr="006D37E9" w:rsidRDefault="00A971FB" w:rsidP="00A971FB">
      <w:pPr>
        <w:pStyle w:val="Heading2"/>
        <w:tabs>
          <w:tab w:val="clear" w:pos="567"/>
          <w:tab w:val="clear" w:pos="1134"/>
          <w:tab w:val="clear" w:pos="1701"/>
          <w:tab w:val="clear" w:pos="2268"/>
          <w:tab w:val="clear" w:pos="2835"/>
        </w:tabs>
        <w:ind w:left="0" w:firstLine="0"/>
        <w:rPr>
          <w:rFonts w:eastAsia="Aptos"/>
          <w:lang w:val="ru-RU"/>
        </w:rPr>
      </w:pPr>
      <w:r w:rsidRPr="006D37E9">
        <w:rPr>
          <w:rFonts w:eastAsia="Aptos"/>
          <w:bCs/>
          <w:lang w:val="ru-RU"/>
        </w:rPr>
        <w:lastRenderedPageBreak/>
        <w:t>3.8</w:t>
      </w:r>
      <w:r w:rsidRPr="006D37E9">
        <w:rPr>
          <w:rFonts w:eastAsia="Aptos"/>
          <w:lang w:val="ru-RU"/>
        </w:rPr>
        <w:tab/>
      </w:r>
      <w:r w:rsidRPr="006D37E9">
        <w:rPr>
          <w:rFonts w:eastAsia="Aptos"/>
          <w:bCs/>
          <w:lang w:val="ru-RU"/>
        </w:rPr>
        <w:t>Межрегиональная координация</w:t>
      </w:r>
    </w:p>
    <w:p w14:paraId="0BAB3B75" w14:textId="77777777" w:rsidR="00A971FB" w:rsidRPr="006D37E9" w:rsidRDefault="00A971FB" w:rsidP="00A971FB">
      <w:pPr>
        <w:pStyle w:val="Headingb"/>
        <w:tabs>
          <w:tab w:val="clear" w:pos="567"/>
          <w:tab w:val="clear" w:pos="1134"/>
          <w:tab w:val="clear" w:pos="1701"/>
          <w:tab w:val="clear" w:pos="2268"/>
          <w:tab w:val="clear" w:pos="2835"/>
        </w:tabs>
        <w:rPr>
          <w:rFonts w:eastAsia="Aptos"/>
          <w:lang w:val="ru-RU"/>
        </w:rPr>
      </w:pPr>
      <w:r w:rsidRPr="006D37E9">
        <w:rPr>
          <w:rFonts w:eastAsia="Aptos"/>
          <w:bCs/>
          <w:lang w:val="ru-RU"/>
        </w:rPr>
        <w:t>Вопросы, связанные с деятельностью БР</w:t>
      </w:r>
    </w:p>
    <w:p w14:paraId="4314BFA9"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Долгосрочная совместная работа по обеспечению эффективного использования спектра, в особенности для развивающихся стран, как отражено в Резолюции 9 ВКРЭ, предполагает развертывание инструмента SMS4DC, соответствующего положениям Регламента радиосвязи, принятого на Всемирной конференции радиосвязи (ВКР).</w:t>
      </w:r>
    </w:p>
    <w:p w14:paraId="0E098D2A"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Совместные усилия также предполагают содействие снижению потребления энергии и решению проблемы изменения климата с помощью технологий ИКТ и радиосвязи. БРЭ продолжает оказывать поддержку Государствам-Членам в этих областях; эффективный обмен информацией налажен между исследовательскими комиссиями МСЭ-D и МСЭ-R.</w:t>
      </w:r>
    </w:p>
    <w:p w14:paraId="1F7944C6" w14:textId="08DAF9DB" w:rsidR="00A971FB" w:rsidRPr="006D37E9" w:rsidRDefault="00A971FB" w:rsidP="00A971FB">
      <w:pPr>
        <w:pStyle w:val="enumlev1"/>
        <w:tabs>
          <w:tab w:val="clear" w:pos="567"/>
          <w:tab w:val="clear" w:pos="1134"/>
          <w:tab w:val="clear" w:pos="1701"/>
          <w:tab w:val="clear" w:pos="2268"/>
          <w:tab w:val="clear" w:pos="2835"/>
        </w:tabs>
        <w:ind w:left="709" w:hanging="425"/>
        <w:rPr>
          <w:rFonts w:eastAsia="Aptos"/>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r>
      <w:r w:rsidRPr="006D37E9">
        <w:rPr>
          <w:lang w:val="ru-RU"/>
        </w:rPr>
        <w:t xml:space="preserve">Последние инновации в области спутниковой и космической связи, вытекающие из решений ВКР-23, тесно увязаны с усилиями МСЭ-D по повышению осведомленности и развитию потенциала, включая совместные сессии на Глобальном симпозиуме для регуляторных органов (ГСР), совместные статьи на </w:t>
      </w:r>
      <w:hyperlink r:id="rId124" w:history="1">
        <w:r w:rsidR="006D37E9">
          <w:rPr>
            <w:rStyle w:val="Hyperlink"/>
            <w:lang w:val="ru-RU"/>
          </w:rPr>
          <w:t>П</w:t>
        </w:r>
        <w:r w:rsidRPr="006D37E9">
          <w:rPr>
            <w:rStyle w:val="Hyperlink"/>
            <w:lang w:val="ru-RU"/>
          </w:rPr>
          <w:t>латформе цифрового регулирования</w:t>
        </w:r>
      </w:hyperlink>
      <w:r w:rsidRPr="006D37E9">
        <w:rPr>
          <w:lang w:val="ru-RU"/>
        </w:rPr>
        <w:t xml:space="preserve"> и скоординированное участие в форумах по обеспечению возможности установления космических соединений</w:t>
      </w:r>
      <w:r w:rsidRPr="006D37E9">
        <w:rPr>
          <w:rFonts w:asciiTheme="minorHAnsi" w:eastAsia="Aptos" w:hAnsiTheme="minorHAnsi" w:cstheme="minorHAnsi"/>
          <w:lang w:val="ru-RU"/>
        </w:rPr>
        <w:t xml:space="preserve">. </w:t>
      </w:r>
      <w:hyperlink r:id="rId125" w:history="1"/>
    </w:p>
    <w:p w14:paraId="0A502278" w14:textId="77777777" w:rsidR="00A971FB" w:rsidRPr="006D37E9" w:rsidRDefault="00A971FB" w:rsidP="00A971FB">
      <w:pPr>
        <w:pStyle w:val="Headingb"/>
        <w:tabs>
          <w:tab w:val="clear" w:pos="567"/>
          <w:tab w:val="clear" w:pos="1134"/>
          <w:tab w:val="clear" w:pos="1701"/>
          <w:tab w:val="clear" w:pos="2268"/>
          <w:tab w:val="clear" w:pos="2835"/>
        </w:tabs>
        <w:rPr>
          <w:rFonts w:eastAsia="Aptos"/>
          <w:lang w:val="ru-RU"/>
        </w:rPr>
      </w:pPr>
      <w:r w:rsidRPr="006D37E9">
        <w:rPr>
          <w:rFonts w:eastAsia="Aptos"/>
          <w:bCs/>
          <w:lang w:val="ru-RU"/>
        </w:rPr>
        <w:t>Вопросы, связанные с деятельностью БСЭ</w:t>
      </w:r>
    </w:p>
    <w:p w14:paraId="3F471475"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SimSun"/>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 xml:space="preserve">17-я Исследовательская комиссия МСЭ-Т и 2-я Исследовательская комиссия МСЭ-D в рамках Вопроса 3 координируют деятельность по принятию связанных с кибербезопасностью стандартов и мер на местах, таких как создание CIRT. </w:t>
      </w:r>
    </w:p>
    <w:p w14:paraId="24E8B58E"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SimSun"/>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БРЭ продолжает работу по оказанию помощи развивающимся странам в переходе от IPv4 к IPv6, включая создание человеческого и институционального потенциала.</w:t>
      </w:r>
    </w:p>
    <w:p w14:paraId="0E89D564"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SimSun"/>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Преодоление разрыва в стандартизации остается одним из ключевых направлений деятельности БРЭ и БСЭ, способствующих повышению осведомленности и оказанию помощи во внедрении стандартов МСЭ-Т в развивающихся странах с учетом особых национальных потребностей.</w:t>
      </w:r>
    </w:p>
    <w:p w14:paraId="58CC17C5"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eastAsia="SimSun"/>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БСЭ и БРЭ координируют работу по вопросам, связанным с электросвязью в чрезвычайных ситуациях и изменением климата, для того чтобы обеспечить согласованность с инициативой "Раннее предупреждение для всех" (EW4ALL) ООН, в рамках которой БРЭ отвечает за направление "Предупреждение о бедствиях и связь в случае бедствий".</w:t>
      </w:r>
    </w:p>
    <w:p w14:paraId="1B86C1ED" w14:textId="77777777" w:rsidR="00A971FB" w:rsidRPr="006D37E9" w:rsidRDefault="00A971FB" w:rsidP="00A971FB">
      <w:pPr>
        <w:pStyle w:val="enumlev1"/>
        <w:tabs>
          <w:tab w:val="clear" w:pos="567"/>
          <w:tab w:val="clear" w:pos="1134"/>
          <w:tab w:val="clear" w:pos="1701"/>
          <w:tab w:val="clear" w:pos="2268"/>
          <w:tab w:val="clear" w:pos="2835"/>
        </w:tabs>
        <w:ind w:left="709" w:hanging="425"/>
        <w:rPr>
          <w:rFonts w:asciiTheme="minorHAnsi" w:eastAsia="Aptos" w:hAnsiTheme="minorHAnsi" w:cstheme="minorHAnsi"/>
          <w:lang w:val="ru-RU"/>
        </w:rPr>
      </w:pPr>
      <w:r w:rsidRPr="006D37E9">
        <w:rPr>
          <w:rFonts w:asciiTheme="minorHAnsi" w:eastAsia="Aptos" w:hAnsiTheme="minorHAnsi" w:cstheme="minorHAnsi"/>
          <w:lang w:val="ru-RU"/>
        </w:rPr>
        <w:t>–</w:t>
      </w:r>
      <w:r w:rsidRPr="006D37E9">
        <w:rPr>
          <w:rFonts w:asciiTheme="minorHAnsi" w:eastAsia="Aptos" w:hAnsiTheme="minorHAnsi" w:cstheme="minorHAnsi"/>
          <w:lang w:val="ru-RU"/>
        </w:rPr>
        <w:tab/>
        <w:t>В качестве других примеров заслуживают упоминания "умные" города и "умные" деревни, цифровая общественная инфраструктура, цифровая трансформация и появляющиеся технологии, такие как ИИ, по которым проводятся совместные сессии в рамках ГСР и Саммита "ИИ во благо", и другие.</w:t>
      </w:r>
    </w:p>
    <w:p w14:paraId="28B8D47B" w14:textId="1A35C301" w:rsidR="00A971FB" w:rsidRPr="006D37E9" w:rsidRDefault="00A971FB" w:rsidP="00A971FB">
      <w:pPr>
        <w:pStyle w:val="enumlev1"/>
        <w:tabs>
          <w:tab w:val="clear" w:pos="567"/>
          <w:tab w:val="clear" w:pos="1134"/>
          <w:tab w:val="clear" w:pos="1701"/>
          <w:tab w:val="clear" w:pos="2268"/>
          <w:tab w:val="clear" w:pos="2835"/>
        </w:tabs>
        <w:ind w:left="709" w:hanging="425"/>
        <w:jc w:val="both"/>
        <w:rPr>
          <w:lang w:val="ru-RU"/>
        </w:rPr>
      </w:pPr>
      <w:r w:rsidRPr="006D37E9">
        <w:rPr>
          <w:lang w:val="ru-RU"/>
        </w:rPr>
        <w:br w:type="page"/>
      </w:r>
    </w:p>
    <w:p w14:paraId="55BC4C72" w14:textId="687FD518" w:rsidR="00A971FB" w:rsidRPr="006D37E9" w:rsidRDefault="00A971FB" w:rsidP="00A971FB">
      <w:pPr>
        <w:pStyle w:val="AnnexNo"/>
        <w:rPr>
          <w:lang w:val="ru-RU"/>
        </w:rPr>
      </w:pPr>
      <w:bookmarkStart w:id="10" w:name="Annex2"/>
      <w:bookmarkEnd w:id="10"/>
      <w:r w:rsidRPr="006D37E9">
        <w:rPr>
          <w:lang w:val="ru-RU"/>
        </w:rPr>
        <w:lastRenderedPageBreak/>
        <w:t>Приложение 2</w:t>
      </w:r>
    </w:p>
    <w:p w14:paraId="33CDA27B" w14:textId="77777777" w:rsidR="00A971FB" w:rsidRPr="006D37E9" w:rsidRDefault="00A971FB" w:rsidP="00A971FB">
      <w:pPr>
        <w:pStyle w:val="Annextitle"/>
        <w:rPr>
          <w:lang w:val="ru-RU"/>
        </w:rPr>
      </w:pPr>
      <w:r w:rsidRPr="006D37E9">
        <w:rPr>
          <w:bCs/>
          <w:lang w:val="ru-RU"/>
        </w:rPr>
        <w:t>Выдержка из краткого отчета о втором пленарном заседании (Документ</w:t>
      </w:r>
      <w:r w:rsidRPr="006D37E9">
        <w:rPr>
          <w:lang w:val="ru-RU"/>
        </w:rPr>
        <w:t xml:space="preserve"> </w:t>
      </w:r>
      <w:hyperlink r:id="rId126" w:history="1">
        <w:r w:rsidRPr="006D37E9">
          <w:rPr>
            <w:rStyle w:val="Hyperlink"/>
            <w:lang w:val="ru-RU"/>
          </w:rPr>
          <w:t>C26/119</w:t>
        </w:r>
      </w:hyperlink>
      <w:r w:rsidRPr="006D37E9">
        <w:rPr>
          <w:lang w:val="ru-RU"/>
        </w:rPr>
        <w:t>)</w:t>
      </w:r>
      <w:hyperlink r:id="rId127" w:history="1"/>
    </w:p>
    <w:p w14:paraId="72DF2631" w14:textId="77777777" w:rsidR="00A971FB" w:rsidRPr="006D37E9" w:rsidRDefault="00A971FB" w:rsidP="00A971FB">
      <w:pPr>
        <w:pStyle w:val="Heading1"/>
        <w:rPr>
          <w:szCs w:val="28"/>
          <w:lang w:val="ru-RU"/>
        </w:rPr>
      </w:pPr>
      <w:r w:rsidRPr="006D37E9">
        <w:rPr>
          <w:bCs/>
          <w:lang w:val="ru-RU"/>
        </w:rPr>
        <w:t>1</w:t>
      </w:r>
      <w:r w:rsidRPr="006D37E9">
        <w:rPr>
          <w:lang w:val="ru-RU"/>
        </w:rPr>
        <w:tab/>
      </w:r>
      <w:r w:rsidRPr="006D37E9">
        <w:rPr>
          <w:bCs/>
          <w:lang w:val="ru-RU"/>
        </w:rPr>
        <w:t>Укрепление регионального присутствия МСЭ (Документ</w:t>
      </w:r>
      <w:r w:rsidRPr="006D37E9">
        <w:rPr>
          <w:szCs w:val="28"/>
          <w:lang w:val="ru-RU"/>
        </w:rPr>
        <w:t xml:space="preserve"> </w:t>
      </w:r>
      <w:hyperlink r:id="rId128" w:history="1">
        <w:r w:rsidRPr="006D37E9">
          <w:rPr>
            <w:rStyle w:val="Hyperlink"/>
            <w:szCs w:val="28"/>
            <w:lang w:val="ru-RU"/>
          </w:rPr>
          <w:t>C26/25</w:t>
        </w:r>
      </w:hyperlink>
      <w:r w:rsidRPr="006D37E9">
        <w:rPr>
          <w:szCs w:val="28"/>
          <w:lang w:val="ru-RU"/>
        </w:rPr>
        <w:t>)</w:t>
      </w:r>
      <w:hyperlink r:id="rId129" w:history="1"/>
    </w:p>
    <w:p w14:paraId="75C91A03" w14:textId="7C9EDC5A" w:rsidR="00A971FB" w:rsidRPr="006D37E9" w:rsidRDefault="00A971FB" w:rsidP="00A971FB">
      <w:pPr>
        <w:rPr>
          <w:spacing w:val="-2"/>
          <w:lang w:val="ru-RU"/>
        </w:rPr>
      </w:pPr>
      <w:r w:rsidRPr="006D37E9">
        <w:rPr>
          <w:lang w:val="ru-RU"/>
        </w:rPr>
        <w:t>1.1</w:t>
      </w:r>
      <w:r w:rsidRPr="006D37E9">
        <w:rPr>
          <w:lang w:val="ru-RU"/>
        </w:rPr>
        <w:tab/>
        <w:t>Заместитель Директора Бюро развития электросвязи (БРЭ) представляет Документ C26/25, в котором содержится отчет о вкладе регионального присутствия МСЭ в выполнение мандата Союза и о региональной работе по осуществлению Стратегического плана Союза, Кигалийского плана действий (КПД), Бакинского плана действий (БПД) и региональных инициатив. В нем освещается деятельность региональных и зональных отделений в поддержку всех трех Секторов. Она заявляет, что на 2026 год запланировано проведение шести региональных форумов по вопросам развития для поддержки создания партнерских отношений и реализации БПД. Региональные и зональные отделения играют центральную роль в выполнении Оперативного плана МСЭ-D − участвуют в 130</w:t>
      </w:r>
      <w:r w:rsidR="00932679">
        <w:rPr>
          <w:lang w:val="ru-RU"/>
        </w:rPr>
        <w:t> </w:t>
      </w:r>
      <w:r w:rsidRPr="006D37E9">
        <w:rPr>
          <w:lang w:val="ru-RU"/>
        </w:rPr>
        <w:t>текущих мероприятиях и осуществляют совместно со штаб-квартирой планирование, составление бюджета, контроль и оценку. После ВКРЭ-22 БРЭ мобилизовало внебюджетные ресурсы, разработало и реализовало за трехлетний период Кигалийского плана действий 91 проект на сумму 51 млн.</w:t>
      </w:r>
      <w:r w:rsidR="00932679">
        <w:rPr>
          <w:lang w:val="ru-RU"/>
        </w:rPr>
        <w:t> </w:t>
      </w:r>
      <w:r w:rsidRPr="006D37E9">
        <w:rPr>
          <w:lang w:val="ru-RU"/>
        </w:rPr>
        <w:t>швейцарских франков, что способствовало выполнению приоритетных задач и региональных инициатив по удовлетворению конкретных потребностей регионов. Тесное сотрудничество имело эффект во всех Секторах, в том числе в области управления использованием спектра, реагирования на бедствия, искусственного интеллекта (ИИ), кибербезопасности, "умных" городов и сообществ, а</w:t>
      </w:r>
      <w:r w:rsidR="00932679">
        <w:rPr>
          <w:lang w:val="ru-RU"/>
        </w:rPr>
        <w:t> </w:t>
      </w:r>
      <w:r w:rsidRPr="006D37E9">
        <w:rPr>
          <w:lang w:val="ru-RU"/>
        </w:rPr>
        <w:t>также систем раннего оповещения. В соответствии с рекомендациями сессии Совета 2025 года (Совет-25) в Документе C26/24 представлен комплексный обзор регионального присутствия, подготовленный секретариатом.</w:t>
      </w:r>
    </w:p>
    <w:p w14:paraId="3EF7DACD" w14:textId="77777777" w:rsidR="00A971FB" w:rsidRPr="006D37E9" w:rsidRDefault="00A971FB" w:rsidP="00A971FB">
      <w:pPr>
        <w:rPr>
          <w:lang w:val="ru-RU"/>
        </w:rPr>
      </w:pPr>
      <w:r w:rsidRPr="006D37E9">
        <w:rPr>
          <w:lang w:val="ru-RU"/>
        </w:rPr>
        <w:t>1.2</w:t>
      </w:r>
      <w:r w:rsidRPr="006D37E9">
        <w:rPr>
          <w:lang w:val="ru-RU"/>
        </w:rPr>
        <w:tab/>
        <w:t>Советники и наблюдатели дают высокую оценку Документу C26/25, отмечая, что он ориентирован на отчетность, основанную на фактических данных, и предоставленную информацию о технической помощи, создании потенциала, реализации проектов и сотрудничестве между Секторами. Они отмечают важную работу, проводимую региональными и зональными отделениями в поддержку региональных и национальных проектов, а также конференций и ассамблей МСЭ. Крайне важно обеспечить, чтобы МСЭ продолжал реагировать на меняющуюся цифровую среду и потребности Государств-Членов, в особенности развивающихся стран. Один из Советников заявляет, что представленные данные свидетельствуют о том, что хорошо развитая региональная архитектура является не только актуальной в оперативном плане, но и стратегически необходимой. Несколько Советников заявляют, что приоритетными направлениями должны быть укрепление региональных платформ сотрудничества, активизация деятельности по созданию потенциала в области появляющихся технологий, углубление взаимодействия с региональными организациями, техническая помощь, реализация проектов и укрепление механизмов координации, которые способствуют установлению партнерских отношений и мобилизации ресурсов между правительствами, партнерами по развитию отрасли и другими заинтересованными сторонами, особенно в рамках поддержки развивающихся стран.</w:t>
      </w:r>
    </w:p>
    <w:p w14:paraId="4591D219" w14:textId="77777777" w:rsidR="00A971FB" w:rsidRPr="006D37E9" w:rsidRDefault="00A971FB" w:rsidP="00A971FB">
      <w:pPr>
        <w:rPr>
          <w:lang w:val="ru-RU"/>
        </w:rPr>
      </w:pPr>
      <w:r w:rsidRPr="006D37E9">
        <w:rPr>
          <w:lang w:val="ru-RU"/>
        </w:rPr>
        <w:t>1.3</w:t>
      </w:r>
      <w:r w:rsidRPr="006D37E9">
        <w:rPr>
          <w:lang w:val="ru-RU"/>
        </w:rPr>
        <w:tab/>
        <w:t xml:space="preserve">Несколько Советников заявляют, что отчет мог бы содержать дополнительные соображения относительно структурных средств достижения целей, способствующих укреплению регионального присутствия. Один из Советников уточняет, что это предполагает надлежащую укомплектованность штата, сочетание навыков и объем оперативных полномочий региональных и зональных отделений. Совету было бы полезно иметь более четкое представление о конкретных конечных результатах и воздействии регионального присутствия в Государствах-Членах, в том числе в плане оперативности реагирования, предоставления услуг и поддержки внедрения. Обзор регионального присутствия позволит оценить, насколько эффективно технические потребности регуляторных органов удовлетворяются всеми тремя Секторами. Один из Советников подчеркивает отсутствие заранее определенных задач для регионального присутствия, без которых сложно отслеживать прогресс; он </w:t>
      </w:r>
      <w:r w:rsidRPr="006D37E9">
        <w:rPr>
          <w:lang w:val="ru-RU"/>
        </w:rPr>
        <w:lastRenderedPageBreak/>
        <w:t xml:space="preserve">предлагает в будущем перейти от отчетности по видам деятельности по конкретной теме к отчетности, ориентированной на конечные результаты, с заранее определенными целевыми показателями. Далее он высказывает сожаление о том, что на заседаниях, проводимых перед полномочной конференцией, Совет не имеет возможности рассмотреть отчет Внешнего аудитора для углубленного изучения некоторых вопросов, включая региональное присутствие. После Полномочной конференции 2022 года (ПК-22) в некоторых региональных отделениях были проведены внутренние аудиторские проверки, которые выявили ряд конкретных недостатков, связанных со средствами контроля, управлением рисками и управлением проектами, которые Совету следует принять во внимание. Внешний аудитор в своем отчете Совету за 2024 год пришел к выводу о наличии более широких системных проблем в области регионального присутствия; поэтому его следует рассматривать на системной основе. </w:t>
      </w:r>
    </w:p>
    <w:p w14:paraId="0635EAF1" w14:textId="77777777" w:rsidR="00A971FB" w:rsidRPr="006D37E9" w:rsidRDefault="00A971FB" w:rsidP="00A971FB">
      <w:pPr>
        <w:rPr>
          <w:lang w:val="ru-RU"/>
        </w:rPr>
      </w:pPr>
      <w:r w:rsidRPr="006D37E9">
        <w:rPr>
          <w:lang w:val="ru-RU"/>
        </w:rPr>
        <w:t>1.4</w:t>
      </w:r>
      <w:r w:rsidRPr="006D37E9">
        <w:rPr>
          <w:lang w:val="ru-RU"/>
        </w:rPr>
        <w:tab/>
        <w:t>Несколько Советников призывают Секретариат и Секторы изучить модели дальнейшего укрепления регионального присутствия. Модель или структура укомплектования кадрами, в которых используются региональные и местные экспертные знания, в том числе участвуют академические организации, могла бы обеспечить более широкий контекст для деятельности и повысить оперативность реагирования, непрерывность деятельности и результативность. Один из Советников призывает к более тесной координации с региональными организациями электросвязи для обеспечения синергии и поддержки дальнейшего укрепления регионального присутствия. Более эффективное управление, ориентированное на результаты, в региональных отделениях позволит Совету лучше понять, какая работа выполняется, где необходима поддержка и каким образом региональное присутствие способствует выполнению мандата МСЭ.</w:t>
      </w:r>
    </w:p>
    <w:p w14:paraId="5D82DB91" w14:textId="77777777" w:rsidR="00A971FB" w:rsidRPr="006D37E9" w:rsidRDefault="00A971FB" w:rsidP="00A971FB">
      <w:pPr>
        <w:rPr>
          <w:lang w:val="ru-RU"/>
        </w:rPr>
      </w:pPr>
      <w:r w:rsidRPr="006D37E9">
        <w:rPr>
          <w:lang w:val="ru-RU"/>
        </w:rPr>
        <w:t>1.5</w:t>
      </w:r>
      <w:r w:rsidRPr="006D37E9">
        <w:rPr>
          <w:lang w:val="ru-RU"/>
        </w:rPr>
        <w:tab/>
        <w:t xml:space="preserve">Некоторые Советники обращают внимание на, по-видимому, неравное географическое распределение мероприятий Секторов. Несколько Советников призывают к более активной работе Сектора радиосвязи МСЭ (МСЭ-R) и Сектора стандартизации электросвязи МСЭ (МСЭ-Т) на региональном уровне, при этом один из Советников отмечает, что эти Секторы проводят меньше мероприятий в Африканском регионе. Несколько Советников отмечают важность того, чтобы в региональных отделениях работали сотрудники из всех трех Секторов; один из Советников спрашивает, когда в Региональном отделении для Африки появятся специалисты МСЭ-R в области управления использованием спектра, спутниковой координации и подготовки ко Всемирной конференции радиосвязи 2027 года (ВКР-27). </w:t>
      </w:r>
    </w:p>
    <w:p w14:paraId="002E367A" w14:textId="77777777" w:rsidR="00A971FB" w:rsidRPr="006D37E9" w:rsidRDefault="00A971FB" w:rsidP="00A971FB">
      <w:pPr>
        <w:rPr>
          <w:lang w:val="ru-RU"/>
        </w:rPr>
      </w:pPr>
      <w:r w:rsidRPr="006D37E9">
        <w:rPr>
          <w:lang w:val="ru-RU"/>
        </w:rPr>
        <w:t>1.6</w:t>
      </w:r>
      <w:r w:rsidRPr="006D37E9">
        <w:rPr>
          <w:lang w:val="ru-RU"/>
        </w:rPr>
        <w:tab/>
        <w:t xml:space="preserve">Несколько Советников подчеркивают необходимость обеспечения наличия достаточных и устойчивых финансовых ресурсов на региональном уровне, при этом один из Советников просит предоставить информацию о количестве заявок на финансирование и их удовлетворении в разбивке по странам и регионам. </w:t>
      </w:r>
    </w:p>
    <w:p w14:paraId="07EC8FE9" w14:textId="77777777" w:rsidR="00A971FB" w:rsidRPr="006D37E9" w:rsidRDefault="00A971FB" w:rsidP="00A971FB">
      <w:pPr>
        <w:rPr>
          <w:spacing w:val="-2"/>
          <w:lang w:val="ru-RU"/>
        </w:rPr>
      </w:pPr>
      <w:r w:rsidRPr="006D37E9">
        <w:rPr>
          <w:lang w:val="ru-RU"/>
        </w:rPr>
        <w:t>1.7</w:t>
      </w:r>
      <w:r w:rsidRPr="006D37E9">
        <w:rPr>
          <w:lang w:val="ru-RU"/>
        </w:rPr>
        <w:tab/>
        <w:t>Советник от Польши сообщает, что в 2025 году, в рамках своего председательства в Совете Европейского союза, его страна организовала семинар-практикум по укреплению роли Европейского союза в рамках МСЭ.</w:t>
      </w:r>
    </w:p>
    <w:p w14:paraId="195989DB" w14:textId="77777777" w:rsidR="00A971FB" w:rsidRPr="006D37E9" w:rsidRDefault="00A971FB" w:rsidP="00A971FB">
      <w:pPr>
        <w:rPr>
          <w:lang w:val="ru-RU"/>
        </w:rPr>
      </w:pPr>
      <w:r w:rsidRPr="006D37E9">
        <w:rPr>
          <w:lang w:val="ru-RU"/>
        </w:rPr>
        <w:t>1.8</w:t>
      </w:r>
      <w:r w:rsidRPr="006D37E9">
        <w:rPr>
          <w:lang w:val="ru-RU"/>
        </w:rPr>
        <w:tab/>
        <w:t>Советник от Чешской Республики отмечает, что в марте его страна принимала у себя Региональный форум по вопросам развития для Европы. Советник от Таиланда подчеркивает, что ее страна станет одним из организаторов Регионального форума по вопросам развития для Азиатско-Тихоокеанского региона в июле.</w:t>
      </w:r>
    </w:p>
    <w:p w14:paraId="1B0A5EDC" w14:textId="77777777" w:rsidR="00A971FB" w:rsidRPr="006D37E9" w:rsidRDefault="00A971FB" w:rsidP="00A971FB">
      <w:pPr>
        <w:rPr>
          <w:lang w:val="ru-RU"/>
        </w:rPr>
      </w:pPr>
      <w:r w:rsidRPr="006D37E9">
        <w:rPr>
          <w:lang w:val="ru-RU"/>
        </w:rPr>
        <w:t>1.9</w:t>
      </w:r>
      <w:r w:rsidRPr="006D37E9">
        <w:rPr>
          <w:lang w:val="ru-RU"/>
        </w:rPr>
        <w:tab/>
        <w:t>Наблюдатель от Казахстана сообщает, что БРЭ совместно с МОКС "Интерспутник" и при участии экспертов Бюро радиосвязи (БР) организовало в 2025 году в Алматы семинар-практикум под названием "Космическая деятельность в современных реалиях".</w:t>
      </w:r>
    </w:p>
    <w:p w14:paraId="77E5CD03" w14:textId="77777777" w:rsidR="00A971FB" w:rsidRPr="006D37E9" w:rsidRDefault="00A971FB" w:rsidP="00A971FB">
      <w:pPr>
        <w:rPr>
          <w:lang w:val="ru-RU"/>
        </w:rPr>
      </w:pPr>
      <w:r w:rsidRPr="006D37E9">
        <w:rPr>
          <w:lang w:val="ru-RU"/>
        </w:rPr>
        <w:t>1.10</w:t>
      </w:r>
      <w:r w:rsidRPr="006D37E9">
        <w:rPr>
          <w:lang w:val="ru-RU"/>
        </w:rPr>
        <w:tab/>
        <w:t xml:space="preserve">Совет </w:t>
      </w:r>
      <w:r w:rsidRPr="006D37E9">
        <w:rPr>
          <w:b/>
          <w:bCs/>
          <w:lang w:val="ru-RU"/>
        </w:rPr>
        <w:t xml:space="preserve">утверждает </w:t>
      </w:r>
      <w:r w:rsidRPr="006D37E9">
        <w:rPr>
          <w:lang w:val="ru-RU"/>
        </w:rPr>
        <w:t xml:space="preserve">отчет и </w:t>
      </w:r>
      <w:r w:rsidRPr="006D37E9">
        <w:rPr>
          <w:b/>
          <w:bCs/>
          <w:lang w:val="ru-RU"/>
        </w:rPr>
        <w:t>принимает решение</w:t>
      </w:r>
      <w:r w:rsidRPr="006D37E9">
        <w:rPr>
          <w:lang w:val="ru-RU"/>
        </w:rPr>
        <w:t xml:space="preserve"> передать его с замечаниями, высказанными на собрании, Полномочной конференции (Доха, 2026 г.) (ПК-26).</w:t>
      </w:r>
    </w:p>
    <w:p w14:paraId="1DD3B416" w14:textId="05AEB3D6" w:rsidR="00A971FB" w:rsidRPr="006D37E9" w:rsidRDefault="00A971FB" w:rsidP="00A971FB">
      <w:pPr>
        <w:spacing w:before="480"/>
        <w:jc w:val="center"/>
        <w:rPr>
          <w:lang w:val="ru-RU"/>
        </w:rPr>
      </w:pPr>
      <w:r w:rsidRPr="006D37E9">
        <w:rPr>
          <w:lang w:val="ru-RU"/>
        </w:rPr>
        <w:t>______________</w:t>
      </w:r>
    </w:p>
    <w:sectPr w:rsidR="00A971FB" w:rsidRPr="006D37E9" w:rsidSect="00172DFB">
      <w:headerReference w:type="default" r:id="rId130"/>
      <w:footerReference w:type="first" r:id="rId131"/>
      <w:pgSz w:w="11913" w:h="16834" w:code="9"/>
      <w:pgMar w:top="1418" w:right="1134" w:bottom="1418" w:left="1134" w:header="720" w:footer="720" w:gutter="0"/>
      <w:paperSrc w:first="286" w:other="28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2F1C3" w14:textId="77777777" w:rsidR="00186A64" w:rsidRDefault="00186A64" w:rsidP="0079159C">
      <w:r>
        <w:separator/>
      </w:r>
    </w:p>
    <w:p w14:paraId="65117E7C" w14:textId="77777777" w:rsidR="00186A64" w:rsidRDefault="00186A64" w:rsidP="0079159C"/>
    <w:p w14:paraId="6B2E412C" w14:textId="77777777" w:rsidR="00186A64" w:rsidRDefault="00186A64" w:rsidP="0079159C"/>
    <w:p w14:paraId="688724ED" w14:textId="77777777" w:rsidR="00186A64" w:rsidRDefault="00186A64" w:rsidP="0079159C"/>
    <w:p w14:paraId="23A08053" w14:textId="77777777" w:rsidR="00186A64" w:rsidRDefault="00186A64" w:rsidP="0079159C"/>
    <w:p w14:paraId="5F67BD07" w14:textId="77777777" w:rsidR="00186A64" w:rsidRDefault="00186A64" w:rsidP="0079159C"/>
    <w:p w14:paraId="29CB9D52" w14:textId="77777777" w:rsidR="00186A64" w:rsidRDefault="00186A64" w:rsidP="0079159C"/>
    <w:p w14:paraId="035F1C39" w14:textId="77777777" w:rsidR="00186A64" w:rsidRDefault="00186A64" w:rsidP="0079159C"/>
    <w:p w14:paraId="72CA6A7B" w14:textId="77777777" w:rsidR="00186A64" w:rsidRDefault="00186A64" w:rsidP="0079159C"/>
    <w:p w14:paraId="5A63DE3A" w14:textId="77777777" w:rsidR="00186A64" w:rsidRDefault="00186A64" w:rsidP="0079159C"/>
    <w:p w14:paraId="4451467D" w14:textId="77777777" w:rsidR="00186A64" w:rsidRDefault="00186A64" w:rsidP="0079159C"/>
    <w:p w14:paraId="7D0A0711" w14:textId="77777777" w:rsidR="00186A64" w:rsidRDefault="00186A64" w:rsidP="0079159C"/>
    <w:p w14:paraId="04BE1955" w14:textId="77777777" w:rsidR="00186A64" w:rsidRDefault="00186A64" w:rsidP="0079159C"/>
    <w:p w14:paraId="0BDE72A0" w14:textId="77777777" w:rsidR="00186A64" w:rsidRDefault="00186A64" w:rsidP="0079159C"/>
    <w:p w14:paraId="6FE0260F" w14:textId="77777777" w:rsidR="00186A64" w:rsidRDefault="00186A64" w:rsidP="004B3A6C"/>
    <w:p w14:paraId="052107A9" w14:textId="77777777" w:rsidR="00186A64" w:rsidRDefault="00186A64" w:rsidP="004B3A6C"/>
  </w:endnote>
  <w:endnote w:type="continuationSeparator" w:id="0">
    <w:p w14:paraId="4077589D" w14:textId="77777777" w:rsidR="00186A64" w:rsidRDefault="00186A64" w:rsidP="0079159C">
      <w:r>
        <w:continuationSeparator/>
      </w:r>
    </w:p>
    <w:p w14:paraId="3D8F5188" w14:textId="77777777" w:rsidR="00186A64" w:rsidRDefault="00186A64" w:rsidP="0079159C"/>
    <w:p w14:paraId="3E37A7B9" w14:textId="77777777" w:rsidR="00186A64" w:rsidRDefault="00186A64" w:rsidP="0079159C"/>
    <w:p w14:paraId="782A2B76" w14:textId="77777777" w:rsidR="00186A64" w:rsidRDefault="00186A64" w:rsidP="0079159C"/>
    <w:p w14:paraId="04D2441C" w14:textId="77777777" w:rsidR="00186A64" w:rsidRDefault="00186A64" w:rsidP="0079159C"/>
    <w:p w14:paraId="118B8B90" w14:textId="77777777" w:rsidR="00186A64" w:rsidRDefault="00186A64" w:rsidP="0079159C"/>
    <w:p w14:paraId="3175DF4A" w14:textId="77777777" w:rsidR="00186A64" w:rsidRDefault="00186A64" w:rsidP="0079159C"/>
    <w:p w14:paraId="1203FAC5" w14:textId="77777777" w:rsidR="00186A64" w:rsidRDefault="00186A64" w:rsidP="0079159C"/>
    <w:p w14:paraId="3DB805B9" w14:textId="77777777" w:rsidR="00186A64" w:rsidRDefault="00186A64" w:rsidP="0079159C"/>
    <w:p w14:paraId="57C05FD9" w14:textId="77777777" w:rsidR="00186A64" w:rsidRDefault="00186A64" w:rsidP="0079159C"/>
    <w:p w14:paraId="0A29F947" w14:textId="77777777" w:rsidR="00186A64" w:rsidRDefault="00186A64" w:rsidP="0079159C"/>
    <w:p w14:paraId="074CCC6C" w14:textId="77777777" w:rsidR="00186A64" w:rsidRDefault="00186A64" w:rsidP="0079159C"/>
    <w:p w14:paraId="284B047B" w14:textId="77777777" w:rsidR="00186A64" w:rsidRDefault="00186A64" w:rsidP="0079159C"/>
    <w:p w14:paraId="60F7B3D4" w14:textId="77777777" w:rsidR="00186A64" w:rsidRDefault="00186A64" w:rsidP="0079159C"/>
    <w:p w14:paraId="19BAC15B" w14:textId="77777777" w:rsidR="00186A64" w:rsidRDefault="00186A64" w:rsidP="004B3A6C"/>
    <w:p w14:paraId="2C9884C5" w14:textId="77777777" w:rsidR="00186A64" w:rsidRDefault="00186A64"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B9E7" w14:textId="77777777" w:rsidR="005C3DE4" w:rsidRPr="00F34194" w:rsidRDefault="00D37469" w:rsidP="00F34194">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555396" w:rsidRPr="008715E3">
        <w:rPr>
          <w:rStyle w:val="Hyperlink"/>
          <w:color w:val="00A3E0"/>
          <w:sz w:val="22"/>
          <w:szCs w:val="22"/>
          <w:lang w:val="en-GB"/>
        </w:rPr>
        <w:t>www.itu.int/plenipotentiary/</w:t>
      </w:r>
    </w:hyperlink>
    <w:r w:rsidR="00172DFB">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3920C" w14:textId="77777777" w:rsidR="00186A64" w:rsidRDefault="00186A64" w:rsidP="0079159C">
      <w:r>
        <w:t>____________________</w:t>
      </w:r>
    </w:p>
  </w:footnote>
  <w:footnote w:type="continuationSeparator" w:id="0">
    <w:p w14:paraId="39F6B0CE" w14:textId="77777777" w:rsidR="00186A64" w:rsidRDefault="00186A64" w:rsidP="0079159C">
      <w:r>
        <w:continuationSeparator/>
      </w:r>
    </w:p>
    <w:p w14:paraId="47E9A0E2" w14:textId="77777777" w:rsidR="00186A64" w:rsidRDefault="00186A64" w:rsidP="0079159C"/>
    <w:p w14:paraId="68CDD3F8" w14:textId="77777777" w:rsidR="00186A64" w:rsidRDefault="00186A64" w:rsidP="0079159C"/>
    <w:p w14:paraId="3B49B114" w14:textId="77777777" w:rsidR="00186A64" w:rsidRDefault="00186A64" w:rsidP="0079159C"/>
    <w:p w14:paraId="151B19E5" w14:textId="77777777" w:rsidR="00186A64" w:rsidRDefault="00186A64" w:rsidP="0079159C"/>
    <w:p w14:paraId="4BBD208F" w14:textId="77777777" w:rsidR="00186A64" w:rsidRDefault="00186A64" w:rsidP="0079159C"/>
    <w:p w14:paraId="3196FAE5" w14:textId="77777777" w:rsidR="00186A64" w:rsidRDefault="00186A64" w:rsidP="0079159C"/>
    <w:p w14:paraId="08240115" w14:textId="77777777" w:rsidR="00186A64" w:rsidRDefault="00186A64" w:rsidP="0079159C"/>
    <w:p w14:paraId="684A2698" w14:textId="77777777" w:rsidR="00186A64" w:rsidRDefault="00186A64" w:rsidP="0079159C"/>
    <w:p w14:paraId="7FB7763F" w14:textId="77777777" w:rsidR="00186A64" w:rsidRDefault="00186A64" w:rsidP="0079159C"/>
    <w:p w14:paraId="3C4057B5" w14:textId="77777777" w:rsidR="00186A64" w:rsidRDefault="00186A64" w:rsidP="0079159C"/>
    <w:p w14:paraId="0B71884F" w14:textId="77777777" w:rsidR="00186A64" w:rsidRDefault="00186A64" w:rsidP="0079159C"/>
    <w:p w14:paraId="1D86F21A" w14:textId="77777777" w:rsidR="00186A64" w:rsidRDefault="00186A64" w:rsidP="0079159C"/>
    <w:p w14:paraId="5D029A26" w14:textId="77777777" w:rsidR="00186A64" w:rsidRDefault="00186A64" w:rsidP="0079159C"/>
    <w:p w14:paraId="47E08151" w14:textId="77777777" w:rsidR="00186A64" w:rsidRDefault="00186A64" w:rsidP="004B3A6C"/>
    <w:p w14:paraId="0ACDCE48" w14:textId="77777777" w:rsidR="00186A64" w:rsidRDefault="00186A64" w:rsidP="004B3A6C"/>
  </w:footnote>
  <w:footnote w:id="1">
    <w:p w14:paraId="17651EAB" w14:textId="77777777" w:rsidR="00A971FB" w:rsidRPr="00955ED4" w:rsidRDefault="00A971FB" w:rsidP="00A971FB">
      <w:pPr>
        <w:pStyle w:val="FootnoteText"/>
        <w:rPr>
          <w:lang w:val="ru-RU"/>
        </w:rPr>
      </w:pPr>
      <w:r>
        <w:rPr>
          <w:rStyle w:val="FootnoteReference"/>
          <w:lang w:val="ru-RU"/>
        </w:rPr>
        <w:footnoteRef/>
      </w:r>
      <w:r>
        <w:rPr>
          <w:lang w:val="ru-RU"/>
        </w:rPr>
        <w:tab/>
        <w:t xml:space="preserve">Документ </w:t>
      </w:r>
      <w:hyperlink r:id="rId1" w:history="1">
        <w:r w:rsidRPr="005B687E">
          <w:rPr>
            <w:rStyle w:val="Hyperlink"/>
          </w:rPr>
          <w:t>C</w:t>
        </w:r>
        <w:r w:rsidRPr="00A971FB">
          <w:rPr>
            <w:rStyle w:val="Hyperlink"/>
            <w:lang w:val="ru-RU"/>
          </w:rPr>
          <w:t>25/105</w:t>
        </w:r>
      </w:hyperlink>
      <w:r>
        <w:rPr>
          <w:lang w:val="ru-RU"/>
        </w:rPr>
        <w:t xml:space="preserve"> Совета:</w:t>
      </w:r>
      <w:hyperlink r:id="rId2" w:history="1"/>
    </w:p>
    <w:p w14:paraId="1D564AD5" w14:textId="77777777" w:rsidR="00A971FB" w:rsidRPr="00955ED4" w:rsidRDefault="00A971FB" w:rsidP="00A971FB">
      <w:pPr>
        <w:pStyle w:val="FootnoteText"/>
        <w:tabs>
          <w:tab w:val="clear" w:pos="567"/>
          <w:tab w:val="clear" w:pos="1134"/>
          <w:tab w:val="clear" w:pos="1701"/>
          <w:tab w:val="clear" w:pos="2268"/>
          <w:tab w:val="clear" w:pos="2835"/>
        </w:tabs>
        <w:spacing w:before="0"/>
        <w:ind w:left="567" w:hanging="283"/>
        <w:rPr>
          <w:lang w:val="ru-RU"/>
        </w:rPr>
      </w:pPr>
      <w:r>
        <w:rPr>
          <w:lang w:val="ru-RU"/>
        </w:rPr>
        <w:t>–</w:t>
      </w:r>
      <w:r>
        <w:rPr>
          <w:lang w:val="ru-RU"/>
        </w:rPr>
        <w:tab/>
        <w:t xml:space="preserve">в Приложении H содержится "Рекомендация по региональному присутствию"; </w:t>
      </w:r>
    </w:p>
    <w:p w14:paraId="12819683" w14:textId="77777777" w:rsidR="00A971FB" w:rsidRPr="00955ED4" w:rsidRDefault="00A971FB" w:rsidP="00A971FB">
      <w:pPr>
        <w:pStyle w:val="FootnoteText"/>
        <w:tabs>
          <w:tab w:val="clear" w:pos="567"/>
          <w:tab w:val="clear" w:pos="1134"/>
          <w:tab w:val="clear" w:pos="1701"/>
          <w:tab w:val="clear" w:pos="2268"/>
          <w:tab w:val="clear" w:pos="2835"/>
        </w:tabs>
        <w:spacing w:before="0"/>
        <w:ind w:left="567" w:hanging="283"/>
        <w:rPr>
          <w:lang w:val="ru-RU"/>
        </w:rPr>
      </w:pPr>
      <w:r>
        <w:rPr>
          <w:lang w:val="ru-RU"/>
        </w:rPr>
        <w:t>–</w:t>
      </w:r>
      <w:r>
        <w:rPr>
          <w:lang w:val="ru-RU"/>
        </w:rPr>
        <w:tab/>
        <w:t xml:space="preserve">в Приложении A содержатся "Круг ведения и сфера деятельности по обзору регионального присутствия МСЭ"; </w:t>
      </w:r>
    </w:p>
    <w:p w14:paraId="1077DDDC" w14:textId="77777777" w:rsidR="00A971FB" w:rsidRPr="00955ED4" w:rsidRDefault="00A971FB" w:rsidP="00A971FB">
      <w:pPr>
        <w:pStyle w:val="FootnoteText"/>
        <w:tabs>
          <w:tab w:val="clear" w:pos="567"/>
          <w:tab w:val="clear" w:pos="1134"/>
          <w:tab w:val="clear" w:pos="1701"/>
          <w:tab w:val="clear" w:pos="2268"/>
          <w:tab w:val="clear" w:pos="2835"/>
        </w:tabs>
        <w:spacing w:before="0"/>
        <w:ind w:left="567" w:hanging="283"/>
        <w:rPr>
          <w:lang w:val="ru-RU"/>
        </w:rPr>
      </w:pPr>
      <w:r>
        <w:rPr>
          <w:lang w:val="ru-RU"/>
        </w:rPr>
        <w:t>–</w:t>
      </w:r>
      <w:r>
        <w:rPr>
          <w:lang w:val="ru-RU"/>
        </w:rPr>
        <w:tab/>
        <w:t>в Приложении 1 содержатся 27 "Ключевых показателей деятельности и критериев оценки, которыми следует руководствоваться при проведении обзора регионального присутствия МСЭ".</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9EDE5"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544847A0" w14:textId="370CAB31" w:rsidR="00F96AB4" w:rsidRPr="00F96AB4" w:rsidRDefault="00F96AB4" w:rsidP="00F34194">
    <w:pPr>
      <w:pStyle w:val="Header"/>
    </w:pPr>
    <w:r>
      <w:t>PP</w:t>
    </w:r>
    <w:r w:rsidR="00513BE3">
      <w:t>2</w:t>
    </w:r>
    <w:r w:rsidR="008715E3">
      <w:t>6</w:t>
    </w:r>
    <w:r>
      <w:t>/</w:t>
    </w:r>
    <w:r w:rsidR="006D37E9">
      <w:rPr>
        <w:lang w:val="ru-RU"/>
      </w:rPr>
      <w:t>6</w:t>
    </w:r>
    <w:r w:rsidR="00A971FB">
      <w:t>5</w:t>
    </w:r>
    <w:r w:rsidR="001E31D2">
      <w:t>-R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0C4BB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06A0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2440E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CA4B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CFAE07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AA9E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7E8C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008B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2A1E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44BE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65DAA"/>
    <w:multiLevelType w:val="hybridMultilevel"/>
    <w:tmpl w:val="2F18FB96"/>
    <w:lvl w:ilvl="0" w:tplc="B30C7962">
      <w:numFmt w:val="bullet"/>
      <w:lvlText w:val="–"/>
      <w:lvlJc w:val="left"/>
      <w:pPr>
        <w:ind w:left="720" w:hanging="360"/>
      </w:pPr>
      <w:rPr>
        <w:rFonts w:ascii="Calibri" w:eastAsia="Apto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6994176"/>
    <w:multiLevelType w:val="multilevel"/>
    <w:tmpl w:val="2922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8F206D"/>
    <w:multiLevelType w:val="hybridMultilevel"/>
    <w:tmpl w:val="4B849D76"/>
    <w:lvl w:ilvl="0" w:tplc="B30C7962">
      <w:numFmt w:val="bullet"/>
      <w:lvlText w:val="–"/>
      <w:lvlJc w:val="left"/>
      <w:pPr>
        <w:ind w:left="720" w:hanging="360"/>
      </w:pPr>
      <w:rPr>
        <w:rFonts w:ascii="Calibri" w:eastAsia="Apto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8D63DD"/>
    <w:multiLevelType w:val="hybridMultilevel"/>
    <w:tmpl w:val="91D077BA"/>
    <w:lvl w:ilvl="0" w:tplc="AFA49964">
      <w:start w:val="1"/>
      <w:numFmt w:val="bullet"/>
      <w:lvlText w:val=""/>
      <w:lvlJc w:val="left"/>
      <w:pPr>
        <w:ind w:left="644" w:hanging="360"/>
      </w:pPr>
      <w:rPr>
        <w:rFonts w:ascii="Symbol" w:hAnsi="Symbol" w:hint="default"/>
      </w:rPr>
    </w:lvl>
    <w:lvl w:ilvl="1" w:tplc="216A6C38">
      <w:start w:val="1"/>
      <w:numFmt w:val="bullet"/>
      <w:lvlText w:val="o"/>
      <w:lvlJc w:val="left"/>
      <w:pPr>
        <w:ind w:left="1364" w:hanging="360"/>
      </w:pPr>
      <w:rPr>
        <w:rFonts w:ascii="Courier New" w:hAnsi="Courier New" w:hint="default"/>
      </w:rPr>
    </w:lvl>
    <w:lvl w:ilvl="2" w:tplc="FEC0A744">
      <w:start w:val="1"/>
      <w:numFmt w:val="bullet"/>
      <w:lvlText w:val=""/>
      <w:lvlJc w:val="left"/>
      <w:pPr>
        <w:ind w:left="2084" w:hanging="360"/>
      </w:pPr>
      <w:rPr>
        <w:rFonts w:ascii="Wingdings" w:hAnsi="Wingdings" w:hint="default"/>
      </w:rPr>
    </w:lvl>
    <w:lvl w:ilvl="3" w:tplc="88742A5A">
      <w:start w:val="1"/>
      <w:numFmt w:val="bullet"/>
      <w:lvlText w:val=""/>
      <w:lvlJc w:val="left"/>
      <w:pPr>
        <w:ind w:left="2804" w:hanging="360"/>
      </w:pPr>
      <w:rPr>
        <w:rFonts w:ascii="Symbol" w:hAnsi="Symbol" w:hint="default"/>
      </w:rPr>
    </w:lvl>
    <w:lvl w:ilvl="4" w:tplc="0608E298">
      <w:start w:val="1"/>
      <w:numFmt w:val="bullet"/>
      <w:lvlText w:val="o"/>
      <w:lvlJc w:val="left"/>
      <w:pPr>
        <w:ind w:left="3524" w:hanging="360"/>
      </w:pPr>
      <w:rPr>
        <w:rFonts w:ascii="Courier New" w:hAnsi="Courier New" w:hint="default"/>
      </w:rPr>
    </w:lvl>
    <w:lvl w:ilvl="5" w:tplc="802C912A">
      <w:start w:val="1"/>
      <w:numFmt w:val="bullet"/>
      <w:lvlText w:val=""/>
      <w:lvlJc w:val="left"/>
      <w:pPr>
        <w:ind w:left="4244" w:hanging="360"/>
      </w:pPr>
      <w:rPr>
        <w:rFonts w:ascii="Wingdings" w:hAnsi="Wingdings" w:hint="default"/>
      </w:rPr>
    </w:lvl>
    <w:lvl w:ilvl="6" w:tplc="96BC2312">
      <w:start w:val="1"/>
      <w:numFmt w:val="bullet"/>
      <w:lvlText w:val=""/>
      <w:lvlJc w:val="left"/>
      <w:pPr>
        <w:ind w:left="4964" w:hanging="360"/>
      </w:pPr>
      <w:rPr>
        <w:rFonts w:ascii="Symbol" w:hAnsi="Symbol" w:hint="default"/>
      </w:rPr>
    </w:lvl>
    <w:lvl w:ilvl="7" w:tplc="C1706552">
      <w:start w:val="1"/>
      <w:numFmt w:val="bullet"/>
      <w:lvlText w:val="o"/>
      <w:lvlJc w:val="left"/>
      <w:pPr>
        <w:ind w:left="5684" w:hanging="360"/>
      </w:pPr>
      <w:rPr>
        <w:rFonts w:ascii="Courier New" w:hAnsi="Courier New" w:hint="default"/>
      </w:rPr>
    </w:lvl>
    <w:lvl w:ilvl="8" w:tplc="64E644C8">
      <w:start w:val="1"/>
      <w:numFmt w:val="bullet"/>
      <w:lvlText w:val=""/>
      <w:lvlJc w:val="left"/>
      <w:pPr>
        <w:ind w:left="6404" w:hanging="360"/>
      </w:pPr>
      <w:rPr>
        <w:rFonts w:ascii="Wingdings" w:hAnsi="Wingdings" w:hint="default"/>
      </w:rPr>
    </w:lvl>
  </w:abstractNum>
  <w:abstractNum w:abstractNumId="14" w15:restartNumberingAfterBreak="0">
    <w:nsid w:val="14A233F0"/>
    <w:multiLevelType w:val="hybridMultilevel"/>
    <w:tmpl w:val="9C6ED90C"/>
    <w:lvl w:ilvl="0" w:tplc="B30C7962">
      <w:numFmt w:val="bullet"/>
      <w:lvlText w:val="–"/>
      <w:lvlJc w:val="left"/>
      <w:pPr>
        <w:ind w:left="644" w:hanging="360"/>
      </w:pPr>
      <w:rPr>
        <w:rFonts w:ascii="Calibri" w:eastAsia="Aptos"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5" w15:restartNumberingAfterBreak="0">
    <w:nsid w:val="1754FB8D"/>
    <w:multiLevelType w:val="hybridMultilevel"/>
    <w:tmpl w:val="FFFFFFFF"/>
    <w:lvl w:ilvl="0" w:tplc="776E5158">
      <w:start w:val="1"/>
      <w:numFmt w:val="bullet"/>
      <w:lvlText w:val=""/>
      <w:lvlJc w:val="left"/>
      <w:pPr>
        <w:ind w:left="720" w:hanging="360"/>
      </w:pPr>
      <w:rPr>
        <w:rFonts w:ascii="Symbol" w:hAnsi="Symbol" w:hint="default"/>
      </w:rPr>
    </w:lvl>
    <w:lvl w:ilvl="1" w:tplc="1376120C">
      <w:start w:val="1"/>
      <w:numFmt w:val="bullet"/>
      <w:lvlText w:val="o"/>
      <w:lvlJc w:val="left"/>
      <w:pPr>
        <w:ind w:left="1440" w:hanging="360"/>
      </w:pPr>
      <w:rPr>
        <w:rFonts w:ascii="&quot;Courier New&quot;" w:hAnsi="&quot;Courier New&quot;" w:hint="default"/>
      </w:rPr>
    </w:lvl>
    <w:lvl w:ilvl="2" w:tplc="96A85A60">
      <w:start w:val="1"/>
      <w:numFmt w:val="bullet"/>
      <w:lvlText w:val=""/>
      <w:lvlJc w:val="left"/>
      <w:pPr>
        <w:ind w:left="2160" w:hanging="360"/>
      </w:pPr>
      <w:rPr>
        <w:rFonts w:ascii="Wingdings" w:hAnsi="Wingdings" w:hint="default"/>
      </w:rPr>
    </w:lvl>
    <w:lvl w:ilvl="3" w:tplc="94BC8E84">
      <w:start w:val="1"/>
      <w:numFmt w:val="bullet"/>
      <w:lvlText w:val=""/>
      <w:lvlJc w:val="left"/>
      <w:pPr>
        <w:ind w:left="2880" w:hanging="360"/>
      </w:pPr>
      <w:rPr>
        <w:rFonts w:ascii="Symbol" w:hAnsi="Symbol" w:hint="default"/>
      </w:rPr>
    </w:lvl>
    <w:lvl w:ilvl="4" w:tplc="FF5C2792">
      <w:start w:val="1"/>
      <w:numFmt w:val="bullet"/>
      <w:lvlText w:val="o"/>
      <w:lvlJc w:val="left"/>
      <w:pPr>
        <w:ind w:left="3600" w:hanging="360"/>
      </w:pPr>
      <w:rPr>
        <w:rFonts w:ascii="Courier New" w:hAnsi="Courier New" w:hint="default"/>
      </w:rPr>
    </w:lvl>
    <w:lvl w:ilvl="5" w:tplc="948C2976">
      <w:start w:val="1"/>
      <w:numFmt w:val="bullet"/>
      <w:lvlText w:val=""/>
      <w:lvlJc w:val="left"/>
      <w:pPr>
        <w:ind w:left="4320" w:hanging="360"/>
      </w:pPr>
      <w:rPr>
        <w:rFonts w:ascii="Wingdings" w:hAnsi="Wingdings" w:hint="default"/>
      </w:rPr>
    </w:lvl>
    <w:lvl w:ilvl="6" w:tplc="20E6A190">
      <w:start w:val="1"/>
      <w:numFmt w:val="bullet"/>
      <w:lvlText w:val=""/>
      <w:lvlJc w:val="left"/>
      <w:pPr>
        <w:ind w:left="5040" w:hanging="360"/>
      </w:pPr>
      <w:rPr>
        <w:rFonts w:ascii="Symbol" w:hAnsi="Symbol" w:hint="default"/>
      </w:rPr>
    </w:lvl>
    <w:lvl w:ilvl="7" w:tplc="86BC536C">
      <w:start w:val="1"/>
      <w:numFmt w:val="bullet"/>
      <w:lvlText w:val="o"/>
      <w:lvlJc w:val="left"/>
      <w:pPr>
        <w:ind w:left="5760" w:hanging="360"/>
      </w:pPr>
      <w:rPr>
        <w:rFonts w:ascii="Courier New" w:hAnsi="Courier New" w:hint="default"/>
      </w:rPr>
    </w:lvl>
    <w:lvl w:ilvl="8" w:tplc="D2604A6C">
      <w:start w:val="1"/>
      <w:numFmt w:val="bullet"/>
      <w:lvlText w:val=""/>
      <w:lvlJc w:val="left"/>
      <w:pPr>
        <w:ind w:left="6480" w:hanging="360"/>
      </w:pPr>
      <w:rPr>
        <w:rFonts w:ascii="Wingdings" w:hAnsi="Wingdings" w:hint="default"/>
      </w:rPr>
    </w:lvl>
  </w:abstractNum>
  <w:abstractNum w:abstractNumId="16" w15:restartNumberingAfterBreak="0">
    <w:nsid w:val="1C577E39"/>
    <w:multiLevelType w:val="hybridMultilevel"/>
    <w:tmpl w:val="3D1CA788"/>
    <w:lvl w:ilvl="0" w:tplc="B30C7962">
      <w:numFmt w:val="bullet"/>
      <w:lvlText w:val="–"/>
      <w:lvlJc w:val="left"/>
      <w:pPr>
        <w:ind w:left="644" w:hanging="360"/>
      </w:pPr>
      <w:rPr>
        <w:rFonts w:ascii="Calibri" w:eastAsia="Aptos" w:hAnsi="Calibri" w:cs="Calibri" w:hint="default"/>
      </w:rPr>
    </w:lvl>
    <w:lvl w:ilvl="1" w:tplc="38090003" w:tentative="1">
      <w:start w:val="1"/>
      <w:numFmt w:val="bullet"/>
      <w:lvlText w:val="o"/>
      <w:lvlJc w:val="left"/>
      <w:pPr>
        <w:ind w:left="1364" w:hanging="360"/>
      </w:pPr>
      <w:rPr>
        <w:rFonts w:ascii="Courier New" w:hAnsi="Courier New" w:cs="Courier New" w:hint="default"/>
      </w:rPr>
    </w:lvl>
    <w:lvl w:ilvl="2" w:tplc="38090005" w:tentative="1">
      <w:start w:val="1"/>
      <w:numFmt w:val="bullet"/>
      <w:lvlText w:val=""/>
      <w:lvlJc w:val="left"/>
      <w:pPr>
        <w:ind w:left="2084" w:hanging="360"/>
      </w:pPr>
      <w:rPr>
        <w:rFonts w:ascii="Wingdings" w:hAnsi="Wingdings" w:hint="default"/>
      </w:rPr>
    </w:lvl>
    <w:lvl w:ilvl="3" w:tplc="38090001" w:tentative="1">
      <w:start w:val="1"/>
      <w:numFmt w:val="bullet"/>
      <w:lvlText w:val=""/>
      <w:lvlJc w:val="left"/>
      <w:pPr>
        <w:ind w:left="2804" w:hanging="360"/>
      </w:pPr>
      <w:rPr>
        <w:rFonts w:ascii="Symbol" w:hAnsi="Symbol" w:hint="default"/>
      </w:rPr>
    </w:lvl>
    <w:lvl w:ilvl="4" w:tplc="38090003" w:tentative="1">
      <w:start w:val="1"/>
      <w:numFmt w:val="bullet"/>
      <w:lvlText w:val="o"/>
      <w:lvlJc w:val="left"/>
      <w:pPr>
        <w:ind w:left="3524" w:hanging="360"/>
      </w:pPr>
      <w:rPr>
        <w:rFonts w:ascii="Courier New" w:hAnsi="Courier New" w:cs="Courier New" w:hint="default"/>
      </w:rPr>
    </w:lvl>
    <w:lvl w:ilvl="5" w:tplc="38090005" w:tentative="1">
      <w:start w:val="1"/>
      <w:numFmt w:val="bullet"/>
      <w:lvlText w:val=""/>
      <w:lvlJc w:val="left"/>
      <w:pPr>
        <w:ind w:left="4244" w:hanging="360"/>
      </w:pPr>
      <w:rPr>
        <w:rFonts w:ascii="Wingdings" w:hAnsi="Wingdings" w:hint="default"/>
      </w:rPr>
    </w:lvl>
    <w:lvl w:ilvl="6" w:tplc="38090001" w:tentative="1">
      <w:start w:val="1"/>
      <w:numFmt w:val="bullet"/>
      <w:lvlText w:val=""/>
      <w:lvlJc w:val="left"/>
      <w:pPr>
        <w:ind w:left="4964" w:hanging="360"/>
      </w:pPr>
      <w:rPr>
        <w:rFonts w:ascii="Symbol" w:hAnsi="Symbol" w:hint="default"/>
      </w:rPr>
    </w:lvl>
    <w:lvl w:ilvl="7" w:tplc="38090003" w:tentative="1">
      <w:start w:val="1"/>
      <w:numFmt w:val="bullet"/>
      <w:lvlText w:val="o"/>
      <w:lvlJc w:val="left"/>
      <w:pPr>
        <w:ind w:left="5684" w:hanging="360"/>
      </w:pPr>
      <w:rPr>
        <w:rFonts w:ascii="Courier New" w:hAnsi="Courier New" w:cs="Courier New" w:hint="default"/>
      </w:rPr>
    </w:lvl>
    <w:lvl w:ilvl="8" w:tplc="38090005" w:tentative="1">
      <w:start w:val="1"/>
      <w:numFmt w:val="bullet"/>
      <w:lvlText w:val=""/>
      <w:lvlJc w:val="left"/>
      <w:pPr>
        <w:ind w:left="6404" w:hanging="360"/>
      </w:pPr>
      <w:rPr>
        <w:rFonts w:ascii="Wingdings" w:hAnsi="Wingdings" w:hint="default"/>
      </w:rPr>
    </w:lvl>
  </w:abstractNum>
  <w:abstractNum w:abstractNumId="17" w15:restartNumberingAfterBreak="0">
    <w:nsid w:val="2D6B79DB"/>
    <w:multiLevelType w:val="hybridMultilevel"/>
    <w:tmpl w:val="FFFFFFFF"/>
    <w:lvl w:ilvl="0" w:tplc="34EA7524">
      <w:start w:val="1"/>
      <w:numFmt w:val="bullet"/>
      <w:lvlText w:val="-"/>
      <w:lvlJc w:val="left"/>
      <w:pPr>
        <w:ind w:left="720" w:hanging="360"/>
      </w:pPr>
      <w:rPr>
        <w:rFonts w:ascii="Symbol" w:hAnsi="Symbol" w:hint="default"/>
      </w:rPr>
    </w:lvl>
    <w:lvl w:ilvl="1" w:tplc="79BE0BCE">
      <w:start w:val="1"/>
      <w:numFmt w:val="bullet"/>
      <w:lvlText w:val="o"/>
      <w:lvlJc w:val="left"/>
      <w:pPr>
        <w:ind w:left="1440" w:hanging="360"/>
      </w:pPr>
      <w:rPr>
        <w:rFonts w:ascii="Courier New" w:hAnsi="Courier New" w:hint="default"/>
      </w:rPr>
    </w:lvl>
    <w:lvl w:ilvl="2" w:tplc="27EE39EA">
      <w:start w:val="1"/>
      <w:numFmt w:val="bullet"/>
      <w:lvlText w:val=""/>
      <w:lvlJc w:val="left"/>
      <w:pPr>
        <w:ind w:left="2160" w:hanging="360"/>
      </w:pPr>
      <w:rPr>
        <w:rFonts w:ascii="Wingdings" w:hAnsi="Wingdings" w:hint="default"/>
      </w:rPr>
    </w:lvl>
    <w:lvl w:ilvl="3" w:tplc="48AE92B0">
      <w:start w:val="1"/>
      <w:numFmt w:val="bullet"/>
      <w:lvlText w:val=""/>
      <w:lvlJc w:val="left"/>
      <w:pPr>
        <w:ind w:left="2880" w:hanging="360"/>
      </w:pPr>
      <w:rPr>
        <w:rFonts w:ascii="Symbol" w:hAnsi="Symbol" w:hint="default"/>
      </w:rPr>
    </w:lvl>
    <w:lvl w:ilvl="4" w:tplc="0A0E0FF2">
      <w:start w:val="1"/>
      <w:numFmt w:val="bullet"/>
      <w:lvlText w:val="o"/>
      <w:lvlJc w:val="left"/>
      <w:pPr>
        <w:ind w:left="3600" w:hanging="360"/>
      </w:pPr>
      <w:rPr>
        <w:rFonts w:ascii="Courier New" w:hAnsi="Courier New" w:hint="default"/>
      </w:rPr>
    </w:lvl>
    <w:lvl w:ilvl="5" w:tplc="332A61D4">
      <w:start w:val="1"/>
      <w:numFmt w:val="bullet"/>
      <w:lvlText w:val=""/>
      <w:lvlJc w:val="left"/>
      <w:pPr>
        <w:ind w:left="4320" w:hanging="360"/>
      </w:pPr>
      <w:rPr>
        <w:rFonts w:ascii="Wingdings" w:hAnsi="Wingdings" w:hint="default"/>
      </w:rPr>
    </w:lvl>
    <w:lvl w:ilvl="6" w:tplc="55E6D906">
      <w:start w:val="1"/>
      <w:numFmt w:val="bullet"/>
      <w:lvlText w:val=""/>
      <w:lvlJc w:val="left"/>
      <w:pPr>
        <w:ind w:left="5040" w:hanging="360"/>
      </w:pPr>
      <w:rPr>
        <w:rFonts w:ascii="Symbol" w:hAnsi="Symbol" w:hint="default"/>
      </w:rPr>
    </w:lvl>
    <w:lvl w:ilvl="7" w:tplc="735E518C">
      <w:start w:val="1"/>
      <w:numFmt w:val="bullet"/>
      <w:lvlText w:val="o"/>
      <w:lvlJc w:val="left"/>
      <w:pPr>
        <w:ind w:left="5760" w:hanging="360"/>
      </w:pPr>
      <w:rPr>
        <w:rFonts w:ascii="Courier New" w:hAnsi="Courier New" w:hint="default"/>
      </w:rPr>
    </w:lvl>
    <w:lvl w:ilvl="8" w:tplc="D0E09B0C">
      <w:start w:val="1"/>
      <w:numFmt w:val="bullet"/>
      <w:lvlText w:val=""/>
      <w:lvlJc w:val="left"/>
      <w:pPr>
        <w:ind w:left="6480" w:hanging="360"/>
      </w:pPr>
      <w:rPr>
        <w:rFonts w:ascii="Wingdings" w:hAnsi="Wingdings" w:hint="default"/>
      </w:rPr>
    </w:lvl>
  </w:abstractNum>
  <w:abstractNum w:abstractNumId="18" w15:restartNumberingAfterBreak="0">
    <w:nsid w:val="37A322A5"/>
    <w:multiLevelType w:val="hybridMultilevel"/>
    <w:tmpl w:val="493C0A20"/>
    <w:lvl w:ilvl="0" w:tplc="0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9" w15:restartNumberingAfterBreak="0">
    <w:nsid w:val="3AEDAC82"/>
    <w:multiLevelType w:val="hybridMultilevel"/>
    <w:tmpl w:val="FFFFFFFF"/>
    <w:lvl w:ilvl="0" w:tplc="9CB2D1E2">
      <w:start w:val="1"/>
      <w:numFmt w:val="bullet"/>
      <w:lvlText w:val="ü"/>
      <w:lvlJc w:val="left"/>
      <w:pPr>
        <w:ind w:left="720" w:hanging="360"/>
      </w:pPr>
      <w:rPr>
        <w:rFonts w:ascii="Wingdings" w:hAnsi="Wingdings" w:hint="default"/>
      </w:rPr>
    </w:lvl>
    <w:lvl w:ilvl="1" w:tplc="55AE7BC2">
      <w:start w:val="1"/>
      <w:numFmt w:val="bullet"/>
      <w:lvlText w:val="o"/>
      <w:lvlJc w:val="left"/>
      <w:pPr>
        <w:ind w:left="1440" w:hanging="360"/>
      </w:pPr>
      <w:rPr>
        <w:rFonts w:ascii="Courier New" w:hAnsi="Courier New" w:hint="default"/>
      </w:rPr>
    </w:lvl>
    <w:lvl w:ilvl="2" w:tplc="4B74F214">
      <w:start w:val="1"/>
      <w:numFmt w:val="bullet"/>
      <w:lvlText w:val=""/>
      <w:lvlJc w:val="left"/>
      <w:pPr>
        <w:ind w:left="2160" w:hanging="360"/>
      </w:pPr>
      <w:rPr>
        <w:rFonts w:ascii="Wingdings" w:hAnsi="Wingdings" w:hint="default"/>
      </w:rPr>
    </w:lvl>
    <w:lvl w:ilvl="3" w:tplc="6A0A8588">
      <w:start w:val="1"/>
      <w:numFmt w:val="bullet"/>
      <w:lvlText w:val=""/>
      <w:lvlJc w:val="left"/>
      <w:pPr>
        <w:ind w:left="2880" w:hanging="360"/>
      </w:pPr>
      <w:rPr>
        <w:rFonts w:ascii="Symbol" w:hAnsi="Symbol" w:hint="default"/>
      </w:rPr>
    </w:lvl>
    <w:lvl w:ilvl="4" w:tplc="25DE008E">
      <w:start w:val="1"/>
      <w:numFmt w:val="bullet"/>
      <w:lvlText w:val="o"/>
      <w:lvlJc w:val="left"/>
      <w:pPr>
        <w:ind w:left="3600" w:hanging="360"/>
      </w:pPr>
      <w:rPr>
        <w:rFonts w:ascii="Courier New" w:hAnsi="Courier New" w:hint="default"/>
      </w:rPr>
    </w:lvl>
    <w:lvl w:ilvl="5" w:tplc="94E6BF88">
      <w:start w:val="1"/>
      <w:numFmt w:val="bullet"/>
      <w:lvlText w:val=""/>
      <w:lvlJc w:val="left"/>
      <w:pPr>
        <w:ind w:left="4320" w:hanging="360"/>
      </w:pPr>
      <w:rPr>
        <w:rFonts w:ascii="Wingdings" w:hAnsi="Wingdings" w:hint="default"/>
      </w:rPr>
    </w:lvl>
    <w:lvl w:ilvl="6" w:tplc="382E9DCC">
      <w:start w:val="1"/>
      <w:numFmt w:val="bullet"/>
      <w:lvlText w:val=""/>
      <w:lvlJc w:val="left"/>
      <w:pPr>
        <w:ind w:left="5040" w:hanging="360"/>
      </w:pPr>
      <w:rPr>
        <w:rFonts w:ascii="Symbol" w:hAnsi="Symbol" w:hint="default"/>
      </w:rPr>
    </w:lvl>
    <w:lvl w:ilvl="7" w:tplc="322AE552">
      <w:start w:val="1"/>
      <w:numFmt w:val="bullet"/>
      <w:lvlText w:val="o"/>
      <w:lvlJc w:val="left"/>
      <w:pPr>
        <w:ind w:left="5760" w:hanging="360"/>
      </w:pPr>
      <w:rPr>
        <w:rFonts w:ascii="Courier New" w:hAnsi="Courier New" w:hint="default"/>
      </w:rPr>
    </w:lvl>
    <w:lvl w:ilvl="8" w:tplc="03E817FE">
      <w:start w:val="1"/>
      <w:numFmt w:val="bullet"/>
      <w:lvlText w:val=""/>
      <w:lvlJc w:val="left"/>
      <w:pPr>
        <w:ind w:left="6480" w:hanging="360"/>
      </w:pPr>
      <w:rPr>
        <w:rFonts w:ascii="Wingdings" w:hAnsi="Wingdings" w:hint="default"/>
      </w:rPr>
    </w:lvl>
  </w:abstractNum>
  <w:abstractNum w:abstractNumId="20" w15:restartNumberingAfterBreak="0">
    <w:nsid w:val="3D53AA98"/>
    <w:multiLevelType w:val="hybridMultilevel"/>
    <w:tmpl w:val="8C56258E"/>
    <w:lvl w:ilvl="0" w:tplc="B30C7962">
      <w:numFmt w:val="bullet"/>
      <w:lvlText w:val="–"/>
      <w:lvlJc w:val="left"/>
      <w:pPr>
        <w:ind w:left="644" w:hanging="360"/>
      </w:pPr>
      <w:rPr>
        <w:rFonts w:ascii="Calibri" w:eastAsia="Aptos" w:hAnsi="Calibri" w:cs="Calibri" w:hint="default"/>
      </w:rPr>
    </w:lvl>
    <w:lvl w:ilvl="1" w:tplc="45FEB004">
      <w:start w:val="1"/>
      <w:numFmt w:val="bullet"/>
      <w:lvlText w:val="o"/>
      <w:lvlJc w:val="left"/>
      <w:pPr>
        <w:ind w:left="1364" w:hanging="360"/>
      </w:pPr>
      <w:rPr>
        <w:rFonts w:ascii="Courier New" w:hAnsi="Courier New" w:hint="default"/>
      </w:rPr>
    </w:lvl>
    <w:lvl w:ilvl="2" w:tplc="1D3865A4">
      <w:start w:val="1"/>
      <w:numFmt w:val="bullet"/>
      <w:lvlText w:val=""/>
      <w:lvlJc w:val="left"/>
      <w:pPr>
        <w:ind w:left="2084" w:hanging="360"/>
      </w:pPr>
      <w:rPr>
        <w:rFonts w:ascii="Wingdings" w:hAnsi="Wingdings" w:hint="default"/>
      </w:rPr>
    </w:lvl>
    <w:lvl w:ilvl="3" w:tplc="DDB4DA72">
      <w:start w:val="1"/>
      <w:numFmt w:val="bullet"/>
      <w:lvlText w:val=""/>
      <w:lvlJc w:val="left"/>
      <w:pPr>
        <w:ind w:left="2804" w:hanging="360"/>
      </w:pPr>
      <w:rPr>
        <w:rFonts w:ascii="Symbol" w:hAnsi="Symbol" w:hint="default"/>
      </w:rPr>
    </w:lvl>
    <w:lvl w:ilvl="4" w:tplc="E0C0E9E2">
      <w:start w:val="1"/>
      <w:numFmt w:val="bullet"/>
      <w:lvlText w:val="o"/>
      <w:lvlJc w:val="left"/>
      <w:pPr>
        <w:ind w:left="3524" w:hanging="360"/>
      </w:pPr>
      <w:rPr>
        <w:rFonts w:ascii="Courier New" w:hAnsi="Courier New" w:hint="default"/>
      </w:rPr>
    </w:lvl>
    <w:lvl w:ilvl="5" w:tplc="1EE47EFC">
      <w:start w:val="1"/>
      <w:numFmt w:val="bullet"/>
      <w:lvlText w:val=""/>
      <w:lvlJc w:val="left"/>
      <w:pPr>
        <w:ind w:left="4244" w:hanging="360"/>
      </w:pPr>
      <w:rPr>
        <w:rFonts w:ascii="Wingdings" w:hAnsi="Wingdings" w:hint="default"/>
      </w:rPr>
    </w:lvl>
    <w:lvl w:ilvl="6" w:tplc="23280718">
      <w:start w:val="1"/>
      <w:numFmt w:val="bullet"/>
      <w:lvlText w:val=""/>
      <w:lvlJc w:val="left"/>
      <w:pPr>
        <w:ind w:left="4964" w:hanging="360"/>
      </w:pPr>
      <w:rPr>
        <w:rFonts w:ascii="Symbol" w:hAnsi="Symbol" w:hint="default"/>
      </w:rPr>
    </w:lvl>
    <w:lvl w:ilvl="7" w:tplc="89343330">
      <w:start w:val="1"/>
      <w:numFmt w:val="bullet"/>
      <w:lvlText w:val="o"/>
      <w:lvlJc w:val="left"/>
      <w:pPr>
        <w:ind w:left="5684" w:hanging="360"/>
      </w:pPr>
      <w:rPr>
        <w:rFonts w:ascii="Courier New" w:hAnsi="Courier New" w:hint="default"/>
      </w:rPr>
    </w:lvl>
    <w:lvl w:ilvl="8" w:tplc="0AEAFB5C">
      <w:start w:val="1"/>
      <w:numFmt w:val="bullet"/>
      <w:lvlText w:val=""/>
      <w:lvlJc w:val="left"/>
      <w:pPr>
        <w:ind w:left="6404" w:hanging="360"/>
      </w:pPr>
      <w:rPr>
        <w:rFonts w:ascii="Wingdings" w:hAnsi="Wingdings" w:hint="default"/>
      </w:rPr>
    </w:lvl>
  </w:abstractNum>
  <w:abstractNum w:abstractNumId="21" w15:restartNumberingAfterBreak="0">
    <w:nsid w:val="48884111"/>
    <w:multiLevelType w:val="multilevel"/>
    <w:tmpl w:val="DEBA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A2483F"/>
    <w:multiLevelType w:val="hybridMultilevel"/>
    <w:tmpl w:val="9386F74A"/>
    <w:lvl w:ilvl="0" w:tplc="B30C7962">
      <w:numFmt w:val="bullet"/>
      <w:lvlText w:val="–"/>
      <w:lvlJc w:val="left"/>
      <w:pPr>
        <w:ind w:left="720" w:hanging="360"/>
      </w:pPr>
      <w:rPr>
        <w:rFonts w:ascii="Calibri" w:eastAsia="Apto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533547"/>
    <w:multiLevelType w:val="hybridMultilevel"/>
    <w:tmpl w:val="39B409D4"/>
    <w:lvl w:ilvl="0" w:tplc="B30C7962">
      <w:numFmt w:val="bullet"/>
      <w:lvlText w:val="–"/>
      <w:lvlJc w:val="left"/>
      <w:pPr>
        <w:ind w:left="720" w:hanging="360"/>
      </w:pPr>
      <w:rPr>
        <w:rFonts w:ascii="Calibri" w:eastAsia="Aptos"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45B6D82"/>
    <w:multiLevelType w:val="hybridMultilevel"/>
    <w:tmpl w:val="1CB489AA"/>
    <w:lvl w:ilvl="0" w:tplc="B30C7962">
      <w:numFmt w:val="bullet"/>
      <w:lvlText w:val="–"/>
      <w:lvlJc w:val="left"/>
      <w:pPr>
        <w:ind w:left="644" w:hanging="360"/>
      </w:pPr>
      <w:rPr>
        <w:rFonts w:ascii="Calibri" w:eastAsia="Aptos"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5" w15:restartNumberingAfterBreak="0">
    <w:nsid w:val="59718C04"/>
    <w:multiLevelType w:val="hybridMultilevel"/>
    <w:tmpl w:val="FFFFFFFF"/>
    <w:lvl w:ilvl="0" w:tplc="D084139A">
      <w:start w:val="1"/>
      <w:numFmt w:val="bullet"/>
      <w:lvlText w:val="ü"/>
      <w:lvlJc w:val="left"/>
      <w:pPr>
        <w:ind w:left="720" w:hanging="360"/>
      </w:pPr>
      <w:rPr>
        <w:rFonts w:ascii="Wingdings" w:hAnsi="Wingdings" w:hint="default"/>
      </w:rPr>
    </w:lvl>
    <w:lvl w:ilvl="1" w:tplc="3E746CAA">
      <w:start w:val="1"/>
      <w:numFmt w:val="bullet"/>
      <w:lvlText w:val="o"/>
      <w:lvlJc w:val="left"/>
      <w:pPr>
        <w:ind w:left="1440" w:hanging="360"/>
      </w:pPr>
      <w:rPr>
        <w:rFonts w:ascii="Courier New" w:hAnsi="Courier New" w:hint="default"/>
      </w:rPr>
    </w:lvl>
    <w:lvl w:ilvl="2" w:tplc="3BB296E0">
      <w:start w:val="1"/>
      <w:numFmt w:val="bullet"/>
      <w:lvlText w:val=""/>
      <w:lvlJc w:val="left"/>
      <w:pPr>
        <w:ind w:left="2160" w:hanging="360"/>
      </w:pPr>
      <w:rPr>
        <w:rFonts w:ascii="Wingdings" w:hAnsi="Wingdings" w:hint="default"/>
      </w:rPr>
    </w:lvl>
    <w:lvl w:ilvl="3" w:tplc="879ABC48">
      <w:start w:val="1"/>
      <w:numFmt w:val="bullet"/>
      <w:lvlText w:val=""/>
      <w:lvlJc w:val="left"/>
      <w:pPr>
        <w:ind w:left="2880" w:hanging="360"/>
      </w:pPr>
      <w:rPr>
        <w:rFonts w:ascii="Symbol" w:hAnsi="Symbol" w:hint="default"/>
      </w:rPr>
    </w:lvl>
    <w:lvl w:ilvl="4" w:tplc="966051EC">
      <w:start w:val="1"/>
      <w:numFmt w:val="bullet"/>
      <w:lvlText w:val="o"/>
      <w:lvlJc w:val="left"/>
      <w:pPr>
        <w:ind w:left="3600" w:hanging="360"/>
      </w:pPr>
      <w:rPr>
        <w:rFonts w:ascii="Courier New" w:hAnsi="Courier New" w:hint="default"/>
      </w:rPr>
    </w:lvl>
    <w:lvl w:ilvl="5" w:tplc="4F06233A">
      <w:start w:val="1"/>
      <w:numFmt w:val="bullet"/>
      <w:lvlText w:val=""/>
      <w:lvlJc w:val="left"/>
      <w:pPr>
        <w:ind w:left="4320" w:hanging="360"/>
      </w:pPr>
      <w:rPr>
        <w:rFonts w:ascii="Wingdings" w:hAnsi="Wingdings" w:hint="default"/>
      </w:rPr>
    </w:lvl>
    <w:lvl w:ilvl="6" w:tplc="E8106A9E">
      <w:start w:val="1"/>
      <w:numFmt w:val="bullet"/>
      <w:lvlText w:val=""/>
      <w:lvlJc w:val="left"/>
      <w:pPr>
        <w:ind w:left="5040" w:hanging="360"/>
      </w:pPr>
      <w:rPr>
        <w:rFonts w:ascii="Symbol" w:hAnsi="Symbol" w:hint="default"/>
      </w:rPr>
    </w:lvl>
    <w:lvl w:ilvl="7" w:tplc="A8287FEA">
      <w:start w:val="1"/>
      <w:numFmt w:val="bullet"/>
      <w:lvlText w:val="o"/>
      <w:lvlJc w:val="left"/>
      <w:pPr>
        <w:ind w:left="5760" w:hanging="360"/>
      </w:pPr>
      <w:rPr>
        <w:rFonts w:ascii="Courier New" w:hAnsi="Courier New" w:hint="default"/>
      </w:rPr>
    </w:lvl>
    <w:lvl w:ilvl="8" w:tplc="D610A984">
      <w:start w:val="1"/>
      <w:numFmt w:val="bullet"/>
      <w:lvlText w:val=""/>
      <w:lvlJc w:val="left"/>
      <w:pPr>
        <w:ind w:left="6480" w:hanging="360"/>
      </w:pPr>
      <w:rPr>
        <w:rFonts w:ascii="Wingdings" w:hAnsi="Wingdings" w:hint="default"/>
      </w:rPr>
    </w:lvl>
  </w:abstractNum>
  <w:abstractNum w:abstractNumId="26" w15:restartNumberingAfterBreak="0">
    <w:nsid w:val="61431D91"/>
    <w:multiLevelType w:val="hybridMultilevel"/>
    <w:tmpl w:val="24BCBABA"/>
    <w:lvl w:ilvl="0" w:tplc="08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7" w15:restartNumberingAfterBreak="0">
    <w:nsid w:val="652B74DB"/>
    <w:multiLevelType w:val="hybridMultilevel"/>
    <w:tmpl w:val="C0E813EA"/>
    <w:lvl w:ilvl="0" w:tplc="08090005">
      <w:start w:val="1"/>
      <w:numFmt w:val="bullet"/>
      <w:lvlText w:val=""/>
      <w:lvlJc w:val="left"/>
      <w:pPr>
        <w:ind w:left="927" w:hanging="360"/>
      </w:pPr>
      <w:rPr>
        <w:rFonts w:ascii="Wingdings" w:hAnsi="Wingdings" w:hint="default"/>
      </w:rPr>
    </w:lvl>
    <w:lvl w:ilvl="1" w:tplc="FFFFFFFF">
      <w:start w:val="1"/>
      <w:numFmt w:val="bullet"/>
      <w:lvlText w:val=""/>
      <w:lvlJc w:val="left"/>
      <w:pPr>
        <w:ind w:left="1647" w:hanging="360"/>
      </w:pPr>
      <w:rPr>
        <w:rFonts w:ascii="Wingdings" w:hAnsi="Wingdings"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hint="default"/>
      </w:rPr>
    </w:lvl>
    <w:lvl w:ilvl="8" w:tplc="FFFFFFFF">
      <w:start w:val="1"/>
      <w:numFmt w:val="bullet"/>
      <w:lvlText w:val=""/>
      <w:lvlJc w:val="left"/>
      <w:pPr>
        <w:ind w:left="6687" w:hanging="360"/>
      </w:pPr>
      <w:rPr>
        <w:rFonts w:ascii="Wingdings" w:hAnsi="Wingdings" w:hint="default"/>
      </w:rPr>
    </w:lvl>
  </w:abstractNum>
  <w:abstractNum w:abstractNumId="28" w15:restartNumberingAfterBreak="0">
    <w:nsid w:val="6D385BD2"/>
    <w:multiLevelType w:val="hybridMultilevel"/>
    <w:tmpl w:val="D8C6DA84"/>
    <w:lvl w:ilvl="0" w:tplc="B30C7962">
      <w:numFmt w:val="bullet"/>
      <w:lvlText w:val="–"/>
      <w:lvlJc w:val="left"/>
      <w:pPr>
        <w:ind w:left="720" w:hanging="360"/>
      </w:pPr>
      <w:rPr>
        <w:rFonts w:ascii="Calibri" w:eastAsia="Aptos"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25C0C9D"/>
    <w:multiLevelType w:val="hybridMultilevel"/>
    <w:tmpl w:val="9A10DE0C"/>
    <w:lvl w:ilvl="0" w:tplc="FFFFFFFF">
      <w:start w:val="1"/>
      <w:numFmt w:val="bullet"/>
      <w:lvlText w:val="-"/>
      <w:lvlJc w:val="left"/>
      <w:pPr>
        <w:ind w:left="927" w:hanging="360"/>
      </w:pPr>
      <w:rPr>
        <w:rFonts w:ascii="Symbol" w:hAnsi="Symbol" w:hint="default"/>
      </w:rPr>
    </w:lvl>
    <w:lvl w:ilvl="1" w:tplc="08090005">
      <w:start w:val="1"/>
      <w:numFmt w:val="bullet"/>
      <w:lvlText w:val=""/>
      <w:lvlJc w:val="left"/>
      <w:pPr>
        <w:ind w:left="1647" w:hanging="360"/>
      </w:pPr>
      <w:rPr>
        <w:rFonts w:ascii="Wingdings" w:hAnsi="Wingdings"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hint="default"/>
      </w:rPr>
    </w:lvl>
    <w:lvl w:ilvl="8" w:tplc="FFFFFFFF">
      <w:start w:val="1"/>
      <w:numFmt w:val="bullet"/>
      <w:lvlText w:val=""/>
      <w:lvlJc w:val="left"/>
      <w:pPr>
        <w:ind w:left="6687" w:hanging="360"/>
      </w:pPr>
      <w:rPr>
        <w:rFonts w:ascii="Wingdings" w:hAnsi="Wingdings" w:hint="default"/>
      </w:rPr>
    </w:lvl>
  </w:abstractNum>
  <w:abstractNum w:abstractNumId="30" w15:restartNumberingAfterBreak="0">
    <w:nsid w:val="77216F8F"/>
    <w:multiLevelType w:val="hybridMultilevel"/>
    <w:tmpl w:val="086A3604"/>
    <w:lvl w:ilvl="0" w:tplc="B30C7962">
      <w:numFmt w:val="bullet"/>
      <w:lvlText w:val="–"/>
      <w:lvlJc w:val="left"/>
      <w:pPr>
        <w:ind w:left="360" w:hanging="360"/>
      </w:pPr>
      <w:rPr>
        <w:rFonts w:ascii="Calibri" w:eastAsia="Aptos" w:hAnsi="Calibri" w:cs="Calibri"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31" w15:restartNumberingAfterBreak="0">
    <w:nsid w:val="7ADA600F"/>
    <w:multiLevelType w:val="hybridMultilevel"/>
    <w:tmpl w:val="0AF0EB3E"/>
    <w:lvl w:ilvl="0" w:tplc="08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2" w15:restartNumberingAfterBreak="0">
    <w:nsid w:val="7B617D5B"/>
    <w:multiLevelType w:val="hybridMultilevel"/>
    <w:tmpl w:val="C9CE5A56"/>
    <w:lvl w:ilvl="0" w:tplc="B30C7962">
      <w:numFmt w:val="bullet"/>
      <w:lvlText w:val="–"/>
      <w:lvlJc w:val="left"/>
      <w:pPr>
        <w:ind w:left="720" w:hanging="360"/>
      </w:pPr>
      <w:rPr>
        <w:rFonts w:ascii="Calibri" w:eastAsia="Apto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B359C4"/>
    <w:multiLevelType w:val="hybridMultilevel"/>
    <w:tmpl w:val="229E70A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E140CB2"/>
    <w:multiLevelType w:val="multilevel"/>
    <w:tmpl w:val="71FC2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5469695">
    <w:abstractNumId w:val="20"/>
  </w:num>
  <w:num w:numId="2" w16cid:durableId="1567565051">
    <w:abstractNumId w:val="13"/>
  </w:num>
  <w:num w:numId="3" w16cid:durableId="404688637">
    <w:abstractNumId w:val="19"/>
  </w:num>
  <w:num w:numId="4" w16cid:durableId="328680250">
    <w:abstractNumId w:val="15"/>
  </w:num>
  <w:num w:numId="5" w16cid:durableId="389617035">
    <w:abstractNumId w:val="25"/>
  </w:num>
  <w:num w:numId="6" w16cid:durableId="1224098381">
    <w:abstractNumId w:val="17"/>
  </w:num>
  <w:num w:numId="7" w16cid:durableId="1352025408">
    <w:abstractNumId w:val="16"/>
  </w:num>
  <w:num w:numId="8" w16cid:durableId="86267738">
    <w:abstractNumId w:val="29"/>
  </w:num>
  <w:num w:numId="9" w16cid:durableId="1344555371">
    <w:abstractNumId w:val="27"/>
  </w:num>
  <w:num w:numId="10" w16cid:durableId="2071997429">
    <w:abstractNumId w:val="26"/>
  </w:num>
  <w:num w:numId="11" w16cid:durableId="1869832377">
    <w:abstractNumId w:val="24"/>
  </w:num>
  <w:num w:numId="12" w16cid:durableId="544877528">
    <w:abstractNumId w:val="22"/>
  </w:num>
  <w:num w:numId="13" w16cid:durableId="1978754748">
    <w:abstractNumId w:val="14"/>
  </w:num>
  <w:num w:numId="14" w16cid:durableId="1503357809">
    <w:abstractNumId w:val="12"/>
  </w:num>
  <w:num w:numId="15" w16cid:durableId="1669090942">
    <w:abstractNumId w:val="28"/>
  </w:num>
  <w:num w:numId="16" w16cid:durableId="1877348115">
    <w:abstractNumId w:val="33"/>
  </w:num>
  <w:num w:numId="17" w16cid:durableId="908422104">
    <w:abstractNumId w:val="23"/>
  </w:num>
  <w:num w:numId="18" w16cid:durableId="3362937">
    <w:abstractNumId w:val="32"/>
  </w:num>
  <w:num w:numId="19" w16cid:durableId="1695229523">
    <w:abstractNumId w:val="10"/>
  </w:num>
  <w:num w:numId="20" w16cid:durableId="384448064">
    <w:abstractNumId w:val="30"/>
  </w:num>
  <w:num w:numId="21" w16cid:durableId="734669499">
    <w:abstractNumId w:val="34"/>
  </w:num>
  <w:num w:numId="22" w16cid:durableId="1365445518">
    <w:abstractNumId w:val="11"/>
  </w:num>
  <w:num w:numId="23" w16cid:durableId="1533954122">
    <w:abstractNumId w:val="21"/>
  </w:num>
  <w:num w:numId="24" w16cid:durableId="1514537153">
    <w:abstractNumId w:val="18"/>
  </w:num>
  <w:num w:numId="25" w16cid:durableId="1971863792">
    <w:abstractNumId w:val="31"/>
  </w:num>
  <w:num w:numId="26" w16cid:durableId="377361861">
    <w:abstractNumId w:val="9"/>
  </w:num>
  <w:num w:numId="27" w16cid:durableId="628821480">
    <w:abstractNumId w:val="7"/>
  </w:num>
  <w:num w:numId="28" w16cid:durableId="1774130772">
    <w:abstractNumId w:val="6"/>
  </w:num>
  <w:num w:numId="29" w16cid:durableId="747649853">
    <w:abstractNumId w:val="5"/>
  </w:num>
  <w:num w:numId="30" w16cid:durableId="1843549164">
    <w:abstractNumId w:val="4"/>
  </w:num>
  <w:num w:numId="31" w16cid:durableId="1931813575">
    <w:abstractNumId w:val="8"/>
  </w:num>
  <w:num w:numId="32" w16cid:durableId="1847161349">
    <w:abstractNumId w:val="3"/>
  </w:num>
  <w:num w:numId="33" w16cid:durableId="551427154">
    <w:abstractNumId w:val="2"/>
  </w:num>
  <w:num w:numId="34" w16cid:durableId="702245126">
    <w:abstractNumId w:val="1"/>
  </w:num>
  <w:num w:numId="35" w16cid:durableId="1293487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14808"/>
    <w:rsid w:val="00016EB5"/>
    <w:rsid w:val="0002174D"/>
    <w:rsid w:val="000270F5"/>
    <w:rsid w:val="00027300"/>
    <w:rsid w:val="0003029E"/>
    <w:rsid w:val="000626B1"/>
    <w:rsid w:val="00063CA3"/>
    <w:rsid w:val="00065F00"/>
    <w:rsid w:val="00066DE8"/>
    <w:rsid w:val="00071D10"/>
    <w:rsid w:val="000968F5"/>
    <w:rsid w:val="000A68C5"/>
    <w:rsid w:val="000B062A"/>
    <w:rsid w:val="000B3566"/>
    <w:rsid w:val="000B751C"/>
    <w:rsid w:val="000C4701"/>
    <w:rsid w:val="000C5120"/>
    <w:rsid w:val="000C64BC"/>
    <w:rsid w:val="000C68CB"/>
    <w:rsid w:val="000D42F6"/>
    <w:rsid w:val="000E3AAE"/>
    <w:rsid w:val="000E4C7A"/>
    <w:rsid w:val="000E63E8"/>
    <w:rsid w:val="000F0F87"/>
    <w:rsid w:val="00100DF6"/>
    <w:rsid w:val="00120697"/>
    <w:rsid w:val="00130C1F"/>
    <w:rsid w:val="00137594"/>
    <w:rsid w:val="00142ED7"/>
    <w:rsid w:val="0014768F"/>
    <w:rsid w:val="001636BD"/>
    <w:rsid w:val="00170AC3"/>
    <w:rsid w:val="00171990"/>
    <w:rsid w:val="00171E2E"/>
    <w:rsid w:val="00172DFB"/>
    <w:rsid w:val="00186A64"/>
    <w:rsid w:val="001A0EEB"/>
    <w:rsid w:val="001B2BFF"/>
    <w:rsid w:val="001B5341"/>
    <w:rsid w:val="001B5FBF"/>
    <w:rsid w:val="001E31D2"/>
    <w:rsid w:val="001F0B24"/>
    <w:rsid w:val="00200992"/>
    <w:rsid w:val="00202880"/>
    <w:rsid w:val="0020313F"/>
    <w:rsid w:val="002173B8"/>
    <w:rsid w:val="00232D57"/>
    <w:rsid w:val="002356E7"/>
    <w:rsid w:val="00241B9A"/>
    <w:rsid w:val="002578B4"/>
    <w:rsid w:val="00273A0B"/>
    <w:rsid w:val="00277F85"/>
    <w:rsid w:val="00297915"/>
    <w:rsid w:val="002A409A"/>
    <w:rsid w:val="002A5402"/>
    <w:rsid w:val="002B033B"/>
    <w:rsid w:val="002B3829"/>
    <w:rsid w:val="002C5477"/>
    <w:rsid w:val="002C78FF"/>
    <w:rsid w:val="002D0055"/>
    <w:rsid w:val="002D024B"/>
    <w:rsid w:val="003429D1"/>
    <w:rsid w:val="00375BBA"/>
    <w:rsid w:val="00384CFC"/>
    <w:rsid w:val="00395CE4"/>
    <w:rsid w:val="003D5CE3"/>
    <w:rsid w:val="003E7EAA"/>
    <w:rsid w:val="00400701"/>
    <w:rsid w:val="004014B0"/>
    <w:rsid w:val="00426AC1"/>
    <w:rsid w:val="00455F82"/>
    <w:rsid w:val="004676C0"/>
    <w:rsid w:val="00471ABB"/>
    <w:rsid w:val="004805DE"/>
    <w:rsid w:val="004A12F2"/>
    <w:rsid w:val="004B03E9"/>
    <w:rsid w:val="004B3A6C"/>
    <w:rsid w:val="004B70DA"/>
    <w:rsid w:val="004C029D"/>
    <w:rsid w:val="004C79E4"/>
    <w:rsid w:val="00513BE3"/>
    <w:rsid w:val="0052010F"/>
    <w:rsid w:val="005356FD"/>
    <w:rsid w:val="00535EDC"/>
    <w:rsid w:val="00541762"/>
    <w:rsid w:val="00554E24"/>
    <w:rsid w:val="00555396"/>
    <w:rsid w:val="00563711"/>
    <w:rsid w:val="005653D6"/>
    <w:rsid w:val="00567130"/>
    <w:rsid w:val="00584918"/>
    <w:rsid w:val="005C3DE4"/>
    <w:rsid w:val="005C67E8"/>
    <w:rsid w:val="005D0C15"/>
    <w:rsid w:val="005F526C"/>
    <w:rsid w:val="00600272"/>
    <w:rsid w:val="006104EA"/>
    <w:rsid w:val="0061434A"/>
    <w:rsid w:val="00617BE4"/>
    <w:rsid w:val="0062155D"/>
    <w:rsid w:val="00627A76"/>
    <w:rsid w:val="006418E6"/>
    <w:rsid w:val="0067722F"/>
    <w:rsid w:val="006B7F84"/>
    <w:rsid w:val="006C1A71"/>
    <w:rsid w:val="006D37E9"/>
    <w:rsid w:val="006E57C8"/>
    <w:rsid w:val="00706CC2"/>
    <w:rsid w:val="00710760"/>
    <w:rsid w:val="0073319E"/>
    <w:rsid w:val="00733439"/>
    <w:rsid w:val="007340B5"/>
    <w:rsid w:val="00750829"/>
    <w:rsid w:val="00760830"/>
    <w:rsid w:val="007649C2"/>
    <w:rsid w:val="0079159C"/>
    <w:rsid w:val="007919C2"/>
    <w:rsid w:val="007C50AF"/>
    <w:rsid w:val="007E4D0F"/>
    <w:rsid w:val="008034F1"/>
    <w:rsid w:val="008048D3"/>
    <w:rsid w:val="008102A6"/>
    <w:rsid w:val="00822C54"/>
    <w:rsid w:val="00826A7C"/>
    <w:rsid w:val="00842BD1"/>
    <w:rsid w:val="00850AEF"/>
    <w:rsid w:val="00870059"/>
    <w:rsid w:val="0087080B"/>
    <w:rsid w:val="008715E3"/>
    <w:rsid w:val="008923E2"/>
    <w:rsid w:val="008A2FB3"/>
    <w:rsid w:val="008D2EB4"/>
    <w:rsid w:val="008D3134"/>
    <w:rsid w:val="008D3BE2"/>
    <w:rsid w:val="008F5F4D"/>
    <w:rsid w:val="009125CE"/>
    <w:rsid w:val="00932679"/>
    <w:rsid w:val="0093377B"/>
    <w:rsid w:val="00934241"/>
    <w:rsid w:val="00950E0F"/>
    <w:rsid w:val="00962CCF"/>
    <w:rsid w:val="0097690C"/>
    <w:rsid w:val="00996435"/>
    <w:rsid w:val="009A47A2"/>
    <w:rsid w:val="009A6D9A"/>
    <w:rsid w:val="009E4F4B"/>
    <w:rsid w:val="009F0BA9"/>
    <w:rsid w:val="009F3A10"/>
    <w:rsid w:val="00A27A55"/>
    <w:rsid w:val="00A3200E"/>
    <w:rsid w:val="00A54F56"/>
    <w:rsid w:val="00A75EAA"/>
    <w:rsid w:val="00A971FB"/>
    <w:rsid w:val="00AB190D"/>
    <w:rsid w:val="00AC20C0"/>
    <w:rsid w:val="00AD6841"/>
    <w:rsid w:val="00B1156A"/>
    <w:rsid w:val="00B14377"/>
    <w:rsid w:val="00B1733E"/>
    <w:rsid w:val="00B45785"/>
    <w:rsid w:val="00B52354"/>
    <w:rsid w:val="00B62568"/>
    <w:rsid w:val="00B70AC7"/>
    <w:rsid w:val="00BA154E"/>
    <w:rsid w:val="00BE52B6"/>
    <w:rsid w:val="00BF252A"/>
    <w:rsid w:val="00BF720B"/>
    <w:rsid w:val="00C04511"/>
    <w:rsid w:val="00C1004D"/>
    <w:rsid w:val="00C16846"/>
    <w:rsid w:val="00C40979"/>
    <w:rsid w:val="00C46ECA"/>
    <w:rsid w:val="00C62242"/>
    <w:rsid w:val="00C6326D"/>
    <w:rsid w:val="00CA38C9"/>
    <w:rsid w:val="00CC6362"/>
    <w:rsid w:val="00CD163A"/>
    <w:rsid w:val="00CD367F"/>
    <w:rsid w:val="00CE40BB"/>
    <w:rsid w:val="00D37275"/>
    <w:rsid w:val="00D37469"/>
    <w:rsid w:val="00D50E12"/>
    <w:rsid w:val="00D55DD9"/>
    <w:rsid w:val="00D57F41"/>
    <w:rsid w:val="00D955EF"/>
    <w:rsid w:val="00D97CC5"/>
    <w:rsid w:val="00DC1B1E"/>
    <w:rsid w:val="00DC7337"/>
    <w:rsid w:val="00DD26B1"/>
    <w:rsid w:val="00DD6770"/>
    <w:rsid w:val="00DE24EF"/>
    <w:rsid w:val="00DF23FC"/>
    <w:rsid w:val="00DF39CD"/>
    <w:rsid w:val="00DF449B"/>
    <w:rsid w:val="00DF4F81"/>
    <w:rsid w:val="00E17F8D"/>
    <w:rsid w:val="00E227E4"/>
    <w:rsid w:val="00E2538B"/>
    <w:rsid w:val="00E33188"/>
    <w:rsid w:val="00E54E66"/>
    <w:rsid w:val="00E56E57"/>
    <w:rsid w:val="00E86DC6"/>
    <w:rsid w:val="00E91D24"/>
    <w:rsid w:val="00EC064C"/>
    <w:rsid w:val="00ED279F"/>
    <w:rsid w:val="00ED4CB2"/>
    <w:rsid w:val="00EF2642"/>
    <w:rsid w:val="00EF3681"/>
    <w:rsid w:val="00F06FDE"/>
    <w:rsid w:val="00F076D9"/>
    <w:rsid w:val="00F20BC2"/>
    <w:rsid w:val="00F27805"/>
    <w:rsid w:val="00F34194"/>
    <w:rsid w:val="00F342E4"/>
    <w:rsid w:val="00F44625"/>
    <w:rsid w:val="00F44B70"/>
    <w:rsid w:val="00F649D6"/>
    <w:rsid w:val="00F654DD"/>
    <w:rsid w:val="00F96AB4"/>
    <w:rsid w:val="00F97481"/>
    <w:rsid w:val="00FA551C"/>
    <w:rsid w:val="00FD7B1D"/>
    <w:rsid w:val="00FE3CC7"/>
    <w:rsid w:val="00FE6822"/>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737B97"/>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70"/>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F44B70"/>
    <w:pPr>
      <w:keepNext/>
      <w:keepLines/>
      <w:spacing w:before="480"/>
      <w:ind w:left="567" w:hanging="567"/>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qFormat/>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qFormat/>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basedOn w:val="DefaultParagraphFont"/>
    <w:uiPriority w:val="99"/>
    <w:rsid w:val="00F44B70"/>
    <w:rPr>
      <w:rFonts w:ascii="Calibri" w:hAnsi="Calibri"/>
      <w:position w:val="6"/>
      <w:sz w:val="16"/>
    </w:rPr>
  </w:style>
  <w:style w:type="paragraph" w:styleId="FootnoteText">
    <w:name w:val="footnote text"/>
    <w:basedOn w:val="Normal"/>
    <w:link w:val="FootnoteTextChar"/>
    <w:uiPriority w:val="99"/>
    <w:rsid w:val="00172DFB"/>
    <w:pPr>
      <w:keepLines/>
      <w:tabs>
        <w:tab w:val="left" w:pos="256"/>
      </w:tabs>
      <w:spacing w:before="60"/>
      <w:ind w:left="284" w:hanging="284"/>
    </w:pPr>
    <w:rPr>
      <w:sz w:val="20"/>
    </w:rPr>
  </w:style>
  <w:style w:type="paragraph" w:customStyle="1" w:styleId="FootnoteTextS2">
    <w:name w:val="Footnote Text_S2"/>
    <w:basedOn w:val="FootnoteText"/>
    <w:rsid w:val="004B3A6C"/>
    <w:pPr>
      <w:tabs>
        <w:tab w:val="clear" w:pos="256"/>
        <w:tab w:val="clear" w:pos="567"/>
        <w:tab w:val="clear" w:pos="1134"/>
        <w:tab w:val="clear" w:pos="1701"/>
        <w:tab w:val="clear" w:pos="2268"/>
        <w:tab w:val="clear" w:pos="2835"/>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qFormat/>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8D2EB4"/>
    <w:pPr>
      <w:tabs>
        <w:tab w:val="clear" w:pos="567"/>
        <w:tab w:val="clear" w:pos="1134"/>
        <w:tab w:val="clear" w:pos="1701"/>
        <w:tab w:val="clear" w:pos="2268"/>
        <w:tab w:val="clear" w:pos="2835"/>
      </w:tabs>
      <w:spacing w:before="60" w:after="6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qFormat/>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qFormat/>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table" w:styleId="TableGrid">
    <w:name w:val="Table Grid"/>
    <w:basedOn w:val="TableNormal"/>
    <w:uiPriority w:val="39"/>
    <w:rsid w:val="00A971FB"/>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alFooter">
    <w:name w:val="Special Footer"/>
    <w:basedOn w:val="Footer"/>
    <w:rsid w:val="00A971FB"/>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VolumeTitleS2">
    <w:name w:val="VolumeTitle_S2"/>
    <w:basedOn w:val="VolumeTitle"/>
    <w:next w:val="Normal"/>
    <w:qFormat/>
    <w:rsid w:val="00A971FB"/>
    <w:rPr>
      <w:caps w:val="0"/>
    </w:rPr>
  </w:style>
  <w:style w:type="paragraph" w:customStyle="1" w:styleId="StyleCommitteeAfter0ptLinespacingsingle">
    <w:name w:val="Style Committee + After:  0 pt Line spacing:  single"/>
    <w:basedOn w:val="Committee"/>
    <w:rsid w:val="00A971FB"/>
    <w:pPr>
      <w:framePr w:hSpace="0" w:wrap="around" w:hAnchor="text" w:yAlign="inline"/>
      <w:tabs>
        <w:tab w:val="clear" w:pos="1134"/>
        <w:tab w:val="clear" w:pos="1871"/>
        <w:tab w:val="clear" w:pos="2268"/>
        <w:tab w:val="left" w:pos="851"/>
      </w:tabs>
      <w:overflowPunct/>
      <w:autoSpaceDE/>
      <w:autoSpaceDN/>
      <w:adjustRightInd/>
      <w:spacing w:after="0" w:line="240" w:lineRule="auto"/>
      <w:textAlignment w:val="auto"/>
    </w:pPr>
    <w:rPr>
      <w:rFonts w:cs="Times New Roman"/>
      <w:bCs/>
      <w:smallCaps w:val="0"/>
      <w:sz w:val="24"/>
      <w:szCs w:val="20"/>
      <w:lang w:eastAsia="zh-CN"/>
    </w:rPr>
  </w:style>
  <w:style w:type="character" w:styleId="UnresolvedMention">
    <w:name w:val="Unresolved Mention"/>
    <w:basedOn w:val="DefaultParagraphFont"/>
    <w:uiPriority w:val="99"/>
    <w:semiHidden/>
    <w:unhideWhenUsed/>
    <w:rsid w:val="00A971FB"/>
    <w:rPr>
      <w:color w:val="605E5C"/>
      <w:shd w:val="clear" w:color="auto" w:fill="E1DFDD"/>
    </w:rPr>
  </w:style>
  <w:style w:type="character" w:customStyle="1" w:styleId="FootnoteTextChar">
    <w:name w:val="Footnote Text Char"/>
    <w:basedOn w:val="DefaultParagraphFont"/>
    <w:link w:val="FootnoteText"/>
    <w:uiPriority w:val="99"/>
    <w:rsid w:val="00A971FB"/>
    <w:rPr>
      <w:rFonts w:ascii="Calibri" w:hAnsi="Calibri"/>
      <w:lang w:val="en-GB" w:eastAsia="en-US"/>
    </w:rPr>
  </w:style>
  <w:style w:type="paragraph" w:customStyle="1" w:styleId="Tablefin">
    <w:name w:val="Table_fin"/>
    <w:basedOn w:val="Tabletext"/>
    <w:rsid w:val="00A971FB"/>
    <w:pPr>
      <w:spacing w:before="0" w:after="0"/>
    </w:pPr>
    <w:rPr>
      <w:rFonts w:eastAsia="SimSun" w:cstheme="minorBidi"/>
      <w:sz w:val="22"/>
      <w:szCs w:val="22"/>
    </w:rPr>
  </w:style>
  <w:style w:type="paragraph" w:styleId="Revision">
    <w:name w:val="Revision"/>
    <w:hidden/>
    <w:uiPriority w:val="99"/>
    <w:semiHidden/>
    <w:rsid w:val="00A971FB"/>
    <w:rPr>
      <w:rFonts w:ascii="Calibri" w:hAnsi="Calibri"/>
      <w:sz w:val="24"/>
      <w:lang w:val="en-GB" w:eastAsia="en-US"/>
    </w:rPr>
  </w:style>
  <w:style w:type="paragraph" w:styleId="ListParagraph">
    <w:name w:val="List Paragraph"/>
    <w:basedOn w:val="Normal"/>
    <w:uiPriority w:val="34"/>
    <w:qFormat/>
    <w:rsid w:val="00A971FB"/>
    <w:pPr>
      <w:ind w:left="720"/>
      <w:contextualSpacing/>
    </w:pPr>
    <w:rPr>
      <w:sz w:val="24"/>
    </w:rPr>
  </w:style>
  <w:style w:type="character" w:styleId="CommentReference">
    <w:name w:val="annotation reference"/>
    <w:basedOn w:val="DefaultParagraphFont"/>
    <w:semiHidden/>
    <w:unhideWhenUsed/>
    <w:rsid w:val="00A971FB"/>
    <w:rPr>
      <w:sz w:val="16"/>
      <w:szCs w:val="16"/>
    </w:rPr>
  </w:style>
  <w:style w:type="paragraph" w:styleId="CommentText">
    <w:name w:val="annotation text"/>
    <w:basedOn w:val="Normal"/>
    <w:link w:val="CommentTextChar"/>
    <w:unhideWhenUsed/>
    <w:rsid w:val="00A971FB"/>
    <w:rPr>
      <w:sz w:val="20"/>
    </w:rPr>
  </w:style>
  <w:style w:type="character" w:customStyle="1" w:styleId="CommentTextChar">
    <w:name w:val="Comment Text Char"/>
    <w:basedOn w:val="DefaultParagraphFont"/>
    <w:link w:val="CommentText"/>
    <w:rsid w:val="00A971FB"/>
    <w:rPr>
      <w:rFonts w:ascii="Calibri" w:hAnsi="Calibri"/>
      <w:lang w:val="en-GB" w:eastAsia="en-US"/>
    </w:rPr>
  </w:style>
  <w:style w:type="paragraph" w:styleId="CommentSubject">
    <w:name w:val="annotation subject"/>
    <w:basedOn w:val="CommentText"/>
    <w:next w:val="CommentText"/>
    <w:link w:val="CommentSubjectChar"/>
    <w:semiHidden/>
    <w:unhideWhenUsed/>
    <w:rsid w:val="00A971FB"/>
    <w:rPr>
      <w:b/>
      <w:bCs/>
    </w:rPr>
  </w:style>
  <w:style w:type="character" w:customStyle="1" w:styleId="CommentSubjectChar">
    <w:name w:val="Comment Subject Char"/>
    <w:basedOn w:val="CommentTextChar"/>
    <w:link w:val="CommentSubject"/>
    <w:semiHidden/>
    <w:rsid w:val="00A971FB"/>
    <w:rPr>
      <w:rFonts w:ascii="Calibri" w:hAnsi="Calibri"/>
      <w:b/>
      <w:bCs/>
      <w:lang w:val="en-GB" w:eastAsia="en-US"/>
    </w:rPr>
  </w:style>
  <w:style w:type="character" w:styleId="Mention">
    <w:name w:val="Mention"/>
    <w:basedOn w:val="DefaultParagraphFont"/>
    <w:uiPriority w:val="99"/>
    <w:unhideWhenUsed/>
    <w:rsid w:val="00A971FB"/>
    <w:rPr>
      <w:color w:val="2B579A"/>
      <w:shd w:val="clear" w:color="auto" w:fill="E1DFDD"/>
    </w:rPr>
  </w:style>
  <w:style w:type="paragraph" w:styleId="NormalWeb">
    <w:name w:val="Normal (Web)"/>
    <w:basedOn w:val="Normal"/>
    <w:unhideWhenUsed/>
    <w:rsid w:val="00A971F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hAnsi="Times New Roman"/>
      <w:sz w:val="24"/>
      <w:szCs w:val="24"/>
      <w:lang w:eastAsia="en-GB"/>
    </w:rPr>
  </w:style>
  <w:style w:type="paragraph" w:customStyle="1" w:styleId="Subtitle">
    <w:name w:val="Sub_title"/>
    <w:basedOn w:val="Title1"/>
    <w:qFormat/>
    <w:rsid w:val="00A971FB"/>
    <w:pPr>
      <w:framePr w:hSpace="180" w:wrap="around" w:hAnchor="page" w:x="1821" w:y="2317"/>
      <w:spacing w:before="120" w:after="120"/>
      <w:jc w:val="left"/>
    </w:pPr>
    <w:rPr>
      <w:caps w:val="0"/>
      <w:sz w:val="32"/>
      <w:szCs w:val="32"/>
    </w:rPr>
  </w:style>
  <w:style w:type="paragraph" w:customStyle="1" w:styleId="SourceCouncil">
    <w:name w:val="Source_Council"/>
    <w:basedOn w:val="Source"/>
    <w:rsid w:val="00A971FB"/>
    <w:pPr>
      <w:jc w:val="left"/>
    </w:pPr>
    <w:rPr>
      <w:sz w:val="28"/>
    </w:rPr>
  </w:style>
  <w:style w:type="paragraph" w:customStyle="1" w:styleId="SubtitleCouncil">
    <w:name w:val="Sub_title_Council"/>
    <w:basedOn w:val="Subtitle"/>
    <w:rsid w:val="00A971FB"/>
    <w:pPr>
      <w:framePr w:hSpace="0" w:wrap="auto" w:hAnchor="text" w:xAlign="left" w:yAlign="inlin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4ssc.itu.int/" TargetMode="External"/><Relationship Id="rId21" Type="http://schemas.openxmlformats.org/officeDocument/2006/relationships/hyperlink" Target="https://www.itu.int/md/D26-TDAG33-C-0008/en" TargetMode="External"/><Relationship Id="rId42" Type="http://schemas.openxmlformats.org/officeDocument/2006/relationships/hyperlink" Target="https://www.itu.int/en/council/Documents/basic-texts-2023/RES-157-R.pdf" TargetMode="External"/><Relationship Id="rId63" Type="http://schemas.openxmlformats.org/officeDocument/2006/relationships/hyperlink" Target="https://www.itu.int/md/D26-TDAG33-C-0019/en" TargetMode="External"/><Relationship Id="rId84" Type="http://schemas.openxmlformats.org/officeDocument/2006/relationships/hyperlink" Target="https://www.itu.int/md/R23-RAG-C-0066/en" TargetMode="External"/><Relationship Id="rId16" Type="http://schemas.openxmlformats.org/officeDocument/2006/relationships/hyperlink" Target="https://www.itu.int/md/S26-CL-C-0025/en" TargetMode="External"/><Relationship Id="rId107" Type="http://schemas.openxmlformats.org/officeDocument/2006/relationships/hyperlink" Target="https://www.itu.int/en/ITU-R/seminars/rrs/rrs-25-asia&amp;pacific/Pages/default.aspx" TargetMode="External"/><Relationship Id="rId11" Type="http://schemas.openxmlformats.org/officeDocument/2006/relationships/hyperlink" Target="https://www.itu.int/en/publications/ITU-D/pages/publications.aspx?parent=D-TDC-WTDC-2022&amp;media=electronic" TargetMode="External"/><Relationship Id="rId32" Type="http://schemas.openxmlformats.org/officeDocument/2006/relationships/hyperlink" Target="https://www.itu.int/md/D22-WTDC25-C-0002/en" TargetMode="External"/><Relationship Id="rId37" Type="http://schemas.openxmlformats.org/officeDocument/2006/relationships/hyperlink" Target="https://www.itu.int/md/S26-CL-C-0025/en" TargetMode="External"/><Relationship Id="rId53" Type="http://schemas.openxmlformats.org/officeDocument/2006/relationships/hyperlink" Target="https://www.itu.int/md/D26-TDAG33-C-0004/en" TargetMode="External"/><Relationship Id="rId58" Type="http://schemas.openxmlformats.org/officeDocument/2006/relationships/hyperlink" Target="https://www.itu.int/itu-d/meetings/wtdc25/wp-content/uploads/sites/29/2025/11/090-E.pdf" TargetMode="External"/><Relationship Id="rId74" Type="http://schemas.openxmlformats.org/officeDocument/2006/relationships/hyperlink" Target="https://www.itu.int/itu-d/meetings/rdf/cis/home/" TargetMode="External"/><Relationship Id="rId79" Type="http://schemas.openxmlformats.org/officeDocument/2006/relationships/hyperlink" Target="https://www.itu.int/md/S26-CWGFHR22-C-0004/en" TargetMode="External"/><Relationship Id="rId102" Type="http://schemas.openxmlformats.org/officeDocument/2006/relationships/hyperlink" Target="https://www.itu.int/en/ITU-R/seminars/rrs/rrs-25-africa/Pages/default.aspx" TargetMode="External"/><Relationship Id="rId123" Type="http://schemas.openxmlformats.org/officeDocument/2006/relationships/hyperlink" Target="https://www.itu.int/en/ITU-D/Regional-Presence/Europe/Pages/Events/2025/09.23_EMF%20Harmony/National-Workshop.aspx" TargetMode="External"/><Relationship Id="rId128" Type="http://schemas.openxmlformats.org/officeDocument/2006/relationships/hyperlink" Target="https://www.itu.int/md/S26-CL-C-0025/en" TargetMode="External"/><Relationship Id="rId5" Type="http://schemas.openxmlformats.org/officeDocument/2006/relationships/footnotes" Target="footnotes.xml"/><Relationship Id="rId90" Type="http://schemas.openxmlformats.org/officeDocument/2006/relationships/hyperlink" Target="https://www.itu.int/md/R23-RAG-C-0066/en" TargetMode="External"/><Relationship Id="rId95" Type="http://schemas.openxmlformats.org/officeDocument/2006/relationships/hyperlink" Target="https://www.itu.int/md/D22-TDAG32-C-0005/en" TargetMode="External"/><Relationship Id="rId22" Type="http://schemas.openxmlformats.org/officeDocument/2006/relationships/hyperlink" Target="https://www.itu.int/md/D26-TDAG33-C-0004/en" TargetMode="External"/><Relationship Id="rId27" Type="http://schemas.openxmlformats.org/officeDocument/2006/relationships/hyperlink" Target="https://www.itu.int/itu-d/meetings/wtdc25/wp-content/uploads/sites/29/2025/11/090-E.pdf" TargetMode="External"/><Relationship Id="rId43" Type="http://schemas.openxmlformats.org/officeDocument/2006/relationships/hyperlink" Target="https://www.itu.int/en/publications/ITU-D/pages/publications.aspx?parent=D-TDC-WTDC-2022&amp;media=electronic" TargetMode="External"/><Relationship Id="rId48" Type="http://schemas.openxmlformats.org/officeDocument/2006/relationships/hyperlink" Target="https://www.itu.int/md/D22-TDAG32-C-0024/en" TargetMode="External"/><Relationship Id="rId64" Type="http://schemas.openxmlformats.org/officeDocument/2006/relationships/hyperlink" Target="https://www.itu.int/md/D26-TDAG33-C-0016/en" TargetMode="External"/><Relationship Id="rId69" Type="http://schemas.openxmlformats.org/officeDocument/2006/relationships/hyperlink" Target="https://www.itu.int/itu-d/meetings/rdf/arb/" TargetMode="External"/><Relationship Id="rId113" Type="http://schemas.openxmlformats.org/officeDocument/2006/relationships/hyperlink" Target="https://www.itu.int/en/ITU-D/Regional-Presence/AsiaPacific/Pages/Events/2025/ITTLLDC%202025/main.aspx" TargetMode="External"/><Relationship Id="rId118" Type="http://schemas.openxmlformats.org/officeDocument/2006/relationships/hyperlink" Target="https://www.itu.int/en/ITU-D/Regional-Presence/CIS/Pages/EVENTS/2025/FoCForum.aspx" TargetMode="External"/><Relationship Id="rId80" Type="http://schemas.openxmlformats.org/officeDocument/2006/relationships/hyperlink" Target="https://www.itu.int/md/S26-CWGFHR22-INF-0001/en" TargetMode="External"/><Relationship Id="rId85" Type="http://schemas.openxmlformats.org/officeDocument/2006/relationships/hyperlink" Target="https://www.itu.int/md/S26-CWGFHR22-C-0004/en" TargetMode="External"/><Relationship Id="rId12" Type="http://schemas.openxmlformats.org/officeDocument/2006/relationships/hyperlink" Target="https://www.itu.int/en/ITU-D/Documents/BAP/D22-WTDC25-C-0090%21%21PDF-r.pdf" TargetMode="External"/><Relationship Id="rId17" Type="http://schemas.openxmlformats.org/officeDocument/2006/relationships/hyperlink" Target="https://www.itu.int/md/D22-TDAG32-C-0024/en" TargetMode="External"/><Relationship Id="rId33" Type="http://schemas.openxmlformats.org/officeDocument/2006/relationships/hyperlink" Target="https://www.itu.int/md/D26-TDAG33-C-0019/en" TargetMode="External"/><Relationship Id="rId38" Type="http://schemas.openxmlformats.org/officeDocument/2006/relationships/hyperlink" Target="https://www.itu.int/md/S26-CL-C-0025/en" TargetMode="External"/><Relationship Id="rId59" Type="http://schemas.openxmlformats.org/officeDocument/2006/relationships/hyperlink" Target="http://itu.int/go/wtdc25-final-report" TargetMode="External"/><Relationship Id="rId103" Type="http://schemas.openxmlformats.org/officeDocument/2006/relationships/hyperlink" Target="https://www.itu.int/en/ITU-D/Regional-Presence/Africa/Pages/EVENTS/2025/GSMA-.aspx" TargetMode="External"/><Relationship Id="rId108" Type="http://schemas.openxmlformats.org/officeDocument/2006/relationships/hyperlink" Target="https://www.itu.int/en/ITU-R/seminars/rrs/rrs-25-asia&amp;pacific/Pages/default.aspx" TargetMode="External"/><Relationship Id="rId124" Type="http://schemas.openxmlformats.org/officeDocument/2006/relationships/hyperlink" Target="https://digitalregulation.org/category/spectrum-management/" TargetMode="External"/><Relationship Id="rId129" Type="http://schemas.openxmlformats.org/officeDocument/2006/relationships/hyperlink" Target="https://www.itu.int/md/S26-CL-C-0025/en" TargetMode="External"/><Relationship Id="rId54" Type="http://schemas.openxmlformats.org/officeDocument/2006/relationships/hyperlink" Target="https://www.itu.int/en/council/Documents/basic-texts-2023/RES-025-E.pdf" TargetMode="External"/><Relationship Id="rId70" Type="http://schemas.openxmlformats.org/officeDocument/2006/relationships/hyperlink" Target="https://www.itu.int/itu-d/meetings/rdf/eur/" TargetMode="External"/><Relationship Id="rId75" Type="http://schemas.openxmlformats.org/officeDocument/2006/relationships/hyperlink" Target="https://www.itu.int/md/D22-TDAG32-C-0024/en" TargetMode="External"/><Relationship Id="rId91" Type="http://schemas.openxmlformats.org/officeDocument/2006/relationships/hyperlink" Target="https://www.itu.int/md/D22-TDAG32-INF-0004/en" TargetMode="External"/><Relationship Id="rId96" Type="http://schemas.openxmlformats.org/officeDocument/2006/relationships/hyperlink" Target="https://www.itu.int/md/D26-TDAG33-C-0008/en"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itu.int/en/council/Documents/basic-texts-2023/RES-025-E.pdf" TargetMode="External"/><Relationship Id="rId28" Type="http://schemas.openxmlformats.org/officeDocument/2006/relationships/hyperlink" Target="http://itu.int/go/wtdc25-final-report" TargetMode="External"/><Relationship Id="rId49" Type="http://schemas.openxmlformats.org/officeDocument/2006/relationships/hyperlink" Target="https://www.itu.int/md/D22-WTDC25-C-0002/en" TargetMode="External"/><Relationship Id="rId114" Type="http://schemas.openxmlformats.org/officeDocument/2006/relationships/hyperlink" Target="https://www.itu.int/en/ITU-D/Regional-Presence/AsiaPacific/Pages/Projects/EW4All/EW4ALL.aspx" TargetMode="External"/><Relationship Id="rId119" Type="http://schemas.openxmlformats.org/officeDocument/2006/relationships/hyperlink" Target="https://www.itu.int/en/ITU-D/Regional-Presence/CIS/Pages/EVENTS/2025/FoCForum.aspx" TargetMode="External"/><Relationship Id="rId44" Type="http://schemas.openxmlformats.org/officeDocument/2006/relationships/hyperlink" Target="https://www.itu.int/en/ITU-D/Documents/BAP/D22-WTDC25-C-0090%21%21PDF-r.pdf" TargetMode="External"/><Relationship Id="rId60" Type="http://schemas.openxmlformats.org/officeDocument/2006/relationships/hyperlink" Target="https://www.itu.int/md/S25-CL-C-0025/en" TargetMode="External"/><Relationship Id="rId65" Type="http://schemas.openxmlformats.org/officeDocument/2006/relationships/hyperlink" Target="https://www.itu.int/md/D26-TDAG33-C-0008/en" TargetMode="External"/><Relationship Id="rId81" Type="http://schemas.openxmlformats.org/officeDocument/2006/relationships/hyperlink" Target="https://www.itu.int/md/S26-CWGFHR22-C-0004/en" TargetMode="External"/><Relationship Id="rId86" Type="http://schemas.openxmlformats.org/officeDocument/2006/relationships/hyperlink" Target="https://www.itu.int/md/S26-CWGFHR22-INF-0001/en" TargetMode="External"/><Relationship Id="rId130" Type="http://schemas.openxmlformats.org/officeDocument/2006/relationships/header" Target="header1.xml"/><Relationship Id="rId13" Type="http://schemas.openxmlformats.org/officeDocument/2006/relationships/hyperlink" Target="http://itu.int/go/wtdc25-final-report" TargetMode="External"/><Relationship Id="rId18" Type="http://schemas.openxmlformats.org/officeDocument/2006/relationships/hyperlink" Target="https://www.itu.int/md/D22-WTDC25-C-0002/en" TargetMode="External"/><Relationship Id="rId39" Type="http://schemas.openxmlformats.org/officeDocument/2006/relationships/image" Target="media/image2.png"/><Relationship Id="rId109" Type="http://schemas.openxmlformats.org/officeDocument/2006/relationships/hyperlink" Target="https://www.itu.int/en/ITU-R/seminars/rrs/rrs-25-asia&amp;pacific/Pages/default.aspx" TargetMode="External"/><Relationship Id="rId34" Type="http://schemas.openxmlformats.org/officeDocument/2006/relationships/hyperlink" Target="https://www.itu.int/md/D26-TDAG33-C-0016/en" TargetMode="External"/><Relationship Id="rId50" Type="http://schemas.openxmlformats.org/officeDocument/2006/relationships/hyperlink" Target="https://www.itu.int/md/D26-TDAG33-C-0019/en" TargetMode="External"/><Relationship Id="rId55" Type="http://schemas.openxmlformats.org/officeDocument/2006/relationships/hyperlink" Target="https://www.itu.int/en/council/Documents/basic-texts-2023/RES-135-E.pdf" TargetMode="External"/><Relationship Id="rId76" Type="http://schemas.openxmlformats.org/officeDocument/2006/relationships/hyperlink" Target="https://www.itu.int/md/D22-TDAG32-C-0024/en" TargetMode="External"/><Relationship Id="rId97" Type="http://schemas.openxmlformats.org/officeDocument/2006/relationships/hyperlink" Target="https://www.itu.int/md/D26-TDAG33-C-0004/en" TargetMode="External"/><Relationship Id="rId104" Type="http://schemas.openxmlformats.org/officeDocument/2006/relationships/hyperlink" Target="https://www.itu.int/en/ITU-D/Regional-Presence/Africa/Pages/EVENTS/2025/GSMA-.aspx" TargetMode="External"/><Relationship Id="rId120" Type="http://schemas.openxmlformats.org/officeDocument/2006/relationships/hyperlink" Target="https://www.itu.int/en/ITU-R/seminars/rrs/RRS-26-Europe/Pages/default.aspx" TargetMode="External"/><Relationship Id="rId125" Type="http://schemas.openxmlformats.org/officeDocument/2006/relationships/hyperlink" Target="https://digitalregulation.org/category/spectrum-management/" TargetMode="External"/><Relationship Id="rId7" Type="http://schemas.openxmlformats.org/officeDocument/2006/relationships/image" Target="media/image1.png"/><Relationship Id="rId71" Type="http://schemas.openxmlformats.org/officeDocument/2006/relationships/hyperlink" Target="https://www.itu.int/itu-d/meetings/rdf/asp/" TargetMode="External"/><Relationship Id="rId92" Type="http://schemas.openxmlformats.org/officeDocument/2006/relationships/hyperlink" Target="https://www.itu.int/md/D22-TDAG32-INF-0004/en" TargetMode="External"/><Relationship Id="rId2" Type="http://schemas.openxmlformats.org/officeDocument/2006/relationships/styles" Target="styles.xml"/><Relationship Id="rId29" Type="http://schemas.openxmlformats.org/officeDocument/2006/relationships/hyperlink" Target="https://www.itu.int/md/S25-CL-C-0025/en" TargetMode="External"/><Relationship Id="rId24" Type="http://schemas.openxmlformats.org/officeDocument/2006/relationships/hyperlink" Target="https://www.itu.int/en/council/Documents/basic-texts-2023/RES-135-E.pdf" TargetMode="External"/><Relationship Id="rId40" Type="http://schemas.openxmlformats.org/officeDocument/2006/relationships/hyperlink" Target="https://www.itu.int/en/council/Documents/basic-texts-2023/RES-025-R.pdf" TargetMode="External"/><Relationship Id="rId45" Type="http://schemas.openxmlformats.org/officeDocument/2006/relationships/hyperlink" Target="http://itu.int/go/wtdc25-final-report" TargetMode="External"/><Relationship Id="rId66" Type="http://schemas.openxmlformats.org/officeDocument/2006/relationships/hyperlink" Target="https://www.itu.int/md/D26-TDAG33-C-0004/en" TargetMode="External"/><Relationship Id="rId87" Type="http://schemas.openxmlformats.org/officeDocument/2006/relationships/hyperlink" Target="https://www.itu.int/md/S26-CWGFHR22-C-0004/en" TargetMode="External"/><Relationship Id="rId110" Type="http://schemas.openxmlformats.org/officeDocument/2006/relationships/hyperlink" Target="https://www.itu.int/en/ITU-R/seminars/rrs/rrs-25-asia&amp;pacific/Pages/default.aspx" TargetMode="External"/><Relationship Id="rId115" Type="http://schemas.openxmlformats.org/officeDocument/2006/relationships/hyperlink" Target="https://www.itu.int/en/ITU-D/Regional-Presence/AsiaPacific/Pages/Projects/EW4All/EW4ALL.aspx" TargetMode="External"/><Relationship Id="rId131" Type="http://schemas.openxmlformats.org/officeDocument/2006/relationships/footer" Target="footer1.xml"/><Relationship Id="rId61" Type="http://schemas.openxmlformats.org/officeDocument/2006/relationships/hyperlink" Target="https://www.itu.int/md/D22-TDAG32-C-0024/en" TargetMode="External"/><Relationship Id="rId82" Type="http://schemas.openxmlformats.org/officeDocument/2006/relationships/hyperlink" Target="https://www.itu.int/md/T25-TSAG-260126-TD-GEN-0313/en" TargetMode="External"/><Relationship Id="rId19" Type="http://schemas.openxmlformats.org/officeDocument/2006/relationships/hyperlink" Target="https://www.itu.int/md/D26-TDAG33-C-0019/en" TargetMode="External"/><Relationship Id="rId14" Type="http://schemas.openxmlformats.org/officeDocument/2006/relationships/hyperlink" Target="http://itu.int/go/wtdc25-final-report" TargetMode="External"/><Relationship Id="rId30" Type="http://schemas.openxmlformats.org/officeDocument/2006/relationships/hyperlink" Target="https://www.itu.int/md/S26-CL-C-0025/en" TargetMode="External"/><Relationship Id="rId35" Type="http://schemas.openxmlformats.org/officeDocument/2006/relationships/hyperlink" Target="https://www.itu.int/md/D26-TDAG33-C-0008/en" TargetMode="External"/><Relationship Id="rId56" Type="http://schemas.openxmlformats.org/officeDocument/2006/relationships/hyperlink" Target="https://www.itu.int/en/council/Documents/basic-texts-2023/RES-157-E.pdf" TargetMode="External"/><Relationship Id="rId77" Type="http://schemas.openxmlformats.org/officeDocument/2006/relationships/hyperlink" Target="https://www.itu.int/md/S25-CL-C-0105/en" TargetMode="External"/><Relationship Id="rId100" Type="http://schemas.openxmlformats.org/officeDocument/2006/relationships/hyperlink" Target="https://www.itu.int/md/D26-TDAG33-C-0008/en" TargetMode="External"/><Relationship Id="rId105" Type="http://schemas.openxmlformats.org/officeDocument/2006/relationships/hyperlink" Target="https://www.itu.int/en/ITU-R/seminars/rrs/RRS-25-Americas/Pages/default.aspx" TargetMode="External"/><Relationship Id="rId126" Type="http://schemas.openxmlformats.org/officeDocument/2006/relationships/hyperlink" Target="https://www.itu.int/md/S26-CL-C-0119/en" TargetMode="External"/><Relationship Id="rId8" Type="http://schemas.openxmlformats.org/officeDocument/2006/relationships/hyperlink" Target="https://www.itu.int/en/council/Documents/basic-texts-2023/RES-025-R.pdf" TargetMode="External"/><Relationship Id="rId51" Type="http://schemas.openxmlformats.org/officeDocument/2006/relationships/hyperlink" Target="https://www.itu.int/md/D26-TDAG33-C-0016/en" TargetMode="External"/><Relationship Id="rId72" Type="http://schemas.openxmlformats.org/officeDocument/2006/relationships/hyperlink" Target="https://www.itu.int/itu-d/meetings/rdf/ams/home/" TargetMode="External"/><Relationship Id="rId93" Type="http://schemas.openxmlformats.org/officeDocument/2006/relationships/hyperlink" Target="https://www.itu.int/md/D26-TDAG33-C-0004/en" TargetMode="External"/><Relationship Id="rId98" Type="http://schemas.openxmlformats.org/officeDocument/2006/relationships/hyperlink" Target="https://www.itu.int/md/D26-TDAG33-C-0019/en" TargetMode="External"/><Relationship Id="rId121" Type="http://schemas.openxmlformats.org/officeDocument/2006/relationships/hyperlink" Target="https://www.itu.int/en/ITU-R/seminars/rrs/RRS-26-Europe/Pages/default.aspx" TargetMode="External"/><Relationship Id="rId3" Type="http://schemas.openxmlformats.org/officeDocument/2006/relationships/settings" Target="settings.xml"/><Relationship Id="rId25" Type="http://schemas.openxmlformats.org/officeDocument/2006/relationships/hyperlink" Target="https://www.itu.int/en/council/Documents/basic-texts-2023/RES-157-E.pdf" TargetMode="External"/><Relationship Id="rId46" Type="http://schemas.openxmlformats.org/officeDocument/2006/relationships/hyperlink" Target="http://itu.int/go/wtdc25-final-report" TargetMode="External"/><Relationship Id="rId67" Type="http://schemas.openxmlformats.org/officeDocument/2006/relationships/hyperlink" Target="https://www.itu.int/md/D22-WTDC25-C-0002/en" TargetMode="External"/><Relationship Id="rId116" Type="http://schemas.openxmlformats.org/officeDocument/2006/relationships/hyperlink" Target="https://u4ssc.itu.int/" TargetMode="External"/><Relationship Id="rId20" Type="http://schemas.openxmlformats.org/officeDocument/2006/relationships/hyperlink" Target="https://www.itu.int/md/D26-TDAG33-C-0016/en" TargetMode="External"/><Relationship Id="rId41" Type="http://schemas.openxmlformats.org/officeDocument/2006/relationships/hyperlink" Target="https://www.itu.int/en/council/Documents/basic-texts-2023/RES-135-R.pdf" TargetMode="External"/><Relationship Id="rId62" Type="http://schemas.openxmlformats.org/officeDocument/2006/relationships/hyperlink" Target="https://www.itu.int/md/D22-WTDC25-C-0002/en" TargetMode="External"/><Relationship Id="rId83" Type="http://schemas.openxmlformats.org/officeDocument/2006/relationships/hyperlink" Target="https://www.itu.int/md/D26-TDAG33-C-0016/en" TargetMode="External"/><Relationship Id="rId88" Type="http://schemas.openxmlformats.org/officeDocument/2006/relationships/hyperlink" Target="https://www.itu.int/md/T25-TSAG-260126-TD-GEN-0313/en" TargetMode="External"/><Relationship Id="rId111" Type="http://schemas.openxmlformats.org/officeDocument/2006/relationships/hyperlink" Target="https://www.itu.int/en/ITU-R/seminars/rrs/rrs-25-asia&amp;pacific/Pages/default.aspx" TargetMode="External"/><Relationship Id="rId132" Type="http://schemas.openxmlformats.org/officeDocument/2006/relationships/fontTable" Target="fontTable.xml"/><Relationship Id="rId15" Type="http://schemas.openxmlformats.org/officeDocument/2006/relationships/hyperlink" Target="https://www.itu.int/md/S25-CL-C-0025/en" TargetMode="External"/><Relationship Id="rId36" Type="http://schemas.openxmlformats.org/officeDocument/2006/relationships/hyperlink" Target="https://www.itu.int/md/D26-TDAG33-C-0004/en" TargetMode="External"/><Relationship Id="rId57" Type="http://schemas.openxmlformats.org/officeDocument/2006/relationships/hyperlink" Target="https://www.itu.int/en/publications/ITU-D/pages/publications.aspx?parent=D-TDC-WTDC-2022&amp;media=electronic" TargetMode="External"/><Relationship Id="rId106" Type="http://schemas.openxmlformats.org/officeDocument/2006/relationships/hyperlink" Target="https://www.itu.int/en/ITU-R/seminars/rrs/RRS-25-Americas/Pages/default.aspx" TargetMode="External"/><Relationship Id="rId127" Type="http://schemas.openxmlformats.org/officeDocument/2006/relationships/hyperlink" Target="https://www.itu.int/md/S26-CL-C-0119/en" TargetMode="External"/><Relationship Id="rId10" Type="http://schemas.openxmlformats.org/officeDocument/2006/relationships/hyperlink" Target="https://www.itu.int/en/council/Documents/basic-texts-2023/RES-157-R.pdf" TargetMode="External"/><Relationship Id="rId31" Type="http://schemas.openxmlformats.org/officeDocument/2006/relationships/hyperlink" Target="https://www.itu.int/md/D22-TDAG32-C-0024/en" TargetMode="External"/><Relationship Id="rId52" Type="http://schemas.openxmlformats.org/officeDocument/2006/relationships/hyperlink" Target="https://www.itu.int/md/D26-TDAG33-C-0008/en" TargetMode="External"/><Relationship Id="rId73" Type="http://schemas.openxmlformats.org/officeDocument/2006/relationships/hyperlink" Target="https://www.itu.int/itu-d/meetings/rdf/afr/" TargetMode="External"/><Relationship Id="rId78" Type="http://schemas.openxmlformats.org/officeDocument/2006/relationships/hyperlink" Target="https://www.itu.int/md/S25-CL-C-0105/en" TargetMode="External"/><Relationship Id="rId94" Type="http://schemas.openxmlformats.org/officeDocument/2006/relationships/hyperlink" Target="https://www.itu.int/md/D26-TDAG33-C-0019/en" TargetMode="External"/><Relationship Id="rId99" Type="http://schemas.openxmlformats.org/officeDocument/2006/relationships/hyperlink" Target="https://www.itu.int/md/D22-TDAG32-C-0005/en" TargetMode="External"/><Relationship Id="rId101" Type="http://schemas.openxmlformats.org/officeDocument/2006/relationships/hyperlink" Target="https://www.itu.int/en/ITU-R/seminars/rrs/rrs-25-africa/Pages/default.aspx" TargetMode="External"/><Relationship Id="rId122" Type="http://schemas.openxmlformats.org/officeDocument/2006/relationships/hyperlink" Target="https://www.itu.int/en/ITU-D/Regional-Presence/Europe/Pages/Events/2025/09.23_EMF%20Harmony/National-Workshop.aspx" TargetMode="External"/><Relationship Id="rId4" Type="http://schemas.openxmlformats.org/officeDocument/2006/relationships/webSettings" Target="webSettings.xml"/><Relationship Id="rId9" Type="http://schemas.openxmlformats.org/officeDocument/2006/relationships/hyperlink" Target="https://www.itu.int/en/council/Documents/basic-texts-2023/RES-135-R.pdf" TargetMode="External"/><Relationship Id="rId26" Type="http://schemas.openxmlformats.org/officeDocument/2006/relationships/hyperlink" Target="https://www.itu.int/en/publications/ITU-D/pages/publications.aspx?parent=D-TDC-WTDC-2022&amp;media=electronic" TargetMode="External"/><Relationship Id="rId47" Type="http://schemas.openxmlformats.org/officeDocument/2006/relationships/hyperlink" Target="https://www.itu.int/md/S25-CL-C-0025/en" TargetMode="External"/><Relationship Id="rId68" Type="http://schemas.openxmlformats.org/officeDocument/2006/relationships/hyperlink" Target="https://www.itu.int/md/D22-WTDC25-C-0002/en" TargetMode="External"/><Relationship Id="rId89" Type="http://schemas.openxmlformats.org/officeDocument/2006/relationships/hyperlink" Target="https://www.itu.int/md/D26-TDAG33-C-0016/en" TargetMode="External"/><Relationship Id="rId112" Type="http://schemas.openxmlformats.org/officeDocument/2006/relationships/hyperlink" Target="https://www.itu.int/en/ITU-D/Regional-Presence/AsiaPacific/Pages/Events/2025/ITTLLDC%202025/main.aspx" TargetMode="External"/><Relationship Id="rId133"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r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tu.int/md/S25-CL-C-0105/en" TargetMode="External"/><Relationship Id="rId1" Type="http://schemas.openxmlformats.org/officeDocument/2006/relationships/hyperlink" Target="https://www.itu.int/md/S25-CL-C-0105/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6707</Words>
  <Characters>46749</Characters>
  <Application>Microsoft Office Word</Application>
  <DocSecurity>0</DocSecurity>
  <Lines>806</Lines>
  <Paragraphs>298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53158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ITU'S Regional Presence</dc:title>
  <dc:subject>Plenipotentiary Conference (PP-26)</dc:subject>
  <dc:creator>NA</dc:creator>
  <cp:keywords>PP-26, PP26, ITU</cp:keywords>
  <dc:description/>
  <cp:lastModifiedBy>GBS2</cp:lastModifiedBy>
  <cp:revision>2</cp:revision>
  <dcterms:created xsi:type="dcterms:W3CDTF">2026-11-02T18:49:00Z</dcterms:created>
  <dcterms:modified xsi:type="dcterms:W3CDTF">2026-11-02T18:49:00Z</dcterms:modified>
  <cp:category>Conference document</cp:category>
</cp:coreProperties>
</file>