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E408BF"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E408BF" w:rsidRDefault="00CE496F" w:rsidP="00CE496F">
            <w:pPr>
              <w:spacing w:before="0" w:line="240" w:lineRule="atLeast"/>
              <w:rPr>
                <w:rFonts w:cstheme="minorHAnsi"/>
              </w:rPr>
            </w:pPr>
            <w:bookmarkStart w:id="0" w:name="ditulogo"/>
            <w:bookmarkEnd w:id="0"/>
            <w:r w:rsidRPr="00E408BF">
              <w:rPr>
                <w:rFonts w:cstheme="minorHAnsi"/>
                <w:noProof/>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E408BF" w14:paraId="3120A8D9" w14:textId="77777777" w:rsidTr="00BD5C12">
        <w:trPr>
          <w:cantSplit/>
          <w:jc w:val="center"/>
        </w:trPr>
        <w:tc>
          <w:tcPr>
            <w:tcW w:w="10031" w:type="dxa"/>
            <w:gridSpan w:val="2"/>
            <w:tcBorders>
              <w:bottom w:val="single" w:sz="12" w:space="0" w:color="71716F"/>
            </w:tcBorders>
          </w:tcPr>
          <w:p w14:paraId="57068B73" w14:textId="77777777" w:rsidR="002E1AF7" w:rsidRPr="00E408BF" w:rsidRDefault="002E1AF7" w:rsidP="00CE496F">
            <w:pPr>
              <w:spacing w:before="0" w:line="240" w:lineRule="atLeast"/>
              <w:rPr>
                <w:rFonts w:cstheme="minorHAnsi"/>
                <w:b/>
                <w:smallCaps/>
                <w:szCs w:val="24"/>
              </w:rPr>
            </w:pPr>
            <w:bookmarkStart w:id="1" w:name="dhead"/>
          </w:p>
        </w:tc>
      </w:tr>
      <w:tr w:rsidR="00BD1614" w:rsidRPr="00E408BF" w14:paraId="20A2296F" w14:textId="77777777" w:rsidTr="00EC1877">
        <w:trPr>
          <w:cantSplit/>
          <w:jc w:val="center"/>
        </w:trPr>
        <w:tc>
          <w:tcPr>
            <w:tcW w:w="7229" w:type="dxa"/>
            <w:tcBorders>
              <w:top w:val="single" w:sz="12" w:space="0" w:color="71716F"/>
            </w:tcBorders>
          </w:tcPr>
          <w:p w14:paraId="4CFA6027" w14:textId="77777777" w:rsidR="00BD1614" w:rsidRPr="00E408BF"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77777777" w:rsidR="00BD1614" w:rsidRPr="00E408BF" w:rsidRDefault="00BD1614" w:rsidP="007A47E9">
            <w:pPr>
              <w:spacing w:before="0"/>
              <w:rPr>
                <w:rFonts w:cstheme="minorHAnsi"/>
                <w:szCs w:val="24"/>
              </w:rPr>
            </w:pPr>
          </w:p>
        </w:tc>
      </w:tr>
      <w:tr w:rsidR="00BD1614" w:rsidRPr="00E408BF" w14:paraId="5EBA9561" w14:textId="77777777" w:rsidTr="00CE496F">
        <w:trPr>
          <w:cantSplit/>
          <w:jc w:val="center"/>
        </w:trPr>
        <w:tc>
          <w:tcPr>
            <w:tcW w:w="7229" w:type="dxa"/>
          </w:tcPr>
          <w:p w14:paraId="081C5B53" w14:textId="208B41EF" w:rsidR="00BD1614" w:rsidRPr="00E408BF" w:rsidRDefault="00801154" w:rsidP="00801154">
            <w:pPr>
              <w:pStyle w:val="Committee"/>
              <w:framePr w:hSpace="0" w:wrap="auto" w:hAnchor="text" w:yAlign="inline"/>
              <w:spacing w:after="0" w:line="240" w:lineRule="auto"/>
              <w:rPr>
                <w:lang w:val="fr-FR"/>
              </w:rPr>
            </w:pPr>
            <w:r w:rsidRPr="00E408BF">
              <w:rPr>
                <w:lang w:val="fr-FR"/>
              </w:rPr>
              <w:t>SÉANCE PLÉNIÈRE</w:t>
            </w:r>
          </w:p>
        </w:tc>
        <w:tc>
          <w:tcPr>
            <w:tcW w:w="2802" w:type="dxa"/>
            <w:tcMar>
              <w:left w:w="142" w:type="dxa"/>
              <w:right w:w="0" w:type="dxa"/>
            </w:tcMar>
          </w:tcPr>
          <w:p w14:paraId="42E82404" w14:textId="69580F38" w:rsidR="00BD1614" w:rsidRPr="00E408BF" w:rsidRDefault="00801154" w:rsidP="007A47E9">
            <w:pPr>
              <w:spacing w:before="0"/>
              <w:rPr>
                <w:rFonts w:cstheme="minorHAnsi"/>
                <w:szCs w:val="24"/>
              </w:rPr>
            </w:pPr>
            <w:r w:rsidRPr="00E408BF">
              <w:rPr>
                <w:rFonts w:cstheme="minorHAnsi"/>
                <w:b/>
                <w:szCs w:val="24"/>
              </w:rPr>
              <w:t xml:space="preserve">Document </w:t>
            </w:r>
            <w:r w:rsidR="00F3555B" w:rsidRPr="00E408BF">
              <w:rPr>
                <w:rFonts w:cstheme="minorHAnsi"/>
                <w:b/>
                <w:szCs w:val="24"/>
              </w:rPr>
              <w:t>6</w:t>
            </w:r>
            <w:r w:rsidR="00AF16C4" w:rsidRPr="00E408BF">
              <w:rPr>
                <w:rFonts w:cstheme="minorHAnsi"/>
                <w:b/>
                <w:szCs w:val="24"/>
              </w:rPr>
              <w:t>5</w:t>
            </w:r>
            <w:r w:rsidRPr="00E408BF">
              <w:rPr>
                <w:rFonts w:cstheme="minorHAnsi"/>
                <w:b/>
                <w:szCs w:val="24"/>
              </w:rPr>
              <w:t>-F</w:t>
            </w:r>
          </w:p>
        </w:tc>
      </w:tr>
      <w:tr w:rsidR="00BD1614" w:rsidRPr="00E408BF" w14:paraId="5C605E2F" w14:textId="77777777" w:rsidTr="00CE496F">
        <w:trPr>
          <w:cantSplit/>
          <w:jc w:val="center"/>
        </w:trPr>
        <w:tc>
          <w:tcPr>
            <w:tcW w:w="7229" w:type="dxa"/>
          </w:tcPr>
          <w:p w14:paraId="3701819B" w14:textId="4343949C" w:rsidR="00BD1614" w:rsidRPr="00E408BF" w:rsidRDefault="00BD1614" w:rsidP="007A47E9">
            <w:pPr>
              <w:spacing w:before="0"/>
              <w:rPr>
                <w:rFonts w:cstheme="minorHAnsi"/>
                <w:b/>
                <w:szCs w:val="24"/>
              </w:rPr>
            </w:pPr>
          </w:p>
        </w:tc>
        <w:tc>
          <w:tcPr>
            <w:tcW w:w="2802" w:type="dxa"/>
            <w:tcMar>
              <w:left w:w="142" w:type="dxa"/>
              <w:right w:w="0" w:type="dxa"/>
            </w:tcMar>
          </w:tcPr>
          <w:p w14:paraId="4FD5E934" w14:textId="651143C2" w:rsidR="00BD1614" w:rsidRPr="00E408BF" w:rsidRDefault="00F3555B" w:rsidP="007A47E9">
            <w:pPr>
              <w:spacing w:before="0"/>
              <w:rPr>
                <w:rFonts w:cstheme="minorHAnsi"/>
                <w:b/>
                <w:szCs w:val="24"/>
              </w:rPr>
            </w:pPr>
            <w:r w:rsidRPr="00E408BF">
              <w:rPr>
                <w:rFonts w:cstheme="minorHAnsi"/>
                <w:b/>
                <w:szCs w:val="24"/>
              </w:rPr>
              <w:t>5</w:t>
            </w:r>
            <w:r w:rsidR="00AF16C4" w:rsidRPr="00E408BF">
              <w:rPr>
                <w:rFonts w:cstheme="minorHAnsi"/>
                <w:b/>
                <w:szCs w:val="24"/>
              </w:rPr>
              <w:t xml:space="preserve"> octobre 2026</w:t>
            </w:r>
          </w:p>
        </w:tc>
      </w:tr>
      <w:tr w:rsidR="00BD1614" w:rsidRPr="00E408BF" w14:paraId="6B2B4BC1" w14:textId="77777777" w:rsidTr="00CE496F">
        <w:trPr>
          <w:cantSplit/>
          <w:jc w:val="center"/>
        </w:trPr>
        <w:tc>
          <w:tcPr>
            <w:tcW w:w="7229" w:type="dxa"/>
          </w:tcPr>
          <w:p w14:paraId="780A194C" w14:textId="77777777" w:rsidR="00BD1614" w:rsidRPr="00E408BF"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E408BF" w:rsidRDefault="00801154" w:rsidP="007A47E9">
            <w:pPr>
              <w:spacing w:before="0"/>
              <w:rPr>
                <w:rFonts w:cstheme="minorHAnsi"/>
                <w:b/>
                <w:szCs w:val="24"/>
              </w:rPr>
            </w:pPr>
            <w:proofErr w:type="gramStart"/>
            <w:r w:rsidRPr="00E408BF">
              <w:rPr>
                <w:rFonts w:cstheme="minorHAnsi"/>
                <w:b/>
                <w:szCs w:val="24"/>
              </w:rPr>
              <w:t>Original:</w:t>
            </w:r>
            <w:proofErr w:type="gramEnd"/>
            <w:r w:rsidRPr="00E408BF">
              <w:rPr>
                <w:rFonts w:cstheme="minorHAnsi"/>
                <w:b/>
                <w:szCs w:val="24"/>
              </w:rPr>
              <w:t xml:space="preserve"> anglais</w:t>
            </w:r>
          </w:p>
        </w:tc>
      </w:tr>
      <w:tr w:rsidR="00BD1614" w:rsidRPr="00E408BF" w14:paraId="4259B884" w14:textId="77777777" w:rsidTr="002E1AF7">
        <w:trPr>
          <w:cantSplit/>
          <w:jc w:val="center"/>
        </w:trPr>
        <w:tc>
          <w:tcPr>
            <w:tcW w:w="10031" w:type="dxa"/>
            <w:gridSpan w:val="2"/>
          </w:tcPr>
          <w:p w14:paraId="770628D7" w14:textId="77777777" w:rsidR="00BD1614" w:rsidRPr="00E408BF" w:rsidRDefault="00BD1614" w:rsidP="007A47E9">
            <w:pPr>
              <w:spacing w:before="0" w:line="240" w:lineRule="atLeast"/>
              <w:rPr>
                <w:rFonts w:cstheme="minorHAnsi"/>
                <w:b/>
                <w:szCs w:val="24"/>
              </w:rPr>
            </w:pPr>
          </w:p>
        </w:tc>
      </w:tr>
      <w:tr w:rsidR="00BD1614" w:rsidRPr="00E408BF" w14:paraId="6A9FB924" w14:textId="77777777" w:rsidTr="002E1AF7">
        <w:trPr>
          <w:cantSplit/>
          <w:jc w:val="center"/>
        </w:trPr>
        <w:tc>
          <w:tcPr>
            <w:tcW w:w="10031" w:type="dxa"/>
            <w:gridSpan w:val="2"/>
          </w:tcPr>
          <w:p w14:paraId="070875E6" w14:textId="1A4BAE1D" w:rsidR="00BD1614" w:rsidRPr="00E408BF" w:rsidRDefault="00F3555B" w:rsidP="007A47E9">
            <w:pPr>
              <w:pStyle w:val="Source"/>
            </w:pPr>
            <w:bookmarkStart w:id="2" w:name="dsource" w:colFirst="0" w:colLast="0"/>
            <w:bookmarkEnd w:id="1"/>
            <w:r w:rsidRPr="00E408BF">
              <w:t>Rapport du Conseil</w:t>
            </w:r>
          </w:p>
        </w:tc>
      </w:tr>
      <w:tr w:rsidR="00BD1614" w:rsidRPr="00E408BF" w14:paraId="534EEA05" w14:textId="77777777" w:rsidTr="002E1AF7">
        <w:trPr>
          <w:cantSplit/>
          <w:jc w:val="center"/>
        </w:trPr>
        <w:tc>
          <w:tcPr>
            <w:tcW w:w="10031" w:type="dxa"/>
            <w:gridSpan w:val="2"/>
          </w:tcPr>
          <w:p w14:paraId="0C8E89F3" w14:textId="2A3A1650" w:rsidR="00AF16C4" w:rsidRPr="00E408BF" w:rsidRDefault="00516E3F" w:rsidP="00AF16C4">
            <w:pPr>
              <w:pStyle w:val="Title1"/>
            </w:pPr>
            <w:bookmarkStart w:id="3" w:name="dtitle1" w:colFirst="0" w:colLast="0"/>
            <w:bookmarkEnd w:id="2"/>
            <w:r w:rsidRPr="00E408BF">
              <w:rPr>
                <w:caps w:val="0"/>
              </w:rPr>
              <w:t>RENFORCER LA PRÉSENCE RÉGIONALE DE L'UIT</w:t>
            </w:r>
          </w:p>
        </w:tc>
      </w:tr>
      <w:bookmarkEnd w:id="3"/>
      <w:tr w:rsidR="00BD1614" w:rsidRPr="00E408BF" w14:paraId="3488B00F" w14:textId="77777777" w:rsidTr="002E1AF7">
        <w:trPr>
          <w:cantSplit/>
          <w:jc w:val="center"/>
        </w:trPr>
        <w:tc>
          <w:tcPr>
            <w:tcW w:w="10031" w:type="dxa"/>
            <w:gridSpan w:val="2"/>
          </w:tcPr>
          <w:p w14:paraId="48DBD50A" w14:textId="420EA0AD" w:rsidR="00BD1614" w:rsidRPr="00E408BF" w:rsidRDefault="00BD1614" w:rsidP="007A47E9">
            <w:pPr>
              <w:pStyle w:val="Agendaitem"/>
              <w:rPr>
                <w:lang w:val="fr-FR"/>
              </w:rPr>
            </w:pPr>
          </w:p>
        </w:tc>
      </w:tr>
    </w:tbl>
    <w:p w14:paraId="7AD6F79A" w14:textId="4EE37645" w:rsidR="000D15FB" w:rsidRPr="00E408BF" w:rsidRDefault="000D15FB" w:rsidP="00E60DA1"/>
    <w:tbl>
      <w:tblPr>
        <w:tblStyle w:val="TableGrid"/>
        <w:tblW w:w="0" w:type="auto"/>
        <w:tblLook w:val="04A0" w:firstRow="1" w:lastRow="0" w:firstColumn="1" w:lastColumn="0" w:noHBand="0" w:noVBand="1"/>
      </w:tblPr>
      <w:tblGrid>
        <w:gridCol w:w="9635"/>
      </w:tblGrid>
      <w:tr w:rsidR="00AF16C4" w:rsidRPr="00E408BF" w14:paraId="24091A21" w14:textId="77777777" w:rsidTr="00AF16C4">
        <w:tc>
          <w:tcPr>
            <w:tcW w:w="9635" w:type="dxa"/>
          </w:tcPr>
          <w:p w14:paraId="3B2E18F1" w14:textId="77777777" w:rsidR="00AF16C4" w:rsidRPr="00E408BF" w:rsidRDefault="00AF16C4" w:rsidP="00516E3F">
            <w:pPr>
              <w:pStyle w:val="Headingb"/>
            </w:pPr>
            <w:r w:rsidRPr="00E408BF">
              <w:t>Résumé</w:t>
            </w:r>
          </w:p>
          <w:p w14:paraId="727FB59B" w14:textId="1DFFA0AC" w:rsidR="00AF16C4" w:rsidRPr="00E408BF" w:rsidRDefault="00F3555B" w:rsidP="005E0C2E">
            <w:pPr>
              <w:jc w:val="both"/>
            </w:pPr>
            <w:r w:rsidRPr="00E408BF">
              <w:t>Le présent document rend compte de la contribution de la présence régionale de l'UIT à l'accomplissement du mandat de l'Union. Il donne des renseignements sur les activités menées au niveau régional pour mettre en application le Plan stratégique de l'UIT, le Plan d'action de Kigali, adopté à la Conférence mondiale de développement des télécommunications (</w:t>
            </w:r>
            <w:proofErr w:type="spellStart"/>
            <w:r w:rsidRPr="00E408BF">
              <w:t>CMDT</w:t>
            </w:r>
            <w:proofErr w:type="spellEnd"/>
            <w:r w:rsidRPr="00E408BF">
              <w:t>) de</w:t>
            </w:r>
            <w:r w:rsidR="00C05822" w:rsidRPr="00E408BF">
              <w:t> </w:t>
            </w:r>
            <w:r w:rsidRPr="00E408BF">
              <w:t xml:space="preserve">2022, le Plan d'action de Bakou, récemment adopté par la </w:t>
            </w:r>
            <w:proofErr w:type="spellStart"/>
            <w:r w:rsidRPr="00E408BF">
              <w:t>CMDT</w:t>
            </w:r>
            <w:proofErr w:type="spellEnd"/>
            <w:r w:rsidRPr="00E408BF">
              <w:t>-25 et les initiatives régionales. À sa session de 2026, le Conseil a approuvé le rapport et a décidé de le transmettre, assorti des observations formulées par les participants. Un extrait du compte rendu de la deuxième séance plénière de la session de 2026 du Conseil, contant les recommandations et les vues des États Membres du Conseil, est joint dans l'</w:t>
            </w:r>
            <w:r w:rsidR="00D04472" w:rsidRPr="00E408BF">
              <w:rPr>
                <w:rStyle w:val="Mention"/>
                <w:shd w:val="clear" w:color="auto" w:fill="auto"/>
              </w:rPr>
              <w:fldChar w:fldCharType="begin"/>
            </w:r>
            <w:r w:rsidR="00D04472" w:rsidRPr="00E408BF">
              <w:rPr>
                <w:rStyle w:val="Mention"/>
                <w:shd w:val="clear" w:color="auto" w:fill="auto"/>
              </w:rPr>
              <w:instrText xml:space="preserve"> REF ANNEXE2 \h  \* MERGEFORMAT </w:instrText>
            </w:r>
            <w:r w:rsidR="00D04472" w:rsidRPr="00E408BF">
              <w:rPr>
                <w:rStyle w:val="Mention"/>
                <w:shd w:val="clear" w:color="auto" w:fill="auto"/>
              </w:rPr>
            </w:r>
            <w:r w:rsidR="00D04472" w:rsidRPr="00E408BF">
              <w:rPr>
                <w:rStyle w:val="Mention"/>
                <w:shd w:val="clear" w:color="auto" w:fill="auto"/>
              </w:rPr>
              <w:fldChar w:fldCharType="separate"/>
            </w:r>
            <w:r w:rsidR="00D04472" w:rsidRPr="00E408BF">
              <w:rPr>
                <w:rStyle w:val="Mention"/>
                <w:shd w:val="clear" w:color="auto" w:fill="auto"/>
              </w:rPr>
              <w:t>Annexe 2</w:t>
            </w:r>
            <w:r w:rsidR="00D04472" w:rsidRPr="00E408BF">
              <w:rPr>
                <w:rStyle w:val="Mention"/>
                <w:shd w:val="clear" w:color="auto" w:fill="auto"/>
              </w:rPr>
              <w:fldChar w:fldCharType="end"/>
            </w:r>
            <w:r w:rsidR="00D04472" w:rsidRPr="00E408BF">
              <w:t xml:space="preserve"> </w:t>
            </w:r>
            <w:r w:rsidRPr="00E408BF">
              <w:t>du présent document.</w:t>
            </w:r>
          </w:p>
          <w:p w14:paraId="2866F645" w14:textId="77777777" w:rsidR="00AF16C4" w:rsidRPr="00E408BF" w:rsidRDefault="00AF16C4" w:rsidP="00516E3F">
            <w:pPr>
              <w:pStyle w:val="Headingb"/>
            </w:pPr>
            <w:proofErr w:type="gramStart"/>
            <w:r w:rsidRPr="00E408BF">
              <w:t>Suite à</w:t>
            </w:r>
            <w:proofErr w:type="gramEnd"/>
            <w:r w:rsidRPr="00E408BF">
              <w:t xml:space="preserve"> donner</w:t>
            </w:r>
          </w:p>
          <w:p w14:paraId="11026B65" w14:textId="6FF6CB6C" w:rsidR="00AF16C4" w:rsidRPr="00E408BF" w:rsidRDefault="00F3555B" w:rsidP="00AF16C4">
            <w:r w:rsidRPr="00E408BF">
              <w:t xml:space="preserve">La Conférence de plénipotentiaires est invitée à </w:t>
            </w:r>
            <w:r w:rsidRPr="00E408BF">
              <w:rPr>
                <w:b/>
                <w:bCs/>
              </w:rPr>
              <w:t>prendre note</w:t>
            </w:r>
            <w:r w:rsidRPr="00E408BF">
              <w:t xml:space="preserve"> du présent document</w:t>
            </w:r>
            <w:r w:rsidR="00AF16C4" w:rsidRPr="00E408BF">
              <w:t>.</w:t>
            </w:r>
          </w:p>
          <w:p w14:paraId="24DEA941" w14:textId="77777777" w:rsidR="00AF16C4" w:rsidRPr="00E408BF" w:rsidRDefault="00AF16C4" w:rsidP="00516E3F">
            <w:pPr>
              <w:pStyle w:val="Headingb"/>
            </w:pPr>
            <w:r w:rsidRPr="00E408BF">
              <w:t>Incidences financières</w:t>
            </w:r>
          </w:p>
          <w:p w14:paraId="0D0FF8DC" w14:textId="29D1DDD9" w:rsidR="00AF16C4" w:rsidRPr="00E408BF" w:rsidRDefault="00F3555B" w:rsidP="00AF16C4">
            <w:r w:rsidRPr="00E408BF">
              <w:t>Dans les limites du budget alloué</w:t>
            </w:r>
            <w:r w:rsidR="00AF16C4" w:rsidRPr="00E408BF">
              <w:t>.</w:t>
            </w:r>
          </w:p>
          <w:p w14:paraId="7A04C021" w14:textId="77777777" w:rsidR="00AF16C4" w:rsidRPr="00E408BF" w:rsidRDefault="00AF16C4" w:rsidP="00AF16C4">
            <w:r w:rsidRPr="00E408BF">
              <w:t>____________</w:t>
            </w:r>
          </w:p>
          <w:p w14:paraId="234BB3B1" w14:textId="77777777" w:rsidR="00AF16C4" w:rsidRPr="00E408BF" w:rsidRDefault="00AF16C4" w:rsidP="00516E3F">
            <w:pPr>
              <w:pStyle w:val="Headingb"/>
            </w:pPr>
            <w:r w:rsidRPr="00E408BF">
              <w:t>Références</w:t>
            </w:r>
          </w:p>
          <w:p w14:paraId="4729A76F" w14:textId="71A3E02A" w:rsidR="00AF16C4" w:rsidRPr="005E0C2E" w:rsidRDefault="00F3555B" w:rsidP="005E0C2E">
            <w:pPr>
              <w:spacing w:after="120"/>
              <w:jc w:val="both"/>
              <w:rPr>
                <w:i/>
                <w:iCs/>
                <w:sz w:val="22"/>
                <w:szCs w:val="22"/>
              </w:rPr>
            </w:pPr>
            <w:r w:rsidRPr="005E0C2E">
              <w:rPr>
                <w:i/>
                <w:iCs/>
                <w:sz w:val="22"/>
                <w:szCs w:val="22"/>
              </w:rPr>
              <w:t xml:space="preserve">Résolution </w:t>
            </w:r>
            <w:hyperlink r:id="rId10" w:history="1">
              <w:r w:rsidRPr="005E0C2E">
                <w:rPr>
                  <w:rStyle w:val="Hyperlink"/>
                  <w:i/>
                  <w:iCs/>
                  <w:sz w:val="22"/>
                  <w:szCs w:val="22"/>
                </w:rPr>
                <w:t>25</w:t>
              </w:r>
            </w:hyperlink>
            <w:r w:rsidRPr="005E0C2E">
              <w:rPr>
                <w:i/>
                <w:iCs/>
                <w:sz w:val="22"/>
                <w:szCs w:val="22"/>
              </w:rPr>
              <w:t xml:space="preserve"> (Rév. Bucarest, 2022), Résolution </w:t>
            </w:r>
            <w:hyperlink r:id="rId11" w:history="1">
              <w:r w:rsidRPr="005E0C2E">
                <w:rPr>
                  <w:rStyle w:val="Hyperlink"/>
                  <w:i/>
                  <w:iCs/>
                  <w:sz w:val="22"/>
                  <w:szCs w:val="22"/>
                </w:rPr>
                <w:t>135</w:t>
              </w:r>
            </w:hyperlink>
            <w:r w:rsidRPr="005E0C2E">
              <w:rPr>
                <w:i/>
                <w:iCs/>
                <w:sz w:val="22"/>
                <w:szCs w:val="22"/>
              </w:rPr>
              <w:t xml:space="preserve"> (Rév. Bucarest, 2022) et Résolution </w:t>
            </w:r>
            <w:hyperlink r:id="rId12" w:history="1">
              <w:r w:rsidRPr="005E0C2E">
                <w:rPr>
                  <w:rStyle w:val="Hyperlink"/>
                  <w:i/>
                  <w:iCs/>
                  <w:sz w:val="22"/>
                  <w:szCs w:val="22"/>
                </w:rPr>
                <w:t>157</w:t>
              </w:r>
            </w:hyperlink>
            <w:r w:rsidRPr="005E0C2E">
              <w:rPr>
                <w:i/>
                <w:iCs/>
                <w:sz w:val="22"/>
                <w:szCs w:val="22"/>
              </w:rPr>
              <w:t xml:space="preserve"> (Rév.</w:t>
            </w:r>
            <w:r w:rsidR="00A65CF5" w:rsidRPr="005E0C2E">
              <w:rPr>
                <w:i/>
                <w:iCs/>
                <w:sz w:val="22"/>
                <w:szCs w:val="22"/>
              </w:rPr>
              <w:t> </w:t>
            </w:r>
            <w:r w:rsidRPr="005E0C2E">
              <w:rPr>
                <w:i/>
                <w:iCs/>
                <w:sz w:val="22"/>
                <w:szCs w:val="22"/>
              </w:rPr>
              <w:t xml:space="preserve">Bucarest, 2022) de la Conférence de </w:t>
            </w:r>
            <w:proofErr w:type="gramStart"/>
            <w:r w:rsidRPr="005E0C2E">
              <w:rPr>
                <w:i/>
                <w:iCs/>
                <w:sz w:val="22"/>
                <w:szCs w:val="22"/>
              </w:rPr>
              <w:t>plénipotentiaires;</w:t>
            </w:r>
            <w:proofErr w:type="gramEnd"/>
            <w:r w:rsidRPr="005E0C2E">
              <w:rPr>
                <w:i/>
                <w:iCs/>
                <w:sz w:val="22"/>
                <w:szCs w:val="22"/>
              </w:rPr>
              <w:t xml:space="preserve"> </w:t>
            </w:r>
            <w:hyperlink r:id="rId13" w:history="1">
              <w:r w:rsidRPr="005E0C2E">
                <w:rPr>
                  <w:rStyle w:val="Hyperlink"/>
                  <w:i/>
                  <w:iCs/>
                  <w:sz w:val="22"/>
                  <w:szCs w:val="22"/>
                </w:rPr>
                <w:t xml:space="preserve">Rapport final de la </w:t>
              </w:r>
              <w:proofErr w:type="spellStart"/>
              <w:r w:rsidRPr="005E0C2E">
                <w:rPr>
                  <w:rStyle w:val="Hyperlink"/>
                  <w:i/>
                  <w:iCs/>
                  <w:sz w:val="22"/>
                  <w:szCs w:val="22"/>
                </w:rPr>
                <w:t>CMDT</w:t>
              </w:r>
              <w:proofErr w:type="spellEnd"/>
              <w:r w:rsidRPr="005E0C2E">
                <w:rPr>
                  <w:rStyle w:val="Hyperlink"/>
                  <w:i/>
                  <w:iCs/>
                  <w:sz w:val="22"/>
                  <w:szCs w:val="22"/>
                </w:rPr>
                <w:t>-22</w:t>
              </w:r>
            </w:hyperlink>
            <w:r w:rsidRPr="005E0C2E">
              <w:rPr>
                <w:i/>
                <w:iCs/>
                <w:sz w:val="22"/>
                <w:szCs w:val="22"/>
              </w:rPr>
              <w:t xml:space="preserve"> (Plan</w:t>
            </w:r>
            <w:r w:rsidR="00A65CF5" w:rsidRPr="005E0C2E">
              <w:rPr>
                <w:i/>
                <w:iCs/>
                <w:sz w:val="22"/>
                <w:szCs w:val="22"/>
              </w:rPr>
              <w:t> </w:t>
            </w:r>
            <w:r w:rsidRPr="005E0C2E">
              <w:rPr>
                <w:i/>
                <w:iCs/>
                <w:sz w:val="22"/>
                <w:szCs w:val="22"/>
              </w:rPr>
              <w:t xml:space="preserve">d'action de Kigali) et </w:t>
            </w:r>
            <w:hyperlink r:id="rId14" w:history="1">
              <w:r w:rsidRPr="005E0C2E">
                <w:rPr>
                  <w:rStyle w:val="Hyperlink"/>
                  <w:i/>
                  <w:iCs/>
                  <w:sz w:val="22"/>
                  <w:szCs w:val="22"/>
                </w:rPr>
                <w:t xml:space="preserve">Rapport final de la </w:t>
              </w:r>
              <w:proofErr w:type="spellStart"/>
              <w:r w:rsidRPr="005E0C2E">
                <w:rPr>
                  <w:rStyle w:val="Hyperlink"/>
                  <w:i/>
                  <w:iCs/>
                  <w:sz w:val="22"/>
                  <w:szCs w:val="22"/>
                </w:rPr>
                <w:t>CMDT</w:t>
              </w:r>
              <w:proofErr w:type="spellEnd"/>
              <w:r w:rsidRPr="005E0C2E">
                <w:rPr>
                  <w:rStyle w:val="Hyperlink"/>
                  <w:i/>
                  <w:iCs/>
                  <w:sz w:val="22"/>
                  <w:szCs w:val="22"/>
                </w:rPr>
                <w:t>-25</w:t>
              </w:r>
            </w:hyperlink>
            <w:r w:rsidRPr="005E0C2E">
              <w:rPr>
                <w:i/>
                <w:iCs/>
                <w:sz w:val="22"/>
                <w:szCs w:val="22"/>
              </w:rPr>
              <w:t xml:space="preserve"> (Plan d'action de Bakou</w:t>
            </w:r>
            <w:proofErr w:type="gramStart"/>
            <w:r w:rsidRPr="005E0C2E">
              <w:rPr>
                <w:i/>
                <w:iCs/>
                <w:sz w:val="22"/>
                <w:szCs w:val="22"/>
              </w:rPr>
              <w:t>);</w:t>
            </w:r>
            <w:proofErr w:type="gramEnd"/>
            <w:r w:rsidRPr="005E0C2E">
              <w:rPr>
                <w:i/>
                <w:iCs/>
                <w:sz w:val="22"/>
                <w:szCs w:val="22"/>
              </w:rPr>
              <w:t xml:space="preserve"> Résolution </w:t>
            </w:r>
            <w:hyperlink r:id="rId15" w:history="1">
              <w:r w:rsidRPr="005E0C2E">
                <w:rPr>
                  <w:rStyle w:val="Hyperlink"/>
                  <w:i/>
                  <w:iCs/>
                  <w:sz w:val="22"/>
                  <w:szCs w:val="22"/>
                </w:rPr>
                <w:t>17</w:t>
              </w:r>
            </w:hyperlink>
            <w:r w:rsidRPr="005E0C2E">
              <w:rPr>
                <w:i/>
                <w:iCs/>
                <w:sz w:val="22"/>
                <w:szCs w:val="22"/>
              </w:rPr>
              <w:t xml:space="preserve"> (Rév. Bakou, 2025) et Résolution </w:t>
            </w:r>
            <w:hyperlink r:id="rId16" w:history="1">
              <w:r w:rsidRPr="005E0C2E">
                <w:rPr>
                  <w:rStyle w:val="Hyperlink"/>
                  <w:i/>
                  <w:iCs/>
                  <w:sz w:val="22"/>
                  <w:szCs w:val="22"/>
                </w:rPr>
                <w:t>31</w:t>
              </w:r>
            </w:hyperlink>
            <w:r w:rsidRPr="005E0C2E">
              <w:rPr>
                <w:i/>
                <w:iCs/>
                <w:sz w:val="22"/>
                <w:szCs w:val="22"/>
              </w:rPr>
              <w:t xml:space="preserve"> (Rév. Bakou, 2025) de la Conférence mondiale de développement des télécommunications; Documents </w:t>
            </w:r>
            <w:hyperlink r:id="rId17" w:history="1">
              <w:proofErr w:type="spellStart"/>
              <w:r w:rsidRPr="005E0C2E">
                <w:rPr>
                  <w:rStyle w:val="Hyperlink"/>
                  <w:i/>
                  <w:iCs/>
                  <w:sz w:val="22"/>
                  <w:szCs w:val="22"/>
                </w:rPr>
                <w:t>C25</w:t>
              </w:r>
              <w:proofErr w:type="spellEnd"/>
              <w:r w:rsidRPr="005E0C2E">
                <w:rPr>
                  <w:rStyle w:val="Hyperlink"/>
                  <w:i/>
                  <w:iCs/>
                  <w:sz w:val="22"/>
                  <w:szCs w:val="22"/>
                </w:rPr>
                <w:t>/25</w:t>
              </w:r>
            </w:hyperlink>
            <w:r w:rsidRPr="005E0C2E">
              <w:rPr>
                <w:i/>
                <w:iCs/>
                <w:sz w:val="22"/>
                <w:szCs w:val="22"/>
              </w:rPr>
              <w:t xml:space="preserve">, </w:t>
            </w:r>
            <w:hyperlink r:id="rId18" w:history="1">
              <w:proofErr w:type="spellStart"/>
              <w:r w:rsidR="00CE0DBF" w:rsidRPr="005E0C2E">
                <w:rPr>
                  <w:rStyle w:val="Hyperlink"/>
                  <w:i/>
                  <w:iCs/>
                  <w:sz w:val="22"/>
                  <w:szCs w:val="22"/>
                </w:rPr>
                <w:t>C26</w:t>
              </w:r>
              <w:proofErr w:type="spellEnd"/>
              <w:r w:rsidR="00CE0DBF" w:rsidRPr="005E0C2E">
                <w:rPr>
                  <w:rStyle w:val="Hyperlink"/>
                  <w:i/>
                  <w:iCs/>
                  <w:sz w:val="22"/>
                  <w:szCs w:val="22"/>
                </w:rPr>
                <w:t>/25</w:t>
              </w:r>
            </w:hyperlink>
            <w:r w:rsidR="00CE0DBF" w:rsidRPr="005E0C2E">
              <w:rPr>
                <w:sz w:val="22"/>
                <w:szCs w:val="22"/>
              </w:rPr>
              <w:t xml:space="preserve">, </w:t>
            </w:r>
            <w:hyperlink r:id="rId19" w:history="1">
              <w:proofErr w:type="spellStart"/>
              <w:r w:rsidRPr="005E0C2E">
                <w:rPr>
                  <w:rStyle w:val="Hyperlink"/>
                  <w:i/>
                  <w:iCs/>
                  <w:sz w:val="22"/>
                  <w:szCs w:val="22"/>
                </w:rPr>
                <w:t>TDAG</w:t>
              </w:r>
              <w:proofErr w:type="spellEnd"/>
              <w:r w:rsidRPr="005E0C2E">
                <w:rPr>
                  <w:rStyle w:val="Hyperlink"/>
                  <w:i/>
                  <w:iCs/>
                  <w:sz w:val="22"/>
                  <w:szCs w:val="22"/>
                </w:rPr>
                <w:t>-25/24</w:t>
              </w:r>
            </w:hyperlink>
            <w:r w:rsidRPr="005E0C2E">
              <w:rPr>
                <w:i/>
                <w:iCs/>
                <w:sz w:val="22"/>
                <w:szCs w:val="22"/>
              </w:rPr>
              <w:t xml:space="preserve">, </w:t>
            </w:r>
            <w:hyperlink r:id="rId20" w:history="1">
              <w:proofErr w:type="spellStart"/>
              <w:r w:rsidRPr="005E0C2E">
                <w:rPr>
                  <w:rStyle w:val="Hyperlink"/>
                  <w:i/>
                  <w:iCs/>
                  <w:sz w:val="22"/>
                  <w:szCs w:val="22"/>
                </w:rPr>
                <w:t>WTDC-25</w:t>
              </w:r>
              <w:proofErr w:type="spellEnd"/>
              <w:r w:rsidRPr="005E0C2E">
                <w:rPr>
                  <w:rStyle w:val="Hyperlink"/>
                  <w:i/>
                  <w:iCs/>
                  <w:sz w:val="22"/>
                  <w:szCs w:val="22"/>
                </w:rPr>
                <w:t>/2</w:t>
              </w:r>
            </w:hyperlink>
            <w:r w:rsidRPr="005E0C2E">
              <w:rPr>
                <w:i/>
                <w:iCs/>
                <w:sz w:val="22"/>
                <w:szCs w:val="22"/>
              </w:rPr>
              <w:t xml:space="preserve">, </w:t>
            </w:r>
            <w:hyperlink r:id="rId21" w:history="1">
              <w:proofErr w:type="spellStart"/>
              <w:r w:rsidRPr="005E0C2E">
                <w:rPr>
                  <w:rStyle w:val="Hyperlink"/>
                  <w:i/>
                  <w:iCs/>
                  <w:sz w:val="22"/>
                  <w:szCs w:val="22"/>
                </w:rPr>
                <w:t>TDAG</w:t>
              </w:r>
              <w:proofErr w:type="spellEnd"/>
              <w:r w:rsidRPr="005E0C2E">
                <w:rPr>
                  <w:rStyle w:val="Hyperlink"/>
                  <w:i/>
                  <w:iCs/>
                  <w:sz w:val="22"/>
                  <w:szCs w:val="22"/>
                </w:rPr>
                <w:t>-26/19</w:t>
              </w:r>
            </w:hyperlink>
            <w:r w:rsidRPr="005E0C2E">
              <w:rPr>
                <w:i/>
                <w:iCs/>
                <w:sz w:val="22"/>
                <w:szCs w:val="22"/>
              </w:rPr>
              <w:t xml:space="preserve">, </w:t>
            </w:r>
            <w:hyperlink r:id="rId22" w:history="1">
              <w:proofErr w:type="spellStart"/>
              <w:r w:rsidRPr="005E0C2E">
                <w:rPr>
                  <w:rStyle w:val="Hyperlink"/>
                  <w:i/>
                  <w:iCs/>
                  <w:sz w:val="22"/>
                  <w:szCs w:val="22"/>
                </w:rPr>
                <w:t>TDAG</w:t>
              </w:r>
              <w:proofErr w:type="spellEnd"/>
              <w:r w:rsidRPr="005E0C2E">
                <w:rPr>
                  <w:rStyle w:val="Hyperlink"/>
                  <w:i/>
                  <w:iCs/>
                  <w:sz w:val="22"/>
                  <w:szCs w:val="22"/>
                </w:rPr>
                <w:t>-26/16</w:t>
              </w:r>
            </w:hyperlink>
            <w:r w:rsidRPr="005E0C2E">
              <w:rPr>
                <w:i/>
                <w:iCs/>
                <w:sz w:val="22"/>
                <w:szCs w:val="22"/>
              </w:rPr>
              <w:t xml:space="preserve">, </w:t>
            </w:r>
            <w:hyperlink r:id="rId23" w:history="1">
              <w:proofErr w:type="spellStart"/>
              <w:r w:rsidRPr="005E0C2E">
                <w:rPr>
                  <w:rStyle w:val="Hyperlink"/>
                  <w:i/>
                  <w:iCs/>
                  <w:sz w:val="22"/>
                  <w:szCs w:val="22"/>
                </w:rPr>
                <w:t>TDAG</w:t>
              </w:r>
              <w:proofErr w:type="spellEnd"/>
              <w:r w:rsidRPr="005E0C2E">
                <w:rPr>
                  <w:rStyle w:val="Hyperlink"/>
                  <w:i/>
                  <w:iCs/>
                  <w:sz w:val="22"/>
                  <w:szCs w:val="22"/>
                </w:rPr>
                <w:t>-26/8</w:t>
              </w:r>
            </w:hyperlink>
            <w:r w:rsidRPr="005E0C2E">
              <w:rPr>
                <w:i/>
                <w:iCs/>
                <w:sz w:val="22"/>
                <w:szCs w:val="22"/>
              </w:rPr>
              <w:t xml:space="preserve"> et </w:t>
            </w:r>
            <w:hyperlink r:id="rId24" w:history="1">
              <w:proofErr w:type="spellStart"/>
              <w:r w:rsidRPr="005E0C2E">
                <w:rPr>
                  <w:rStyle w:val="Hyperlink"/>
                  <w:i/>
                  <w:iCs/>
                  <w:sz w:val="22"/>
                  <w:szCs w:val="22"/>
                </w:rPr>
                <w:t>TDAG</w:t>
              </w:r>
              <w:proofErr w:type="spellEnd"/>
              <w:r w:rsidRPr="005E0C2E">
                <w:rPr>
                  <w:rStyle w:val="Hyperlink"/>
                  <w:i/>
                  <w:iCs/>
                  <w:sz w:val="22"/>
                  <w:szCs w:val="22"/>
                </w:rPr>
                <w:t>-26/4</w:t>
              </w:r>
            </w:hyperlink>
            <w:r w:rsidR="00C05822" w:rsidRPr="005E0C2E">
              <w:rPr>
                <w:sz w:val="22"/>
                <w:szCs w:val="22"/>
              </w:rPr>
              <w:t>.</w:t>
            </w:r>
          </w:p>
        </w:tc>
      </w:tr>
    </w:tbl>
    <w:p w14:paraId="67957B9D" w14:textId="02E946B1" w:rsidR="00F3555B" w:rsidRPr="00E408BF" w:rsidRDefault="00F3555B" w:rsidP="00C05822">
      <w:pPr>
        <w:spacing w:before="240"/>
      </w:pPr>
      <w:proofErr w:type="gramStart"/>
      <w:r w:rsidRPr="00E408BF">
        <w:rPr>
          <w:b/>
          <w:bCs/>
        </w:rPr>
        <w:t>Annexes</w:t>
      </w:r>
      <w:r w:rsidRPr="00E408BF">
        <w:t>:</w:t>
      </w:r>
      <w:proofErr w:type="gramEnd"/>
      <w:r w:rsidRPr="00E408BF">
        <w:t xml:space="preserve"> 2</w:t>
      </w:r>
    </w:p>
    <w:p w14:paraId="52BD54E0" w14:textId="0830DB58" w:rsidR="00F3555B" w:rsidRPr="00E408BF" w:rsidRDefault="00BD1614" w:rsidP="00EC33C5">
      <w:r w:rsidRPr="00E408BF">
        <w:br w:type="page"/>
      </w:r>
    </w:p>
    <w:p w14:paraId="774B1303" w14:textId="77777777" w:rsidR="00C05822" w:rsidRPr="00E408BF" w:rsidRDefault="00CE0DBF" w:rsidP="00C05822">
      <w:pPr>
        <w:pStyle w:val="AnnexNo"/>
      </w:pPr>
      <w:r w:rsidRPr="00E408BF">
        <w:lastRenderedPageBreak/>
        <w:t>ANNEXE 1</w:t>
      </w:r>
    </w:p>
    <w:p w14:paraId="54AC0328" w14:textId="16254C6F" w:rsidR="00C05822" w:rsidRPr="00E408BF" w:rsidRDefault="00CE0DBF" w:rsidP="00C05822">
      <w:pPr>
        <w:pStyle w:val="Annextitle"/>
        <w:spacing w:after="360"/>
      </w:pPr>
      <w:r w:rsidRPr="00E408BF">
        <w:t xml:space="preserve">Document </w:t>
      </w:r>
      <w:hyperlink r:id="rId25" w:history="1">
        <w:proofErr w:type="spellStart"/>
        <w:r w:rsidR="00FA5184" w:rsidRPr="00E408BF">
          <w:rPr>
            <w:rStyle w:val="Hyperlink"/>
          </w:rPr>
          <w:t>C26</w:t>
        </w:r>
        <w:proofErr w:type="spellEnd"/>
        <w:r w:rsidR="00FA5184" w:rsidRPr="00E408BF">
          <w:rPr>
            <w:rStyle w:val="Hyperlink"/>
          </w:rPr>
          <w:t>/25</w:t>
        </w:r>
      </w:hyperlink>
      <w:r w:rsidR="00FA5184" w:rsidRPr="00E408BF">
        <w:t xml:space="preserve"> </w:t>
      </w:r>
      <w:r w:rsidRPr="00E408BF">
        <w:t>– Renforcer la présence régionale de l'UIT</w:t>
      </w:r>
    </w:p>
    <w:tbl>
      <w:tblPr>
        <w:tblW w:w="9214" w:type="dxa"/>
        <w:tblLayout w:type="fixed"/>
        <w:tblLook w:val="0000" w:firstRow="0" w:lastRow="0" w:firstColumn="0" w:lastColumn="0" w:noHBand="0" w:noVBand="0"/>
      </w:tblPr>
      <w:tblGrid>
        <w:gridCol w:w="3969"/>
        <w:gridCol w:w="5245"/>
      </w:tblGrid>
      <w:tr w:rsidR="00F3555B" w:rsidRPr="00E408BF" w14:paraId="0F45DF25" w14:textId="77777777" w:rsidTr="00C05822">
        <w:trPr>
          <w:cantSplit/>
          <w:trHeight w:val="23"/>
        </w:trPr>
        <w:tc>
          <w:tcPr>
            <w:tcW w:w="3969" w:type="dxa"/>
            <w:vMerge w:val="restart"/>
            <w:tcMar>
              <w:left w:w="0" w:type="dxa"/>
            </w:tcMar>
          </w:tcPr>
          <w:p w14:paraId="31CE2B7E" w14:textId="77777777" w:rsidR="00F3555B" w:rsidRPr="00E408BF" w:rsidRDefault="00F3555B" w:rsidP="00C05822">
            <w:pPr>
              <w:tabs>
                <w:tab w:val="left" w:pos="851"/>
              </w:tabs>
              <w:spacing w:before="0" w:line="240" w:lineRule="atLeast"/>
              <w:rPr>
                <w:b/>
              </w:rPr>
            </w:pPr>
            <w:r w:rsidRPr="00E408BF">
              <w:rPr>
                <w:b/>
              </w:rPr>
              <w:t xml:space="preserve">Point de l'ordre du </w:t>
            </w:r>
            <w:proofErr w:type="gramStart"/>
            <w:r w:rsidRPr="00E408BF">
              <w:rPr>
                <w:b/>
              </w:rPr>
              <w:t>jour:</w:t>
            </w:r>
            <w:proofErr w:type="gramEnd"/>
            <w:r w:rsidRPr="00E408BF">
              <w:rPr>
                <w:b/>
              </w:rPr>
              <w:t xml:space="preserve"> PL 2</w:t>
            </w:r>
          </w:p>
        </w:tc>
        <w:tc>
          <w:tcPr>
            <w:tcW w:w="5245" w:type="dxa"/>
          </w:tcPr>
          <w:p w14:paraId="4D674EC6" w14:textId="77777777" w:rsidR="00F3555B" w:rsidRPr="00E408BF" w:rsidRDefault="00F3555B" w:rsidP="00C05822">
            <w:pPr>
              <w:tabs>
                <w:tab w:val="left" w:pos="851"/>
              </w:tabs>
              <w:spacing w:before="0" w:line="240" w:lineRule="atLeast"/>
              <w:jc w:val="right"/>
              <w:rPr>
                <w:b/>
              </w:rPr>
            </w:pPr>
            <w:r w:rsidRPr="00E408BF">
              <w:rPr>
                <w:b/>
              </w:rPr>
              <w:t xml:space="preserve">Document </w:t>
            </w:r>
            <w:proofErr w:type="spellStart"/>
            <w:r w:rsidRPr="00E408BF">
              <w:rPr>
                <w:b/>
              </w:rPr>
              <w:t>C26</w:t>
            </w:r>
            <w:proofErr w:type="spellEnd"/>
            <w:r w:rsidRPr="00E408BF">
              <w:rPr>
                <w:b/>
              </w:rPr>
              <w:t>/25-F</w:t>
            </w:r>
          </w:p>
        </w:tc>
      </w:tr>
      <w:tr w:rsidR="00F3555B" w:rsidRPr="00E408BF" w14:paraId="2A058793" w14:textId="77777777" w:rsidTr="00C05822">
        <w:trPr>
          <w:cantSplit/>
        </w:trPr>
        <w:tc>
          <w:tcPr>
            <w:tcW w:w="3969" w:type="dxa"/>
            <w:vMerge/>
          </w:tcPr>
          <w:p w14:paraId="068E406C" w14:textId="77777777" w:rsidR="00F3555B" w:rsidRPr="00E408BF" w:rsidRDefault="00F3555B" w:rsidP="00C05822">
            <w:pPr>
              <w:tabs>
                <w:tab w:val="left" w:pos="851"/>
              </w:tabs>
              <w:spacing w:line="240" w:lineRule="atLeast"/>
              <w:rPr>
                <w:b/>
              </w:rPr>
            </w:pPr>
          </w:p>
        </w:tc>
        <w:tc>
          <w:tcPr>
            <w:tcW w:w="5245" w:type="dxa"/>
          </w:tcPr>
          <w:p w14:paraId="1A4A28A2" w14:textId="77777777" w:rsidR="00F3555B" w:rsidRPr="00E408BF" w:rsidRDefault="00F3555B" w:rsidP="00C05822">
            <w:pPr>
              <w:tabs>
                <w:tab w:val="left" w:pos="851"/>
              </w:tabs>
              <w:spacing w:before="0"/>
              <w:jc w:val="right"/>
              <w:rPr>
                <w:b/>
              </w:rPr>
            </w:pPr>
            <w:r w:rsidRPr="00E408BF">
              <w:rPr>
                <w:b/>
              </w:rPr>
              <w:t>30 mars 2026</w:t>
            </w:r>
          </w:p>
        </w:tc>
      </w:tr>
      <w:tr w:rsidR="00F3555B" w:rsidRPr="00E408BF" w14:paraId="3834556F" w14:textId="77777777" w:rsidTr="00C05822">
        <w:trPr>
          <w:cantSplit/>
          <w:trHeight w:val="23"/>
        </w:trPr>
        <w:tc>
          <w:tcPr>
            <w:tcW w:w="3969" w:type="dxa"/>
            <w:vMerge/>
          </w:tcPr>
          <w:p w14:paraId="312ED923" w14:textId="77777777" w:rsidR="00F3555B" w:rsidRPr="00E408BF" w:rsidRDefault="00F3555B" w:rsidP="00C05822">
            <w:pPr>
              <w:tabs>
                <w:tab w:val="left" w:pos="851"/>
              </w:tabs>
              <w:spacing w:line="240" w:lineRule="atLeast"/>
              <w:rPr>
                <w:b/>
              </w:rPr>
            </w:pPr>
          </w:p>
        </w:tc>
        <w:tc>
          <w:tcPr>
            <w:tcW w:w="5245" w:type="dxa"/>
          </w:tcPr>
          <w:p w14:paraId="6D4CD92C" w14:textId="77777777" w:rsidR="00F3555B" w:rsidRPr="00E408BF" w:rsidRDefault="00F3555B" w:rsidP="00C05822">
            <w:pPr>
              <w:tabs>
                <w:tab w:val="left" w:pos="851"/>
              </w:tabs>
              <w:spacing w:before="0" w:line="240" w:lineRule="atLeast"/>
              <w:jc w:val="right"/>
              <w:rPr>
                <w:b/>
              </w:rPr>
            </w:pPr>
            <w:proofErr w:type="gramStart"/>
            <w:r w:rsidRPr="00E408BF">
              <w:rPr>
                <w:b/>
              </w:rPr>
              <w:t>Original:</w:t>
            </w:r>
            <w:proofErr w:type="gramEnd"/>
            <w:r w:rsidRPr="00E408BF">
              <w:rPr>
                <w:b/>
              </w:rPr>
              <w:t xml:space="preserve"> anglais</w:t>
            </w:r>
          </w:p>
        </w:tc>
      </w:tr>
      <w:tr w:rsidR="00F3555B" w:rsidRPr="00E408BF" w14:paraId="6A1E610A" w14:textId="77777777" w:rsidTr="00C05822">
        <w:trPr>
          <w:cantSplit/>
          <w:trHeight w:val="23"/>
        </w:trPr>
        <w:tc>
          <w:tcPr>
            <w:tcW w:w="3969" w:type="dxa"/>
          </w:tcPr>
          <w:p w14:paraId="4ABE6541" w14:textId="77777777" w:rsidR="00F3555B" w:rsidRPr="00E408BF" w:rsidRDefault="00F3555B" w:rsidP="00C05822">
            <w:pPr>
              <w:tabs>
                <w:tab w:val="left" w:pos="851"/>
              </w:tabs>
              <w:spacing w:line="240" w:lineRule="atLeast"/>
              <w:rPr>
                <w:b/>
              </w:rPr>
            </w:pPr>
          </w:p>
        </w:tc>
        <w:tc>
          <w:tcPr>
            <w:tcW w:w="5245" w:type="dxa"/>
          </w:tcPr>
          <w:p w14:paraId="053F57F7" w14:textId="77777777" w:rsidR="00F3555B" w:rsidRPr="00E408BF" w:rsidRDefault="00F3555B" w:rsidP="00C05822">
            <w:pPr>
              <w:tabs>
                <w:tab w:val="left" w:pos="851"/>
              </w:tabs>
              <w:spacing w:before="0" w:line="240" w:lineRule="atLeast"/>
              <w:jc w:val="right"/>
              <w:rPr>
                <w:b/>
              </w:rPr>
            </w:pPr>
          </w:p>
        </w:tc>
      </w:tr>
      <w:tr w:rsidR="00F3555B" w:rsidRPr="00E408BF" w14:paraId="33551FD7" w14:textId="77777777" w:rsidTr="00C05822">
        <w:trPr>
          <w:cantSplit/>
        </w:trPr>
        <w:tc>
          <w:tcPr>
            <w:tcW w:w="9214" w:type="dxa"/>
            <w:gridSpan w:val="2"/>
            <w:tcMar>
              <w:left w:w="0" w:type="dxa"/>
            </w:tcMar>
          </w:tcPr>
          <w:p w14:paraId="2A7DB352" w14:textId="77777777" w:rsidR="00F3555B" w:rsidRPr="00516E3F" w:rsidRDefault="00F3555B" w:rsidP="00516E3F">
            <w:pPr>
              <w:pStyle w:val="Source-Council"/>
            </w:pPr>
            <w:r w:rsidRPr="00516E3F">
              <w:t>Rapport de la Secrétaire générale</w:t>
            </w:r>
          </w:p>
        </w:tc>
      </w:tr>
      <w:tr w:rsidR="00F3555B" w:rsidRPr="00E408BF" w14:paraId="6FAF5207" w14:textId="77777777" w:rsidTr="00C05822">
        <w:trPr>
          <w:cantSplit/>
        </w:trPr>
        <w:tc>
          <w:tcPr>
            <w:tcW w:w="9214" w:type="dxa"/>
            <w:gridSpan w:val="2"/>
            <w:tcMar>
              <w:left w:w="0" w:type="dxa"/>
            </w:tcMar>
          </w:tcPr>
          <w:p w14:paraId="63B346C8" w14:textId="77777777" w:rsidR="00F3555B" w:rsidRPr="00E408BF" w:rsidRDefault="00F3555B" w:rsidP="00C05822">
            <w:pPr>
              <w:pStyle w:val="Subtitle"/>
              <w:framePr w:hSpace="0" w:wrap="auto" w:hAnchor="text" w:xAlign="left" w:yAlign="inline"/>
              <w:rPr>
                <w:sz w:val="32"/>
                <w:szCs w:val="32"/>
                <w:lang w:val="fr-FR"/>
              </w:rPr>
            </w:pPr>
            <w:r w:rsidRPr="00E408BF">
              <w:rPr>
                <w:rFonts w:cstheme="minorHAnsi"/>
                <w:sz w:val="32"/>
                <w:szCs w:val="32"/>
                <w:lang w:val="fr-FR"/>
              </w:rPr>
              <w:t>RENFORCER LA PRÉSENCE RÉGIONALE DE L'UIT</w:t>
            </w:r>
          </w:p>
        </w:tc>
      </w:tr>
      <w:tr w:rsidR="00F3555B" w:rsidRPr="00E408BF" w14:paraId="7D93EBBB" w14:textId="77777777" w:rsidTr="00C05822">
        <w:trPr>
          <w:cantSplit/>
        </w:trPr>
        <w:tc>
          <w:tcPr>
            <w:tcW w:w="9214" w:type="dxa"/>
            <w:gridSpan w:val="2"/>
            <w:tcBorders>
              <w:top w:val="single" w:sz="4" w:space="0" w:color="auto"/>
              <w:bottom w:val="single" w:sz="4" w:space="0" w:color="auto"/>
            </w:tcBorders>
            <w:tcMar>
              <w:left w:w="0" w:type="dxa"/>
            </w:tcMar>
          </w:tcPr>
          <w:p w14:paraId="33EABB8C" w14:textId="77777777" w:rsidR="00F3555B" w:rsidRPr="00E408BF" w:rsidRDefault="00F3555B" w:rsidP="00C05822">
            <w:pPr>
              <w:spacing w:before="160"/>
              <w:rPr>
                <w:b/>
                <w:bCs/>
                <w:sz w:val="26"/>
                <w:szCs w:val="26"/>
              </w:rPr>
            </w:pPr>
            <w:r w:rsidRPr="00E408BF">
              <w:rPr>
                <w:b/>
                <w:bCs/>
                <w:sz w:val="26"/>
                <w:szCs w:val="26"/>
              </w:rPr>
              <w:t>Objet</w:t>
            </w:r>
          </w:p>
          <w:p w14:paraId="4F29BE01" w14:textId="77777777" w:rsidR="00F3555B" w:rsidRPr="00E408BF" w:rsidRDefault="00F3555B" w:rsidP="00C05822">
            <w:r w:rsidRPr="00E408BF">
              <w:t>Le présent document rend compte de la contribution de la présence régionale de l'UIT à l'accomplissement du mandat de l'Union. Il donne des renseignements sur les activités menées au niveau régional pour mettre en application le Plan stratégique de l'UIT, le Plan d'action de Kigali, adopté à la Conférence mondiale de développement des télécommunications (</w:t>
            </w:r>
            <w:proofErr w:type="spellStart"/>
            <w:r w:rsidRPr="00E408BF">
              <w:t>CMDT</w:t>
            </w:r>
            <w:proofErr w:type="spellEnd"/>
            <w:r w:rsidRPr="00E408BF">
              <w:t>) de 2022, le Plan d'action de Bakou, récemment adopté par la </w:t>
            </w:r>
            <w:proofErr w:type="spellStart"/>
            <w:r w:rsidRPr="00E408BF">
              <w:t>CMDT</w:t>
            </w:r>
            <w:proofErr w:type="spellEnd"/>
            <w:r w:rsidRPr="00E408BF">
              <w:t>-25, et les initiatives régionales.</w:t>
            </w:r>
          </w:p>
          <w:p w14:paraId="0F6B0588" w14:textId="77777777" w:rsidR="00F3555B" w:rsidRPr="00E408BF" w:rsidRDefault="00F3555B" w:rsidP="00C05822">
            <w:pPr>
              <w:spacing w:before="160"/>
              <w:rPr>
                <w:b/>
                <w:bCs/>
                <w:sz w:val="26"/>
                <w:szCs w:val="26"/>
              </w:rPr>
            </w:pPr>
            <w:proofErr w:type="gramStart"/>
            <w:r w:rsidRPr="00E408BF">
              <w:rPr>
                <w:b/>
                <w:bCs/>
                <w:sz w:val="26"/>
                <w:szCs w:val="26"/>
              </w:rPr>
              <w:t>Suite à</w:t>
            </w:r>
            <w:proofErr w:type="gramEnd"/>
            <w:r w:rsidRPr="00E408BF">
              <w:rPr>
                <w:b/>
                <w:bCs/>
                <w:sz w:val="26"/>
                <w:szCs w:val="26"/>
              </w:rPr>
              <w:t xml:space="preserve"> donner par le Conseil</w:t>
            </w:r>
          </w:p>
          <w:p w14:paraId="17BFEBBB" w14:textId="77777777" w:rsidR="00F3555B" w:rsidRPr="00E408BF" w:rsidRDefault="00F3555B" w:rsidP="00C05822">
            <w:r w:rsidRPr="00E408BF">
              <w:t xml:space="preserve">Le Conseil est invité à </w:t>
            </w:r>
            <w:r w:rsidRPr="00E408BF">
              <w:rPr>
                <w:b/>
                <w:bCs/>
              </w:rPr>
              <w:t>prendre note</w:t>
            </w:r>
            <w:r w:rsidRPr="00E408BF">
              <w:t xml:space="preserve"> du présent document.</w:t>
            </w:r>
          </w:p>
          <w:p w14:paraId="38C316B0" w14:textId="77777777" w:rsidR="00F3555B" w:rsidRPr="00E408BF" w:rsidRDefault="00F3555B" w:rsidP="00C05822">
            <w:pPr>
              <w:spacing w:before="160"/>
              <w:rPr>
                <w:b/>
                <w:bCs/>
                <w:sz w:val="26"/>
                <w:szCs w:val="26"/>
              </w:rPr>
            </w:pPr>
            <w:r w:rsidRPr="00E408BF">
              <w:rPr>
                <w:b/>
                <w:bCs/>
                <w:sz w:val="26"/>
                <w:szCs w:val="26"/>
              </w:rPr>
              <w:t>Lien pertinent avec le plan stratégique</w:t>
            </w:r>
          </w:p>
          <w:p w14:paraId="2F4A28CB" w14:textId="77777777" w:rsidR="00F3555B" w:rsidRPr="00E408BF" w:rsidRDefault="00F3555B" w:rsidP="00C05822">
            <w:r w:rsidRPr="00E408BF">
              <w:t>Présence régionale.</w:t>
            </w:r>
          </w:p>
          <w:p w14:paraId="4B0BB8D4" w14:textId="77777777" w:rsidR="00F3555B" w:rsidRPr="00E408BF" w:rsidRDefault="00F3555B" w:rsidP="00C05822">
            <w:pPr>
              <w:spacing w:before="160"/>
              <w:rPr>
                <w:b/>
                <w:bCs/>
                <w:sz w:val="26"/>
                <w:szCs w:val="26"/>
              </w:rPr>
            </w:pPr>
            <w:r w:rsidRPr="00E408BF">
              <w:rPr>
                <w:b/>
                <w:bCs/>
                <w:sz w:val="26"/>
                <w:szCs w:val="26"/>
              </w:rPr>
              <w:t>Incidences financières</w:t>
            </w:r>
          </w:p>
          <w:p w14:paraId="1BBE88FD" w14:textId="77777777" w:rsidR="00F3555B" w:rsidRPr="00E408BF" w:rsidRDefault="00F3555B" w:rsidP="00C05822">
            <w:pPr>
              <w:rPr>
                <w:szCs w:val="24"/>
              </w:rPr>
            </w:pPr>
            <w:r w:rsidRPr="00E408BF">
              <w:rPr>
                <w:szCs w:val="24"/>
              </w:rPr>
              <w:t xml:space="preserve">Dans les limites du budget alloué pour 2024-2025. Fonds alloués aux initiatives régionales de la </w:t>
            </w:r>
            <w:proofErr w:type="spellStart"/>
            <w:r w:rsidRPr="00E408BF">
              <w:rPr>
                <w:szCs w:val="24"/>
              </w:rPr>
              <w:t>CMDT</w:t>
            </w:r>
            <w:proofErr w:type="spellEnd"/>
            <w:r w:rsidRPr="00E408BF">
              <w:rPr>
                <w:szCs w:val="24"/>
              </w:rPr>
              <w:t>-25 pour la période 2026-2029.</w:t>
            </w:r>
          </w:p>
          <w:p w14:paraId="779A21EE" w14:textId="77777777" w:rsidR="00F3555B" w:rsidRPr="00E408BF" w:rsidRDefault="00F3555B" w:rsidP="00C05822">
            <w:pPr>
              <w:spacing w:before="160"/>
              <w:rPr>
                <w:caps/>
                <w:sz w:val="22"/>
              </w:rPr>
            </w:pPr>
            <w:r w:rsidRPr="00E408BF">
              <w:rPr>
                <w:sz w:val="22"/>
              </w:rPr>
              <w:t>__________________</w:t>
            </w:r>
          </w:p>
          <w:p w14:paraId="6F14A75C" w14:textId="77777777" w:rsidR="00F3555B" w:rsidRPr="00E408BF" w:rsidRDefault="00F3555B" w:rsidP="00C05822">
            <w:pPr>
              <w:spacing w:before="160"/>
              <w:rPr>
                <w:b/>
                <w:bCs/>
                <w:sz w:val="26"/>
                <w:szCs w:val="26"/>
              </w:rPr>
            </w:pPr>
            <w:r w:rsidRPr="00E408BF">
              <w:rPr>
                <w:b/>
                <w:bCs/>
                <w:sz w:val="26"/>
                <w:szCs w:val="26"/>
              </w:rPr>
              <w:t>Références</w:t>
            </w:r>
          </w:p>
          <w:p w14:paraId="06657707" w14:textId="77777777" w:rsidR="00F3555B" w:rsidRPr="005E0C2E" w:rsidRDefault="00F3555B" w:rsidP="005E0C2E">
            <w:pPr>
              <w:pStyle w:val="Referencetext"/>
              <w:framePr w:hSpace="0" w:wrap="auto" w:vAnchor="margin" w:hAnchor="text" w:xAlign="left" w:yAlign="inline"/>
              <w:jc w:val="both"/>
            </w:pPr>
            <w:r w:rsidRPr="005E0C2E">
              <w:t xml:space="preserve">Résolution </w:t>
            </w:r>
            <w:hyperlink r:id="rId26" w:history="1">
              <w:r w:rsidRPr="005E0C2E">
                <w:rPr>
                  <w:rStyle w:val="Hyperlink"/>
                </w:rPr>
                <w:t>25</w:t>
              </w:r>
            </w:hyperlink>
            <w:r w:rsidRPr="005E0C2E">
              <w:t xml:space="preserve"> (Rév. Bucarest, 2022), Résolution </w:t>
            </w:r>
            <w:hyperlink r:id="rId27" w:history="1">
              <w:r w:rsidRPr="005E0C2E">
                <w:rPr>
                  <w:rStyle w:val="Hyperlink"/>
                </w:rPr>
                <w:t>135</w:t>
              </w:r>
            </w:hyperlink>
            <w:r w:rsidRPr="005E0C2E">
              <w:t xml:space="preserve"> (Rév. Bucarest, 2022) et Résolution </w:t>
            </w:r>
            <w:hyperlink r:id="rId28" w:history="1">
              <w:r w:rsidRPr="005E0C2E">
                <w:rPr>
                  <w:rStyle w:val="Hyperlink"/>
                </w:rPr>
                <w:t>157</w:t>
              </w:r>
            </w:hyperlink>
            <w:r w:rsidRPr="005E0C2E">
              <w:t xml:space="preserve"> (Rév. Bucarest, 2022) de la Conférence de </w:t>
            </w:r>
            <w:proofErr w:type="gramStart"/>
            <w:r w:rsidRPr="005E0C2E">
              <w:t>plénipotentiaires;</w:t>
            </w:r>
            <w:proofErr w:type="gramEnd"/>
            <w:r w:rsidRPr="005E0C2E">
              <w:t xml:space="preserve"> </w:t>
            </w:r>
            <w:hyperlink r:id="rId29" w:history="1">
              <w:r w:rsidRPr="005E0C2E">
                <w:rPr>
                  <w:rStyle w:val="Hyperlink"/>
                </w:rPr>
                <w:t xml:space="preserve">Rapport final de la </w:t>
              </w:r>
              <w:proofErr w:type="spellStart"/>
              <w:r w:rsidRPr="005E0C2E">
                <w:rPr>
                  <w:rStyle w:val="Hyperlink"/>
                </w:rPr>
                <w:t>CMDT</w:t>
              </w:r>
              <w:proofErr w:type="spellEnd"/>
              <w:r w:rsidRPr="005E0C2E">
                <w:rPr>
                  <w:rStyle w:val="Hyperlink"/>
                </w:rPr>
                <w:t>-22</w:t>
              </w:r>
            </w:hyperlink>
            <w:r w:rsidRPr="005E0C2E">
              <w:t xml:space="preserve"> (Plan d'action de Kigali) et </w:t>
            </w:r>
            <w:hyperlink r:id="rId30" w:history="1">
              <w:r w:rsidRPr="005E0C2E">
                <w:rPr>
                  <w:rStyle w:val="Hyperlink"/>
                </w:rPr>
                <w:t xml:space="preserve">Rapport final de la </w:t>
              </w:r>
              <w:proofErr w:type="spellStart"/>
              <w:r w:rsidRPr="005E0C2E">
                <w:rPr>
                  <w:rStyle w:val="Hyperlink"/>
                </w:rPr>
                <w:t>CMDT</w:t>
              </w:r>
              <w:proofErr w:type="spellEnd"/>
              <w:r w:rsidRPr="005E0C2E">
                <w:rPr>
                  <w:rStyle w:val="Hyperlink"/>
                </w:rPr>
                <w:t>-25</w:t>
              </w:r>
            </w:hyperlink>
            <w:r w:rsidRPr="005E0C2E">
              <w:t xml:space="preserve"> (Plan d'action de Bakou</w:t>
            </w:r>
            <w:proofErr w:type="gramStart"/>
            <w:r w:rsidRPr="005E0C2E">
              <w:t>);</w:t>
            </w:r>
            <w:proofErr w:type="gramEnd"/>
            <w:r w:rsidRPr="005E0C2E">
              <w:t xml:space="preserve"> Résolution </w:t>
            </w:r>
            <w:hyperlink r:id="rId31" w:history="1">
              <w:r w:rsidRPr="005E0C2E">
                <w:rPr>
                  <w:rStyle w:val="Hyperlink"/>
                </w:rPr>
                <w:t>17</w:t>
              </w:r>
            </w:hyperlink>
            <w:r w:rsidRPr="005E0C2E">
              <w:t xml:space="preserve"> (Rév. Bakou, 2025) et Résolution </w:t>
            </w:r>
            <w:hyperlink r:id="rId32" w:history="1">
              <w:r w:rsidRPr="005E0C2E">
                <w:rPr>
                  <w:rStyle w:val="Hyperlink"/>
                </w:rPr>
                <w:t>31</w:t>
              </w:r>
            </w:hyperlink>
            <w:r w:rsidRPr="005E0C2E">
              <w:t xml:space="preserve"> (Rév. Bakou, 2025) de la Conférence mondiale de développement des télécommunications; Documents </w:t>
            </w:r>
            <w:hyperlink r:id="rId33" w:history="1">
              <w:proofErr w:type="spellStart"/>
              <w:r w:rsidRPr="005E0C2E">
                <w:rPr>
                  <w:rStyle w:val="Hyperlink"/>
                </w:rPr>
                <w:t>C25</w:t>
              </w:r>
              <w:proofErr w:type="spellEnd"/>
              <w:r w:rsidRPr="005E0C2E">
                <w:rPr>
                  <w:rStyle w:val="Hyperlink"/>
                </w:rPr>
                <w:t>/25</w:t>
              </w:r>
            </w:hyperlink>
            <w:r w:rsidRPr="005E0C2E">
              <w:t xml:space="preserve">, </w:t>
            </w:r>
            <w:hyperlink r:id="rId34" w:history="1">
              <w:proofErr w:type="spellStart"/>
              <w:r w:rsidRPr="005E0C2E">
                <w:rPr>
                  <w:rStyle w:val="Hyperlink"/>
                </w:rPr>
                <w:t>TDAG</w:t>
              </w:r>
              <w:proofErr w:type="spellEnd"/>
              <w:r w:rsidRPr="005E0C2E">
                <w:rPr>
                  <w:rStyle w:val="Hyperlink"/>
                </w:rPr>
                <w:t>-25/24</w:t>
              </w:r>
            </w:hyperlink>
            <w:r w:rsidRPr="005E0C2E">
              <w:t xml:space="preserve">, </w:t>
            </w:r>
            <w:hyperlink r:id="rId35" w:history="1">
              <w:proofErr w:type="spellStart"/>
              <w:r w:rsidRPr="005E0C2E">
                <w:rPr>
                  <w:rStyle w:val="Hyperlink"/>
                </w:rPr>
                <w:t>WTDC-25</w:t>
              </w:r>
              <w:proofErr w:type="spellEnd"/>
              <w:r w:rsidRPr="005E0C2E">
                <w:rPr>
                  <w:rStyle w:val="Hyperlink"/>
                </w:rPr>
                <w:t>/2</w:t>
              </w:r>
            </w:hyperlink>
            <w:r w:rsidRPr="005E0C2E">
              <w:t xml:space="preserve">, </w:t>
            </w:r>
            <w:hyperlink r:id="rId36" w:history="1">
              <w:proofErr w:type="spellStart"/>
              <w:r w:rsidRPr="005E0C2E">
                <w:rPr>
                  <w:rStyle w:val="Hyperlink"/>
                </w:rPr>
                <w:t>TDAG</w:t>
              </w:r>
              <w:proofErr w:type="spellEnd"/>
              <w:r w:rsidRPr="005E0C2E">
                <w:rPr>
                  <w:rStyle w:val="Hyperlink"/>
                </w:rPr>
                <w:t>-26/19</w:t>
              </w:r>
            </w:hyperlink>
            <w:r w:rsidRPr="005E0C2E">
              <w:t xml:space="preserve">, </w:t>
            </w:r>
            <w:hyperlink r:id="rId37" w:history="1">
              <w:proofErr w:type="spellStart"/>
              <w:r w:rsidRPr="005E0C2E">
                <w:rPr>
                  <w:rStyle w:val="Hyperlink"/>
                </w:rPr>
                <w:t>TDAG</w:t>
              </w:r>
              <w:proofErr w:type="spellEnd"/>
              <w:r w:rsidRPr="005E0C2E">
                <w:rPr>
                  <w:rStyle w:val="Hyperlink"/>
                </w:rPr>
                <w:t>-26/16</w:t>
              </w:r>
            </w:hyperlink>
            <w:r w:rsidRPr="005E0C2E">
              <w:t xml:space="preserve">, </w:t>
            </w:r>
            <w:hyperlink r:id="rId38" w:history="1">
              <w:proofErr w:type="spellStart"/>
              <w:r w:rsidRPr="005E0C2E">
                <w:rPr>
                  <w:rStyle w:val="Hyperlink"/>
                </w:rPr>
                <w:t>TDAG</w:t>
              </w:r>
              <w:proofErr w:type="spellEnd"/>
              <w:r w:rsidRPr="005E0C2E">
                <w:rPr>
                  <w:rStyle w:val="Hyperlink"/>
                </w:rPr>
                <w:t>-26/8</w:t>
              </w:r>
            </w:hyperlink>
            <w:r w:rsidRPr="005E0C2E">
              <w:t xml:space="preserve"> et </w:t>
            </w:r>
            <w:hyperlink r:id="rId39" w:history="1">
              <w:proofErr w:type="spellStart"/>
              <w:r w:rsidRPr="005E0C2E">
                <w:rPr>
                  <w:rStyle w:val="Hyperlink"/>
                </w:rPr>
                <w:t>TDAG</w:t>
              </w:r>
              <w:proofErr w:type="spellEnd"/>
              <w:r w:rsidRPr="005E0C2E">
                <w:rPr>
                  <w:rStyle w:val="Hyperlink"/>
                </w:rPr>
                <w:t>-26/4</w:t>
              </w:r>
            </w:hyperlink>
            <w:r w:rsidRPr="005E0C2E">
              <w:t>.</w:t>
            </w:r>
          </w:p>
        </w:tc>
      </w:tr>
    </w:tbl>
    <w:p w14:paraId="2EC75ADF" w14:textId="77777777" w:rsidR="00F3555B" w:rsidRPr="00E408BF" w:rsidRDefault="00F3555B" w:rsidP="00F3555B">
      <w:pPr>
        <w:tabs>
          <w:tab w:val="clear" w:pos="567"/>
          <w:tab w:val="clear" w:pos="1134"/>
          <w:tab w:val="clear" w:pos="1701"/>
          <w:tab w:val="clear" w:pos="2268"/>
          <w:tab w:val="clear" w:pos="2835"/>
        </w:tabs>
        <w:overflowPunct/>
        <w:autoSpaceDE/>
        <w:autoSpaceDN/>
        <w:adjustRightInd/>
        <w:spacing w:before="0"/>
        <w:textAlignment w:val="auto"/>
      </w:pPr>
      <w:r w:rsidRPr="00E408BF">
        <w:br w:type="page"/>
      </w:r>
    </w:p>
    <w:p w14:paraId="5E82B34F" w14:textId="621E532D" w:rsidR="0060731A" w:rsidRPr="00E408BF" w:rsidRDefault="0060731A" w:rsidP="00516E3F">
      <w:pPr>
        <w:pStyle w:val="Heading1"/>
      </w:pPr>
      <w:r w:rsidRPr="00E408BF">
        <w:lastRenderedPageBreak/>
        <w:t>1</w:t>
      </w:r>
      <w:r w:rsidRPr="00E408BF">
        <w:tab/>
      </w:r>
      <w:r w:rsidR="00F3555B" w:rsidRPr="00E408BF">
        <w:t>Considérations générales</w:t>
      </w:r>
    </w:p>
    <w:p w14:paraId="5725B7B0" w14:textId="789D5FDA" w:rsidR="0060731A" w:rsidRPr="00E408BF" w:rsidRDefault="00F3555B" w:rsidP="00516E3F">
      <w:pPr>
        <w:tabs>
          <w:tab w:val="clear" w:pos="567"/>
          <w:tab w:val="left" w:pos="709"/>
        </w:tabs>
        <w:jc w:val="both"/>
      </w:pPr>
      <w:r w:rsidRPr="00E408BF">
        <w:t>1.1</w:t>
      </w:r>
      <w:r w:rsidRPr="00E408BF">
        <w:tab/>
        <w:t>En application des articles 1 et 21 de la Constitution de l'UIT et des articles 5 et 14 de la Convention de l'UIT, la Conférence de plénipotentiaires a invité l'UIT, dans sa Résolution 25 (Rév.</w:t>
      </w:r>
      <w:r w:rsidR="00CE0DBF" w:rsidRPr="00E408BF">
        <w:t> </w:t>
      </w:r>
      <w:r w:rsidRPr="00E408BF">
        <w:t>Bucarest, 2022), à "continuer de renforcer les fonctions des bureaux régionaux et des bureaux de zone, afin qu'ils puissent jouer un rôle important dans la mise en œuvre du Plan stratégique, des programmes et des projets de l'UIT, ainsi que des initiatives régionales établies dans le Plan d'action de Kigali conformément à la Résolution 17 (Rév. Kigali, 2022) de la Conférence mondiale de développement des télécommunications (</w:t>
      </w:r>
      <w:proofErr w:type="spellStart"/>
      <w:r w:rsidRPr="00E408BF">
        <w:t>CMDT</w:t>
      </w:r>
      <w:proofErr w:type="spellEnd"/>
      <w:r w:rsidRPr="00E408BF">
        <w:t xml:space="preserve">), dans les limites des ressources disponibles, notamment celles allouées par le Plan financier et celles provenant d'autres sources pertinentes, telles que les contributions volontaires et les parrainages". À la </w:t>
      </w:r>
      <w:proofErr w:type="spellStart"/>
      <w:r w:rsidRPr="00E408BF">
        <w:t>CMDT</w:t>
      </w:r>
      <w:proofErr w:type="spellEnd"/>
      <w:r w:rsidRPr="00E408BF">
        <w:t>-25, qui a eu lieu du 17 au 28 novembre 2025 à Bakou (Azerbaïdjan), sur le thème "Une connectivité universelle, efficace et financièrement abordable pour un avenir numérique inclusif et durable", les membres de l'UIT ont adopté le Plan d'action de Bakou et approuvé la Résolution 17 (Rév. Bakou, 2025), qui définit les initiatives régionales à mettre en œuvre de 2026 à 2029 dans les six régions</w:t>
      </w:r>
      <w:r w:rsidR="0060731A" w:rsidRPr="00E408BF">
        <w:t>.</w:t>
      </w:r>
    </w:p>
    <w:p w14:paraId="7C10B2FD" w14:textId="02AE7480" w:rsidR="00F3555B" w:rsidRPr="00E408BF" w:rsidRDefault="00F3555B" w:rsidP="00516E3F">
      <w:pPr>
        <w:tabs>
          <w:tab w:val="clear" w:pos="567"/>
          <w:tab w:val="left" w:pos="709"/>
        </w:tabs>
        <w:jc w:val="both"/>
      </w:pPr>
      <w:r w:rsidRPr="00E408BF">
        <w:t>1.2</w:t>
      </w:r>
      <w:r w:rsidRPr="00E408BF">
        <w:tab/>
        <w:t>La Résolution 25 (Rév. Bucarest 2022) met l'accent sur le rôle essentiel que jouent les bureaux régionaux et les bureaux de zone de l'UIT dans le renforcement de la collaboration de l'Union avec ses membres. Ces bureaux constituent un moyen d'exécuter des programmes, des projets et des activités, de diffuser des informations sur les activités de l'Union, d'instaurer des liens plus étroits avec des organisations régionales ou sous régionales et des institutions des Nations Unies, et de fournir une assistance technique aux pays ayant des besoins particuliers, y</w:t>
      </w:r>
      <w:r w:rsidR="00CE0DBF" w:rsidRPr="00E408BF">
        <w:t> </w:t>
      </w:r>
      <w:r w:rsidRPr="00E408BF">
        <w:t>compris les pays les moins avancés (PMA), les pays en développement sans littoral (</w:t>
      </w:r>
      <w:proofErr w:type="spellStart"/>
      <w:r w:rsidRPr="00E408BF">
        <w:t>PDSL</w:t>
      </w:r>
      <w:proofErr w:type="spellEnd"/>
      <w:r w:rsidRPr="00E408BF">
        <w:t>) et les petits États insulaires en développement (</w:t>
      </w:r>
      <w:proofErr w:type="spellStart"/>
      <w:r w:rsidRPr="00E408BF">
        <w:t>PEID</w:t>
      </w:r>
      <w:proofErr w:type="spellEnd"/>
      <w:r w:rsidRPr="00E408BF">
        <w:t>).</w:t>
      </w:r>
    </w:p>
    <w:p w14:paraId="2D86E0F0" w14:textId="77777777" w:rsidR="00F3555B" w:rsidRPr="00E408BF" w:rsidRDefault="00F3555B" w:rsidP="00516E3F">
      <w:pPr>
        <w:tabs>
          <w:tab w:val="clear" w:pos="567"/>
          <w:tab w:val="left" w:pos="709"/>
        </w:tabs>
        <w:jc w:val="both"/>
      </w:pPr>
      <w:r w:rsidRPr="00E408BF">
        <w:t>1.3</w:t>
      </w:r>
      <w:r w:rsidRPr="00E408BF">
        <w:tab/>
        <w:t>Le présent rapport fournit des informations sur la mise en œuvre pratique des activités des bureaux régionaux et les bureaux de zone de l'UIT concernant les trois Secteurs de l'Union.</w:t>
      </w:r>
    </w:p>
    <w:p w14:paraId="18CB2B93" w14:textId="4CEB1B25" w:rsidR="0060731A" w:rsidRPr="00E408BF" w:rsidRDefault="0060731A" w:rsidP="00516E3F">
      <w:pPr>
        <w:pStyle w:val="Heading1"/>
      </w:pPr>
      <w:r w:rsidRPr="00E408BF">
        <w:t>2</w:t>
      </w:r>
      <w:r w:rsidRPr="00E408BF">
        <w:tab/>
      </w:r>
      <w:r w:rsidR="00F3555B" w:rsidRPr="00E408BF">
        <w:t xml:space="preserve">Activités liées au Secteur du </w:t>
      </w:r>
      <w:r w:rsidR="00F3555B" w:rsidRPr="00516E3F">
        <w:t>développement</w:t>
      </w:r>
      <w:r w:rsidR="00F3555B" w:rsidRPr="00E408BF">
        <w:t xml:space="preserve"> de l'UIT et au BDT</w:t>
      </w:r>
    </w:p>
    <w:p w14:paraId="727D3002" w14:textId="0A96B899" w:rsidR="00BC5A92" w:rsidRPr="00E408BF" w:rsidRDefault="00BC5A92" w:rsidP="00516E3F">
      <w:pPr>
        <w:jc w:val="both"/>
      </w:pPr>
      <w:r w:rsidRPr="00E408BF">
        <w:t xml:space="preserve">Le Bureau de développement des télécommunications (BDT), en étroite collaboration avec le Bureau des radiocommunications (BR), le Bureau de la normalisation des télécommunications (TSB) et le Secrétariat général, continue de renforcer activement la présence régionale de l'UIT. Les bureaux régionaux et les bureaux de zone conservent un rôle essentiel, en contribuant de manière décisive à la collaboration de l'UIT avec les parties prenantes locales et les gouvernements. Un rapport détaillé sur la mise en œuvre du Plan d'action de Kigali, sur la contribution du Secteur du développement des télécommunications de l'UIT (UIT-D) </w:t>
      </w:r>
      <w:proofErr w:type="gramStart"/>
      <w:r w:rsidRPr="00E408BF">
        <w:t>au</w:t>
      </w:r>
      <w:proofErr w:type="gramEnd"/>
      <w:r w:rsidRPr="00E408BF">
        <w:t xml:space="preserve"> Plan stratégique de l'Union et sur la mise en œuvre des initiatives régionales a été publié sous la cote </w:t>
      </w:r>
      <w:proofErr w:type="spellStart"/>
      <w:r>
        <w:fldChar w:fldCharType="begin"/>
      </w:r>
      <w:r>
        <w:instrText>HYPERLINK "https://www.itu.int/md/D22-WTDC25-C-0002/fr" \h</w:instrText>
      </w:r>
      <w:r>
        <w:fldChar w:fldCharType="separate"/>
      </w:r>
      <w:r w:rsidRPr="00E408BF">
        <w:rPr>
          <w:rStyle w:val="Hyperlink"/>
          <w:rFonts w:eastAsiaTheme="minorEastAsia"/>
        </w:rPr>
        <w:t>WTDC-25</w:t>
      </w:r>
      <w:proofErr w:type="spellEnd"/>
      <w:r w:rsidRPr="00E408BF">
        <w:rPr>
          <w:rStyle w:val="Hyperlink"/>
          <w:rFonts w:eastAsiaTheme="minorEastAsia"/>
        </w:rPr>
        <w:t>/2</w:t>
      </w:r>
      <w:r>
        <w:fldChar w:fldCharType="end"/>
      </w:r>
      <w:r w:rsidRPr="00E408BF">
        <w:rPr>
          <w:rFonts w:eastAsiaTheme="minorEastAsia"/>
        </w:rPr>
        <w:t>.</w:t>
      </w:r>
    </w:p>
    <w:p w14:paraId="45536DCF" w14:textId="013A69D5" w:rsidR="0060731A" w:rsidRPr="00E408BF" w:rsidRDefault="0060731A" w:rsidP="00516E3F">
      <w:pPr>
        <w:pStyle w:val="Heading2"/>
      </w:pPr>
      <w:r w:rsidRPr="00E408BF">
        <w:t>2.1</w:t>
      </w:r>
      <w:r w:rsidRPr="00E408BF">
        <w:tab/>
      </w:r>
      <w:r w:rsidR="00BC5A92" w:rsidRPr="00E408BF">
        <w:t>Forums régionaux sur le développement (RDF)</w:t>
      </w:r>
    </w:p>
    <w:p w14:paraId="2CA87C03" w14:textId="4EBC6AC8" w:rsidR="0060731A" w:rsidRPr="00E408BF" w:rsidRDefault="00BC5A92" w:rsidP="00516E3F">
      <w:pPr>
        <w:tabs>
          <w:tab w:val="clear" w:pos="567"/>
          <w:tab w:val="left" w:pos="709"/>
        </w:tabs>
        <w:jc w:val="both"/>
      </w:pPr>
      <w:r w:rsidRPr="00E408BF">
        <w:t>2.1.1</w:t>
      </w:r>
      <w:r w:rsidRPr="00E408BF">
        <w:tab/>
        <w:t xml:space="preserve">Entre février et avril 2025, le BDT a organisé six forums régionaux sur le développement, qui ont eu lieu juste avant les réunions préparatoires régionales de l'UIT en vue de la </w:t>
      </w:r>
      <w:proofErr w:type="spellStart"/>
      <w:r w:rsidRPr="00E408BF">
        <w:t>CMDT</w:t>
      </w:r>
      <w:proofErr w:type="spellEnd"/>
      <w:r w:rsidRPr="00E408BF">
        <w:t>-25, comme indiqué dans le Tableau 1 ci-</w:t>
      </w:r>
      <w:proofErr w:type="gramStart"/>
      <w:r w:rsidRPr="00E408BF">
        <w:t>dessous:</w:t>
      </w:r>
      <w:proofErr w:type="gramEnd"/>
    </w:p>
    <w:p w14:paraId="7246679D" w14:textId="77777777" w:rsidR="00BC5A92" w:rsidRPr="00E408BF" w:rsidRDefault="00BC5A92" w:rsidP="00BC5A92">
      <w:pPr>
        <w:pStyle w:val="TableNo"/>
      </w:pPr>
      <w:r w:rsidRPr="00E408BF">
        <w:lastRenderedPageBreak/>
        <w:t>Tableau 1</w:t>
      </w:r>
    </w:p>
    <w:p w14:paraId="1201F277" w14:textId="77777777" w:rsidR="00BC5A92" w:rsidRPr="00E408BF" w:rsidRDefault="00BC5A92" w:rsidP="00BC5A92">
      <w:pPr>
        <w:pStyle w:val="Tabletitle"/>
        <w:rPr>
          <w:bCs/>
        </w:rPr>
      </w:pPr>
      <w:r w:rsidRPr="00E408BF">
        <w:rPr>
          <w:bCs/>
        </w:rPr>
        <w:t>Dates et lieux des RDF organisés en 2025</w:t>
      </w:r>
    </w:p>
    <w:tbl>
      <w:tblPr>
        <w:tblStyle w:val="TableGrid"/>
        <w:tblW w:w="0" w:type="auto"/>
        <w:jc w:val="center"/>
        <w:tblLayout w:type="fixed"/>
        <w:tblLook w:val="04A0" w:firstRow="1" w:lastRow="0" w:firstColumn="1" w:lastColumn="0" w:noHBand="0" w:noVBand="1"/>
      </w:tblPr>
      <w:tblGrid>
        <w:gridCol w:w="1996"/>
        <w:gridCol w:w="1849"/>
        <w:gridCol w:w="1967"/>
        <w:gridCol w:w="1985"/>
      </w:tblGrid>
      <w:tr w:rsidR="00BC5A92" w:rsidRPr="00E408BF" w14:paraId="0A7F0D77" w14:textId="77777777" w:rsidTr="00542D2F">
        <w:trPr>
          <w:cantSplit/>
          <w:tblHeader/>
          <w:jc w:val="center"/>
        </w:trPr>
        <w:tc>
          <w:tcPr>
            <w:tcW w:w="1996" w:type="dxa"/>
          </w:tcPr>
          <w:p w14:paraId="377F469F" w14:textId="77777777" w:rsidR="00BC5A92" w:rsidRPr="00E408BF" w:rsidRDefault="00BC5A92" w:rsidP="00B6158D">
            <w:pPr>
              <w:pStyle w:val="Tablehead"/>
            </w:pPr>
            <w:r w:rsidRPr="00E408BF">
              <w:t>Région</w:t>
            </w:r>
          </w:p>
        </w:tc>
        <w:tc>
          <w:tcPr>
            <w:tcW w:w="1849" w:type="dxa"/>
          </w:tcPr>
          <w:p w14:paraId="28C50CC4" w14:textId="77777777" w:rsidR="00BC5A92" w:rsidRPr="00E408BF" w:rsidRDefault="00BC5A92" w:rsidP="00B6158D">
            <w:pPr>
              <w:pStyle w:val="Tablehead"/>
            </w:pPr>
            <w:r w:rsidRPr="00E408BF">
              <w:t>Dates</w:t>
            </w:r>
          </w:p>
        </w:tc>
        <w:tc>
          <w:tcPr>
            <w:tcW w:w="1967" w:type="dxa"/>
          </w:tcPr>
          <w:p w14:paraId="2A878E3A" w14:textId="77777777" w:rsidR="00BC5A92" w:rsidRPr="00E408BF" w:rsidRDefault="00BC5A92" w:rsidP="00B6158D">
            <w:pPr>
              <w:pStyle w:val="Tablehead"/>
            </w:pPr>
            <w:r w:rsidRPr="00E408BF">
              <w:t>Ville d'accueil et pays hôte</w:t>
            </w:r>
          </w:p>
        </w:tc>
        <w:tc>
          <w:tcPr>
            <w:tcW w:w="1985" w:type="dxa"/>
          </w:tcPr>
          <w:p w14:paraId="2D680470" w14:textId="77777777" w:rsidR="00BC5A92" w:rsidRPr="00E408BF" w:rsidRDefault="00BC5A92" w:rsidP="00B6158D">
            <w:pPr>
              <w:pStyle w:val="Tablehead"/>
            </w:pPr>
            <w:r w:rsidRPr="00E408BF">
              <w:t>Site web</w:t>
            </w:r>
          </w:p>
        </w:tc>
      </w:tr>
      <w:tr w:rsidR="00BC5A92" w:rsidRPr="00E408BF" w14:paraId="47FB544E" w14:textId="77777777" w:rsidTr="00542D2F">
        <w:trPr>
          <w:cantSplit/>
          <w:jc w:val="center"/>
        </w:trPr>
        <w:tc>
          <w:tcPr>
            <w:tcW w:w="1996" w:type="dxa"/>
          </w:tcPr>
          <w:p w14:paraId="47343A5D" w14:textId="77777777" w:rsidR="00BC5A92" w:rsidRPr="00E408BF" w:rsidRDefault="00BC5A92" w:rsidP="00AC7137">
            <w:pPr>
              <w:pStyle w:val="Tabletext"/>
              <w:jc w:val="center"/>
            </w:pPr>
            <w:hyperlink r:id="rId40" w:anchor="/fr" w:history="1">
              <w:r w:rsidRPr="00E408BF">
                <w:t>RDF</w:t>
              </w:r>
            </w:hyperlink>
            <w:r w:rsidRPr="00E408BF">
              <w:t>-ARB</w:t>
            </w:r>
          </w:p>
        </w:tc>
        <w:tc>
          <w:tcPr>
            <w:tcW w:w="1849" w:type="dxa"/>
          </w:tcPr>
          <w:p w14:paraId="39AFDB1A" w14:textId="77777777" w:rsidR="00BC5A92" w:rsidRPr="00E408BF" w:rsidRDefault="00BC5A92" w:rsidP="00AC7137">
            <w:pPr>
              <w:pStyle w:val="Tabletext"/>
              <w:jc w:val="center"/>
            </w:pPr>
            <w:r w:rsidRPr="00E408BF">
              <w:t>3 février 2025</w:t>
            </w:r>
          </w:p>
        </w:tc>
        <w:tc>
          <w:tcPr>
            <w:tcW w:w="1967" w:type="dxa"/>
          </w:tcPr>
          <w:p w14:paraId="2A753BB4" w14:textId="77777777" w:rsidR="00BC5A92" w:rsidRPr="00E408BF" w:rsidRDefault="00BC5A92" w:rsidP="00B6158D">
            <w:pPr>
              <w:pStyle w:val="Tabletext"/>
            </w:pPr>
            <w:r w:rsidRPr="00E408BF">
              <w:t>Amman (Jordanie)</w:t>
            </w:r>
          </w:p>
        </w:tc>
        <w:tc>
          <w:tcPr>
            <w:tcW w:w="1985" w:type="dxa"/>
          </w:tcPr>
          <w:p w14:paraId="6E803843" w14:textId="77777777" w:rsidR="00BC5A92" w:rsidRPr="00E408BF" w:rsidRDefault="00BC5A92" w:rsidP="00B6158D">
            <w:pPr>
              <w:pStyle w:val="Tabletext"/>
              <w:rPr>
                <w:rStyle w:val="Hyperlink"/>
              </w:rPr>
            </w:pPr>
            <w:hyperlink r:id="rId41" w:anchor="/fr" w:history="1">
              <w:r w:rsidRPr="00E408BF">
                <w:rPr>
                  <w:rStyle w:val="Hyperlink"/>
                </w:rPr>
                <w:t>Page de la manifestation</w:t>
              </w:r>
            </w:hyperlink>
          </w:p>
        </w:tc>
      </w:tr>
      <w:tr w:rsidR="00BC5A92" w:rsidRPr="00E408BF" w14:paraId="2DA972D6" w14:textId="77777777" w:rsidTr="00542D2F">
        <w:trPr>
          <w:cantSplit/>
          <w:jc w:val="center"/>
        </w:trPr>
        <w:tc>
          <w:tcPr>
            <w:tcW w:w="1996" w:type="dxa"/>
          </w:tcPr>
          <w:p w14:paraId="0FDE18D1" w14:textId="77777777" w:rsidR="00BC5A92" w:rsidRPr="00E408BF" w:rsidRDefault="00BC5A92" w:rsidP="00AC7137">
            <w:pPr>
              <w:pStyle w:val="Tabletext"/>
              <w:jc w:val="center"/>
            </w:pPr>
            <w:hyperlink r:id="rId42" w:anchor="/fr" w:history="1">
              <w:r w:rsidRPr="00E408BF">
                <w:t>RDF</w:t>
              </w:r>
            </w:hyperlink>
            <w:r w:rsidRPr="00E408BF">
              <w:t>-EUR</w:t>
            </w:r>
          </w:p>
        </w:tc>
        <w:tc>
          <w:tcPr>
            <w:tcW w:w="1849" w:type="dxa"/>
          </w:tcPr>
          <w:p w14:paraId="566AD3A7" w14:textId="77777777" w:rsidR="00BC5A92" w:rsidRPr="00E408BF" w:rsidRDefault="00BC5A92" w:rsidP="00AC7137">
            <w:pPr>
              <w:pStyle w:val="Tabletext"/>
              <w:jc w:val="center"/>
            </w:pPr>
            <w:r w:rsidRPr="00E408BF">
              <w:t>24 février 2025</w:t>
            </w:r>
          </w:p>
        </w:tc>
        <w:tc>
          <w:tcPr>
            <w:tcW w:w="1967" w:type="dxa"/>
          </w:tcPr>
          <w:p w14:paraId="5B46A3AE" w14:textId="77777777" w:rsidR="00BC5A92" w:rsidRPr="00E408BF" w:rsidRDefault="00BC5A92" w:rsidP="00B6158D">
            <w:pPr>
              <w:pStyle w:val="Tabletext"/>
            </w:pPr>
            <w:r w:rsidRPr="00E408BF">
              <w:t>Budapest (Hongrie)</w:t>
            </w:r>
          </w:p>
        </w:tc>
        <w:tc>
          <w:tcPr>
            <w:tcW w:w="1985" w:type="dxa"/>
          </w:tcPr>
          <w:p w14:paraId="40022746" w14:textId="77777777" w:rsidR="00BC5A92" w:rsidRPr="00E408BF" w:rsidRDefault="00BC5A92" w:rsidP="00B6158D">
            <w:pPr>
              <w:pStyle w:val="Tabletext"/>
              <w:rPr>
                <w:rStyle w:val="Hyperlink"/>
              </w:rPr>
            </w:pPr>
            <w:hyperlink r:id="rId43" w:anchor="/fr" w:history="1">
              <w:r w:rsidRPr="00E408BF">
                <w:rPr>
                  <w:rStyle w:val="Hyperlink"/>
                </w:rPr>
                <w:t>Page de la manifestation</w:t>
              </w:r>
            </w:hyperlink>
          </w:p>
        </w:tc>
      </w:tr>
      <w:tr w:rsidR="00BC5A92" w:rsidRPr="00E408BF" w14:paraId="6C906428" w14:textId="77777777" w:rsidTr="00542D2F">
        <w:trPr>
          <w:cantSplit/>
          <w:jc w:val="center"/>
        </w:trPr>
        <w:tc>
          <w:tcPr>
            <w:tcW w:w="1996" w:type="dxa"/>
          </w:tcPr>
          <w:p w14:paraId="58A73D61" w14:textId="77777777" w:rsidR="00BC5A92" w:rsidRPr="00E408BF" w:rsidRDefault="00BC5A92" w:rsidP="00AC7137">
            <w:pPr>
              <w:pStyle w:val="Tabletext"/>
              <w:jc w:val="center"/>
            </w:pPr>
            <w:hyperlink r:id="rId44" w:anchor="/fr" w:history="1">
              <w:r w:rsidRPr="00E408BF">
                <w:t>RDF</w:t>
              </w:r>
            </w:hyperlink>
            <w:r w:rsidRPr="00E408BF">
              <w:t>-ASP</w:t>
            </w:r>
          </w:p>
        </w:tc>
        <w:tc>
          <w:tcPr>
            <w:tcW w:w="1849" w:type="dxa"/>
          </w:tcPr>
          <w:p w14:paraId="22EA9093" w14:textId="77777777" w:rsidR="00BC5A92" w:rsidRPr="00E408BF" w:rsidRDefault="00BC5A92" w:rsidP="00AC7137">
            <w:pPr>
              <w:pStyle w:val="Tabletext"/>
              <w:jc w:val="center"/>
            </w:pPr>
            <w:r w:rsidRPr="00E408BF">
              <w:t>19 mars 2025</w:t>
            </w:r>
          </w:p>
        </w:tc>
        <w:tc>
          <w:tcPr>
            <w:tcW w:w="1967" w:type="dxa"/>
          </w:tcPr>
          <w:p w14:paraId="1BB9252E" w14:textId="77777777" w:rsidR="00BC5A92" w:rsidRPr="00E408BF" w:rsidRDefault="00BC5A92" w:rsidP="00B6158D">
            <w:pPr>
              <w:pStyle w:val="Tabletext"/>
            </w:pPr>
            <w:r w:rsidRPr="00E408BF">
              <w:t>Bangkok (Thaïlande)</w:t>
            </w:r>
          </w:p>
        </w:tc>
        <w:tc>
          <w:tcPr>
            <w:tcW w:w="1985" w:type="dxa"/>
          </w:tcPr>
          <w:p w14:paraId="28D41E05" w14:textId="77777777" w:rsidR="00BC5A92" w:rsidRPr="00E408BF" w:rsidRDefault="00BC5A92" w:rsidP="00B6158D">
            <w:pPr>
              <w:pStyle w:val="Tabletext"/>
              <w:rPr>
                <w:rStyle w:val="Hyperlink"/>
              </w:rPr>
            </w:pPr>
            <w:hyperlink r:id="rId45" w:anchor="/fr" w:history="1">
              <w:r w:rsidRPr="00E408BF">
                <w:rPr>
                  <w:rStyle w:val="Hyperlink"/>
                </w:rPr>
                <w:t>Page de la manifestation</w:t>
              </w:r>
            </w:hyperlink>
          </w:p>
        </w:tc>
      </w:tr>
      <w:tr w:rsidR="00BC5A92" w:rsidRPr="00E408BF" w14:paraId="100A52F8" w14:textId="77777777" w:rsidTr="00542D2F">
        <w:trPr>
          <w:cantSplit/>
          <w:jc w:val="center"/>
        </w:trPr>
        <w:tc>
          <w:tcPr>
            <w:tcW w:w="1996" w:type="dxa"/>
          </w:tcPr>
          <w:p w14:paraId="7A5F312A" w14:textId="77777777" w:rsidR="00BC5A92" w:rsidRPr="00E408BF" w:rsidRDefault="00BC5A92" w:rsidP="00AC7137">
            <w:pPr>
              <w:pStyle w:val="Tabletext"/>
              <w:jc w:val="center"/>
            </w:pPr>
            <w:hyperlink r:id="rId46" w:anchor="/fr" w:history="1">
              <w:r w:rsidRPr="00E408BF">
                <w:t>RDF</w:t>
              </w:r>
            </w:hyperlink>
            <w:r w:rsidRPr="00E408BF">
              <w:t>-AMS</w:t>
            </w:r>
          </w:p>
        </w:tc>
        <w:tc>
          <w:tcPr>
            <w:tcW w:w="1849" w:type="dxa"/>
          </w:tcPr>
          <w:p w14:paraId="30EE01FC" w14:textId="77777777" w:rsidR="00BC5A92" w:rsidRPr="00E408BF" w:rsidRDefault="00BC5A92" w:rsidP="00AC7137">
            <w:pPr>
              <w:pStyle w:val="Tabletext"/>
              <w:jc w:val="center"/>
            </w:pPr>
            <w:r w:rsidRPr="00E408BF">
              <w:t>31 mars 2025</w:t>
            </w:r>
          </w:p>
        </w:tc>
        <w:tc>
          <w:tcPr>
            <w:tcW w:w="1967" w:type="dxa"/>
          </w:tcPr>
          <w:p w14:paraId="35CEDF6A" w14:textId="77777777" w:rsidR="00BC5A92" w:rsidRPr="00E408BF" w:rsidRDefault="00BC5A92" w:rsidP="00B6158D">
            <w:pPr>
              <w:pStyle w:val="Tabletext"/>
            </w:pPr>
            <w:r w:rsidRPr="00E408BF">
              <w:t>Asunción (Paraguay)</w:t>
            </w:r>
          </w:p>
        </w:tc>
        <w:tc>
          <w:tcPr>
            <w:tcW w:w="1985" w:type="dxa"/>
          </w:tcPr>
          <w:p w14:paraId="5C5DA831" w14:textId="77777777" w:rsidR="00BC5A92" w:rsidRPr="00E408BF" w:rsidRDefault="00BC5A92" w:rsidP="00B6158D">
            <w:pPr>
              <w:pStyle w:val="Tabletext"/>
              <w:rPr>
                <w:rStyle w:val="Hyperlink"/>
              </w:rPr>
            </w:pPr>
            <w:hyperlink r:id="rId47" w:anchor="/fr" w:history="1">
              <w:r w:rsidRPr="00E408BF">
                <w:rPr>
                  <w:rStyle w:val="Hyperlink"/>
                </w:rPr>
                <w:t>Page de la manifestation</w:t>
              </w:r>
            </w:hyperlink>
          </w:p>
        </w:tc>
      </w:tr>
      <w:tr w:rsidR="00BC5A92" w:rsidRPr="00E408BF" w14:paraId="0FEA821B" w14:textId="77777777" w:rsidTr="00542D2F">
        <w:trPr>
          <w:cantSplit/>
          <w:jc w:val="center"/>
        </w:trPr>
        <w:tc>
          <w:tcPr>
            <w:tcW w:w="1996" w:type="dxa"/>
          </w:tcPr>
          <w:p w14:paraId="771DAE89" w14:textId="77777777" w:rsidR="00BC5A92" w:rsidRPr="00E408BF" w:rsidRDefault="00BC5A92" w:rsidP="00AC7137">
            <w:pPr>
              <w:pStyle w:val="Tabletext"/>
              <w:jc w:val="center"/>
            </w:pPr>
            <w:hyperlink r:id="rId48" w:anchor="/fr" w:history="1">
              <w:r w:rsidRPr="00E408BF">
                <w:t>RDF</w:t>
              </w:r>
            </w:hyperlink>
            <w:r w:rsidRPr="00E408BF">
              <w:t>-</w:t>
            </w:r>
            <w:proofErr w:type="spellStart"/>
            <w:r w:rsidRPr="00E408BF">
              <w:t>AFR</w:t>
            </w:r>
            <w:proofErr w:type="spellEnd"/>
          </w:p>
        </w:tc>
        <w:tc>
          <w:tcPr>
            <w:tcW w:w="1849" w:type="dxa"/>
          </w:tcPr>
          <w:p w14:paraId="48BDB1AF" w14:textId="77777777" w:rsidR="00BC5A92" w:rsidRPr="00E408BF" w:rsidRDefault="00BC5A92" w:rsidP="00AC7137">
            <w:pPr>
              <w:pStyle w:val="Tabletext"/>
              <w:jc w:val="center"/>
            </w:pPr>
            <w:r w:rsidRPr="00E408BF">
              <w:t>7 avril 2025</w:t>
            </w:r>
          </w:p>
        </w:tc>
        <w:tc>
          <w:tcPr>
            <w:tcW w:w="1967" w:type="dxa"/>
          </w:tcPr>
          <w:p w14:paraId="3056606A" w14:textId="77777777" w:rsidR="00BC5A92" w:rsidRPr="00E408BF" w:rsidRDefault="00BC5A92" w:rsidP="00B6158D">
            <w:pPr>
              <w:pStyle w:val="Tabletext"/>
            </w:pPr>
            <w:r w:rsidRPr="00E408BF">
              <w:t>Nairobi (Kenya)</w:t>
            </w:r>
          </w:p>
        </w:tc>
        <w:tc>
          <w:tcPr>
            <w:tcW w:w="1985" w:type="dxa"/>
          </w:tcPr>
          <w:p w14:paraId="7CBD942D" w14:textId="77777777" w:rsidR="00BC5A92" w:rsidRPr="00E408BF" w:rsidRDefault="00BC5A92" w:rsidP="00B6158D">
            <w:pPr>
              <w:pStyle w:val="Tabletext"/>
              <w:rPr>
                <w:rStyle w:val="Hyperlink"/>
              </w:rPr>
            </w:pPr>
            <w:hyperlink r:id="rId49" w:anchor="/fr" w:history="1">
              <w:r w:rsidRPr="00E408BF">
                <w:rPr>
                  <w:rStyle w:val="Hyperlink"/>
                </w:rPr>
                <w:t>Page de la manifestation</w:t>
              </w:r>
            </w:hyperlink>
          </w:p>
        </w:tc>
      </w:tr>
      <w:tr w:rsidR="00BC5A92" w:rsidRPr="00E408BF" w14:paraId="2E67A39F" w14:textId="77777777" w:rsidTr="00542D2F">
        <w:trPr>
          <w:cantSplit/>
          <w:jc w:val="center"/>
        </w:trPr>
        <w:tc>
          <w:tcPr>
            <w:tcW w:w="1996" w:type="dxa"/>
          </w:tcPr>
          <w:p w14:paraId="328DEDBF" w14:textId="77777777" w:rsidR="00BC5A92" w:rsidRPr="00E408BF" w:rsidRDefault="00BC5A92" w:rsidP="00AC7137">
            <w:pPr>
              <w:pStyle w:val="Tabletext"/>
              <w:jc w:val="center"/>
            </w:pPr>
            <w:hyperlink r:id="rId50" w:anchor="/fr" w:history="1">
              <w:r w:rsidRPr="00E408BF">
                <w:t>RDF</w:t>
              </w:r>
            </w:hyperlink>
            <w:r w:rsidRPr="00E408BF">
              <w:t>-CEI</w:t>
            </w:r>
          </w:p>
        </w:tc>
        <w:tc>
          <w:tcPr>
            <w:tcW w:w="1849" w:type="dxa"/>
          </w:tcPr>
          <w:p w14:paraId="09E68B1C" w14:textId="77777777" w:rsidR="00BC5A92" w:rsidRPr="00E408BF" w:rsidRDefault="00BC5A92" w:rsidP="00AC7137">
            <w:pPr>
              <w:pStyle w:val="Tabletext"/>
              <w:jc w:val="center"/>
            </w:pPr>
            <w:r w:rsidRPr="00E408BF">
              <w:t>23 avril 2025</w:t>
            </w:r>
          </w:p>
        </w:tc>
        <w:tc>
          <w:tcPr>
            <w:tcW w:w="1967" w:type="dxa"/>
          </w:tcPr>
          <w:p w14:paraId="6C737907" w14:textId="77777777" w:rsidR="00BC5A92" w:rsidRPr="00E408BF" w:rsidRDefault="00BC5A92" w:rsidP="00B6158D">
            <w:pPr>
              <w:pStyle w:val="Tabletext"/>
            </w:pPr>
            <w:r w:rsidRPr="00E408BF">
              <w:t>Bichkek (Kirghizistan)</w:t>
            </w:r>
          </w:p>
        </w:tc>
        <w:tc>
          <w:tcPr>
            <w:tcW w:w="1985" w:type="dxa"/>
          </w:tcPr>
          <w:p w14:paraId="24F6E2CD" w14:textId="77777777" w:rsidR="00BC5A92" w:rsidRPr="00E408BF" w:rsidRDefault="00BC5A92" w:rsidP="00B6158D">
            <w:pPr>
              <w:pStyle w:val="Tabletext"/>
              <w:rPr>
                <w:rStyle w:val="Hyperlink"/>
              </w:rPr>
            </w:pPr>
            <w:hyperlink r:id="rId51" w:anchor="/fr" w:history="1">
              <w:r w:rsidRPr="00E408BF">
                <w:rPr>
                  <w:rStyle w:val="Hyperlink"/>
                </w:rPr>
                <w:t>Page de la manifestation</w:t>
              </w:r>
            </w:hyperlink>
          </w:p>
        </w:tc>
      </w:tr>
    </w:tbl>
    <w:p w14:paraId="0FBB4B69" w14:textId="77777777" w:rsidR="00516E3F" w:rsidRDefault="00516E3F" w:rsidP="00516E3F">
      <w:pPr>
        <w:pStyle w:val="Tablefin"/>
      </w:pPr>
    </w:p>
    <w:p w14:paraId="03FE3A73" w14:textId="5B0952D3" w:rsidR="00BC5A92" w:rsidRPr="00E408BF" w:rsidRDefault="00BC5A92" w:rsidP="009310C7">
      <w:pPr>
        <w:tabs>
          <w:tab w:val="clear" w:pos="567"/>
          <w:tab w:val="left" w:pos="709"/>
        </w:tabs>
        <w:jc w:val="both"/>
      </w:pPr>
      <w:r w:rsidRPr="00E408BF">
        <w:t>2.1.2</w:t>
      </w:r>
      <w:r w:rsidRPr="00E408BF">
        <w:tab/>
        <w:t xml:space="preserve">Les Forums régionaux sur le développement ont pour objectif de favoriser les partenariats </w:t>
      </w:r>
      <w:proofErr w:type="spellStart"/>
      <w:r w:rsidRPr="00E408BF">
        <w:t>multi-parties</w:t>
      </w:r>
      <w:proofErr w:type="spellEnd"/>
      <w:r w:rsidRPr="00E408BF">
        <w:t xml:space="preserve"> prenantes entre les États Membres, les entreprises, les établissements universitaires, la société civile, le système des Nations Unies et les organismes ou organisations de développement, régionaux ou internationaux, sur des questions liées aux télécommunications/TIC. Ils offrent un cadre pour la tenue de dialogues de haut niveau entre le BDT, les États Membres et les Membres du Secteur de l'UIT-D, principalement sur la mise en œuvre des initiatives régionales et du Plan d'action de Kigali.</w:t>
      </w:r>
    </w:p>
    <w:p w14:paraId="2D5957CB" w14:textId="1932C962" w:rsidR="00BC5A92" w:rsidRPr="00E408BF" w:rsidRDefault="00BC5A92" w:rsidP="00516E3F">
      <w:pPr>
        <w:tabs>
          <w:tab w:val="clear" w:pos="567"/>
          <w:tab w:val="left" w:pos="709"/>
        </w:tabs>
        <w:jc w:val="both"/>
      </w:pPr>
      <w:r w:rsidRPr="00E408BF">
        <w:t>2.1.3</w:t>
      </w:r>
      <w:r w:rsidRPr="00E408BF">
        <w:tab/>
        <w:t xml:space="preserve">Les prochains forums régionaux sur le développement prévus en 2026 sont indiqués dans le Tableau 2 ci-dessous. Ces forums sont essentiels à la mise en œuvre du Plan d'action de Bakou, adopté par la </w:t>
      </w:r>
      <w:proofErr w:type="spellStart"/>
      <w:r w:rsidRPr="00E408BF">
        <w:t>CMDT</w:t>
      </w:r>
      <w:proofErr w:type="spellEnd"/>
      <w:r w:rsidRPr="00E408BF">
        <w:t>-25, et offrent un cadre propice au dialogue et à la collaboration stratégiques. De plus, l'inclusion de tables rondes de mise en relation est importante pour forger des projets durables, mettre en lien les partenaires et les ressources et promouvoir des activités de développement efficaces dans les régions. En favorisant ces partenariats, les forums régionaux sur le développement contribuent à garantir que les initiatives sont alignées sur les priorités régionales et concourent à la croissance et la transformation durables du secteur des TIC.</w:t>
      </w:r>
    </w:p>
    <w:p w14:paraId="57B852CF" w14:textId="77777777" w:rsidR="00BC5A92" w:rsidRPr="00E408BF" w:rsidRDefault="00BC5A92" w:rsidP="00625471">
      <w:pPr>
        <w:pStyle w:val="TableNo"/>
        <w:keepNext w:val="0"/>
        <w:widowControl w:val="0"/>
      </w:pPr>
      <w:r w:rsidRPr="00E408BF">
        <w:t>TableAU 2</w:t>
      </w:r>
    </w:p>
    <w:p w14:paraId="554DB5C6" w14:textId="77777777" w:rsidR="00BC5A92" w:rsidRPr="00E408BF" w:rsidRDefault="00BC5A92" w:rsidP="00625471">
      <w:pPr>
        <w:pStyle w:val="Tabletitle"/>
        <w:keepNext w:val="0"/>
        <w:widowControl w:val="0"/>
      </w:pPr>
      <w:r w:rsidRPr="00E408BF">
        <w:t>Dates et lieux des RDF prévus en 2026</w:t>
      </w:r>
    </w:p>
    <w:tbl>
      <w:tblPr>
        <w:tblStyle w:val="TableGrid"/>
        <w:tblW w:w="0" w:type="auto"/>
        <w:jc w:val="center"/>
        <w:tblLayout w:type="fixed"/>
        <w:tblLook w:val="04A0" w:firstRow="1" w:lastRow="0" w:firstColumn="1" w:lastColumn="0" w:noHBand="0" w:noVBand="1"/>
      </w:tblPr>
      <w:tblGrid>
        <w:gridCol w:w="1980"/>
        <w:gridCol w:w="2906"/>
        <w:gridCol w:w="2906"/>
      </w:tblGrid>
      <w:tr w:rsidR="00BC5A92" w:rsidRPr="00E408BF" w14:paraId="1077B295" w14:textId="77777777" w:rsidTr="00542D2F">
        <w:trPr>
          <w:cantSplit/>
          <w:tblHeader/>
          <w:jc w:val="center"/>
        </w:trPr>
        <w:tc>
          <w:tcPr>
            <w:tcW w:w="1980" w:type="dxa"/>
            <w:vAlign w:val="center"/>
          </w:tcPr>
          <w:p w14:paraId="5510EC92" w14:textId="77777777" w:rsidR="00BC5A92" w:rsidRPr="00E408BF" w:rsidRDefault="00BC5A92" w:rsidP="00625471">
            <w:pPr>
              <w:pStyle w:val="Tablehead"/>
              <w:widowControl w:val="0"/>
              <w:rPr>
                <w:rFonts w:eastAsia="SimSun"/>
              </w:rPr>
            </w:pPr>
            <w:r w:rsidRPr="00E408BF">
              <w:t>Région</w:t>
            </w:r>
          </w:p>
        </w:tc>
        <w:tc>
          <w:tcPr>
            <w:tcW w:w="2906" w:type="dxa"/>
            <w:vAlign w:val="center"/>
          </w:tcPr>
          <w:p w14:paraId="0550741C" w14:textId="77777777" w:rsidR="00BC5A92" w:rsidRPr="00E408BF" w:rsidRDefault="00BC5A92" w:rsidP="00625471">
            <w:pPr>
              <w:pStyle w:val="Tablehead"/>
              <w:widowControl w:val="0"/>
              <w:rPr>
                <w:rFonts w:eastAsia="SimSun"/>
              </w:rPr>
            </w:pPr>
            <w:r w:rsidRPr="00E408BF">
              <w:t>Dates</w:t>
            </w:r>
          </w:p>
        </w:tc>
        <w:tc>
          <w:tcPr>
            <w:tcW w:w="2906" w:type="dxa"/>
            <w:vAlign w:val="center"/>
          </w:tcPr>
          <w:p w14:paraId="7A830C31" w14:textId="77777777" w:rsidR="00BC5A92" w:rsidRPr="00E408BF" w:rsidRDefault="00BC5A92" w:rsidP="00625471">
            <w:pPr>
              <w:pStyle w:val="Tablehead"/>
              <w:widowControl w:val="0"/>
              <w:rPr>
                <w:rFonts w:eastAsia="SimSun"/>
              </w:rPr>
            </w:pPr>
            <w:r w:rsidRPr="00E408BF">
              <w:t>Ville d'accueil et pays hôte</w:t>
            </w:r>
          </w:p>
        </w:tc>
      </w:tr>
      <w:tr w:rsidR="00BC5A92" w:rsidRPr="00E408BF" w14:paraId="562AAE81" w14:textId="77777777" w:rsidTr="00542D2F">
        <w:trPr>
          <w:cantSplit/>
          <w:jc w:val="center"/>
        </w:trPr>
        <w:tc>
          <w:tcPr>
            <w:tcW w:w="1980" w:type="dxa"/>
          </w:tcPr>
          <w:p w14:paraId="5B0ABE7E" w14:textId="77777777" w:rsidR="00BC5A92" w:rsidRPr="00E408BF" w:rsidRDefault="00BC5A92" w:rsidP="00625471">
            <w:pPr>
              <w:pStyle w:val="Tabletext"/>
              <w:widowControl w:val="0"/>
              <w:jc w:val="center"/>
            </w:pPr>
            <w:r w:rsidRPr="00E408BF">
              <w:t>RDF-EUR</w:t>
            </w:r>
          </w:p>
        </w:tc>
        <w:tc>
          <w:tcPr>
            <w:tcW w:w="2906" w:type="dxa"/>
          </w:tcPr>
          <w:p w14:paraId="463AC2BD" w14:textId="77777777" w:rsidR="00BC5A92" w:rsidRPr="00E408BF" w:rsidRDefault="00BC5A92" w:rsidP="00625471">
            <w:pPr>
              <w:pStyle w:val="Tabletext"/>
              <w:widowControl w:val="0"/>
              <w:jc w:val="center"/>
            </w:pPr>
            <w:r w:rsidRPr="00E408BF">
              <w:t>24 mars 2026</w:t>
            </w:r>
          </w:p>
        </w:tc>
        <w:tc>
          <w:tcPr>
            <w:tcW w:w="2906" w:type="dxa"/>
          </w:tcPr>
          <w:p w14:paraId="574D93C4" w14:textId="5C52E9A4" w:rsidR="00BC5A92" w:rsidRPr="00E408BF" w:rsidRDefault="00BC5A92" w:rsidP="00625471">
            <w:pPr>
              <w:pStyle w:val="Tabletext"/>
              <w:widowControl w:val="0"/>
            </w:pPr>
            <w:r w:rsidRPr="00E408BF">
              <w:t>Prague (République tchèque)</w:t>
            </w:r>
          </w:p>
        </w:tc>
      </w:tr>
      <w:tr w:rsidR="00BC5A92" w:rsidRPr="00E408BF" w14:paraId="2DA7C2E5" w14:textId="77777777" w:rsidTr="00542D2F">
        <w:trPr>
          <w:cantSplit/>
          <w:jc w:val="center"/>
        </w:trPr>
        <w:tc>
          <w:tcPr>
            <w:tcW w:w="1980" w:type="dxa"/>
          </w:tcPr>
          <w:p w14:paraId="3E755EB5" w14:textId="77777777" w:rsidR="00BC5A92" w:rsidRPr="00E408BF" w:rsidRDefault="00BC5A92" w:rsidP="00625471">
            <w:pPr>
              <w:pStyle w:val="Tabletext"/>
              <w:widowControl w:val="0"/>
              <w:jc w:val="center"/>
            </w:pPr>
            <w:r w:rsidRPr="00E408BF">
              <w:t>RDF-</w:t>
            </w:r>
            <w:proofErr w:type="spellStart"/>
            <w:r w:rsidRPr="00E408BF">
              <w:t>AFR</w:t>
            </w:r>
            <w:proofErr w:type="spellEnd"/>
          </w:p>
        </w:tc>
        <w:tc>
          <w:tcPr>
            <w:tcW w:w="2906" w:type="dxa"/>
          </w:tcPr>
          <w:p w14:paraId="37BF2969" w14:textId="77777777" w:rsidR="00BC5A92" w:rsidRPr="00E408BF" w:rsidRDefault="00BC5A92" w:rsidP="00625471">
            <w:pPr>
              <w:pStyle w:val="Tabletext"/>
              <w:widowControl w:val="0"/>
              <w:jc w:val="center"/>
            </w:pPr>
            <w:r w:rsidRPr="00E408BF">
              <w:t>25-26 mai 2026</w:t>
            </w:r>
          </w:p>
        </w:tc>
        <w:tc>
          <w:tcPr>
            <w:tcW w:w="2906" w:type="dxa"/>
          </w:tcPr>
          <w:p w14:paraId="3BA46AF3" w14:textId="77777777" w:rsidR="00BC5A92" w:rsidRPr="00E408BF" w:rsidRDefault="00BC5A92" w:rsidP="00625471">
            <w:pPr>
              <w:pStyle w:val="Tabletext"/>
              <w:widowControl w:val="0"/>
            </w:pPr>
            <w:r w:rsidRPr="00E408BF">
              <w:t>Victoria Falls (Zimbabwe)</w:t>
            </w:r>
          </w:p>
        </w:tc>
      </w:tr>
      <w:tr w:rsidR="00BC5A92" w:rsidRPr="00E408BF" w14:paraId="6CBEF265" w14:textId="77777777" w:rsidTr="00542D2F">
        <w:trPr>
          <w:cantSplit/>
          <w:jc w:val="center"/>
        </w:trPr>
        <w:tc>
          <w:tcPr>
            <w:tcW w:w="1980" w:type="dxa"/>
          </w:tcPr>
          <w:p w14:paraId="17ECA422" w14:textId="77777777" w:rsidR="00BC5A92" w:rsidRPr="00E408BF" w:rsidRDefault="00BC5A92" w:rsidP="00625471">
            <w:pPr>
              <w:pStyle w:val="Tabletext"/>
              <w:widowControl w:val="0"/>
              <w:jc w:val="center"/>
            </w:pPr>
            <w:r w:rsidRPr="00E408BF">
              <w:t>RDF-AMS</w:t>
            </w:r>
          </w:p>
        </w:tc>
        <w:tc>
          <w:tcPr>
            <w:tcW w:w="2906" w:type="dxa"/>
          </w:tcPr>
          <w:p w14:paraId="6C617721" w14:textId="77777777" w:rsidR="00BC5A92" w:rsidRPr="00E408BF" w:rsidRDefault="00BC5A92" w:rsidP="00625471">
            <w:pPr>
              <w:pStyle w:val="Tabletext"/>
              <w:widowControl w:val="0"/>
              <w:jc w:val="center"/>
            </w:pPr>
            <w:r w:rsidRPr="00E408BF">
              <w:t>16-17 juin 2026</w:t>
            </w:r>
          </w:p>
        </w:tc>
        <w:tc>
          <w:tcPr>
            <w:tcW w:w="2906" w:type="dxa"/>
          </w:tcPr>
          <w:p w14:paraId="72241177" w14:textId="77777777" w:rsidR="00BC5A92" w:rsidRPr="00E408BF" w:rsidRDefault="00BC5A92" w:rsidP="00625471">
            <w:pPr>
              <w:pStyle w:val="Tabletext"/>
              <w:widowControl w:val="0"/>
            </w:pPr>
            <w:r w:rsidRPr="00E408BF">
              <w:t xml:space="preserve">Cartagena de </w:t>
            </w:r>
            <w:proofErr w:type="spellStart"/>
            <w:r w:rsidRPr="00E408BF">
              <w:t>Indias</w:t>
            </w:r>
            <w:proofErr w:type="spellEnd"/>
            <w:r w:rsidRPr="00E408BF">
              <w:t xml:space="preserve"> (Colombie)</w:t>
            </w:r>
          </w:p>
        </w:tc>
      </w:tr>
      <w:tr w:rsidR="00BC5A92" w:rsidRPr="00E408BF" w14:paraId="16C18552" w14:textId="77777777" w:rsidTr="00542D2F">
        <w:trPr>
          <w:cantSplit/>
          <w:jc w:val="center"/>
        </w:trPr>
        <w:tc>
          <w:tcPr>
            <w:tcW w:w="1980" w:type="dxa"/>
          </w:tcPr>
          <w:p w14:paraId="746609BE" w14:textId="77777777" w:rsidR="00BC5A92" w:rsidRPr="00E408BF" w:rsidRDefault="00BC5A92" w:rsidP="00625471">
            <w:pPr>
              <w:pStyle w:val="Tabletext"/>
              <w:widowControl w:val="0"/>
              <w:jc w:val="center"/>
            </w:pPr>
            <w:r w:rsidRPr="00E408BF">
              <w:lastRenderedPageBreak/>
              <w:t>RDF-ARB</w:t>
            </w:r>
          </w:p>
        </w:tc>
        <w:tc>
          <w:tcPr>
            <w:tcW w:w="2906" w:type="dxa"/>
          </w:tcPr>
          <w:p w14:paraId="0990C460" w14:textId="77777777" w:rsidR="00BC5A92" w:rsidRPr="00E408BF" w:rsidRDefault="00BC5A92" w:rsidP="00625471">
            <w:pPr>
              <w:pStyle w:val="Tabletext"/>
              <w:widowControl w:val="0"/>
              <w:jc w:val="center"/>
            </w:pPr>
            <w:proofErr w:type="spellStart"/>
            <w:r w:rsidRPr="00E408BF">
              <w:t>1er-2</w:t>
            </w:r>
            <w:proofErr w:type="spellEnd"/>
            <w:r w:rsidRPr="00E408BF">
              <w:t xml:space="preserve"> juillet 2026</w:t>
            </w:r>
          </w:p>
        </w:tc>
        <w:tc>
          <w:tcPr>
            <w:tcW w:w="2906" w:type="dxa"/>
          </w:tcPr>
          <w:p w14:paraId="11CA3E37" w14:textId="77777777" w:rsidR="00BC5A92" w:rsidRPr="00E408BF" w:rsidRDefault="00BC5A92" w:rsidP="00625471">
            <w:pPr>
              <w:pStyle w:val="Tabletext"/>
              <w:widowControl w:val="0"/>
              <w:rPr>
                <w:i/>
                <w:iCs/>
              </w:rPr>
            </w:pPr>
            <w:r w:rsidRPr="00E408BF">
              <w:rPr>
                <w:i/>
                <w:iCs/>
              </w:rPr>
              <w:t>À déterminer</w:t>
            </w:r>
          </w:p>
        </w:tc>
      </w:tr>
      <w:tr w:rsidR="00BC5A92" w:rsidRPr="00E408BF" w14:paraId="76B28B7B" w14:textId="77777777" w:rsidTr="00542D2F">
        <w:trPr>
          <w:cantSplit/>
          <w:jc w:val="center"/>
        </w:trPr>
        <w:tc>
          <w:tcPr>
            <w:tcW w:w="1980" w:type="dxa"/>
          </w:tcPr>
          <w:p w14:paraId="19245D41" w14:textId="77777777" w:rsidR="00BC5A92" w:rsidRPr="00E408BF" w:rsidRDefault="00BC5A92" w:rsidP="00625471">
            <w:pPr>
              <w:pStyle w:val="Tabletext"/>
              <w:widowControl w:val="0"/>
              <w:jc w:val="center"/>
            </w:pPr>
            <w:r w:rsidRPr="00E408BF">
              <w:t>RDF-ASP</w:t>
            </w:r>
          </w:p>
        </w:tc>
        <w:tc>
          <w:tcPr>
            <w:tcW w:w="2906" w:type="dxa"/>
          </w:tcPr>
          <w:p w14:paraId="231A3E83" w14:textId="77777777" w:rsidR="00BC5A92" w:rsidRPr="00E408BF" w:rsidRDefault="00BC5A92" w:rsidP="00625471">
            <w:pPr>
              <w:pStyle w:val="Tabletext"/>
              <w:widowControl w:val="0"/>
              <w:jc w:val="center"/>
            </w:pPr>
            <w:r w:rsidRPr="00E408BF">
              <w:t>16-17 juillet 2026</w:t>
            </w:r>
          </w:p>
        </w:tc>
        <w:tc>
          <w:tcPr>
            <w:tcW w:w="2906" w:type="dxa"/>
          </w:tcPr>
          <w:p w14:paraId="40DCEE66" w14:textId="77777777" w:rsidR="00BC5A92" w:rsidRPr="00E408BF" w:rsidRDefault="00BC5A92" w:rsidP="00625471">
            <w:pPr>
              <w:pStyle w:val="Tabletext"/>
              <w:widowControl w:val="0"/>
            </w:pPr>
            <w:r w:rsidRPr="00E408BF">
              <w:t>Bangkok (Thaïlande)</w:t>
            </w:r>
          </w:p>
        </w:tc>
      </w:tr>
      <w:tr w:rsidR="00BC5A92" w:rsidRPr="00E408BF" w14:paraId="3697177F" w14:textId="77777777" w:rsidTr="00542D2F">
        <w:trPr>
          <w:cantSplit/>
          <w:jc w:val="center"/>
        </w:trPr>
        <w:tc>
          <w:tcPr>
            <w:tcW w:w="1980" w:type="dxa"/>
          </w:tcPr>
          <w:p w14:paraId="3A9DD203" w14:textId="77777777" w:rsidR="00BC5A92" w:rsidRPr="00E408BF" w:rsidRDefault="00BC5A92" w:rsidP="00625471">
            <w:pPr>
              <w:pStyle w:val="Tabletext"/>
              <w:widowControl w:val="0"/>
              <w:jc w:val="center"/>
            </w:pPr>
            <w:r w:rsidRPr="00E408BF">
              <w:t>RDF-CEI</w:t>
            </w:r>
          </w:p>
        </w:tc>
        <w:tc>
          <w:tcPr>
            <w:tcW w:w="2906" w:type="dxa"/>
          </w:tcPr>
          <w:p w14:paraId="538E9F52" w14:textId="77777777" w:rsidR="00BC5A92" w:rsidRPr="00E408BF" w:rsidRDefault="00BC5A92" w:rsidP="00625471">
            <w:pPr>
              <w:pStyle w:val="Tabletext"/>
              <w:widowControl w:val="0"/>
              <w:jc w:val="center"/>
            </w:pPr>
            <w:r w:rsidRPr="00E408BF">
              <w:t>29-30 septembre 2026</w:t>
            </w:r>
          </w:p>
        </w:tc>
        <w:tc>
          <w:tcPr>
            <w:tcW w:w="2906" w:type="dxa"/>
          </w:tcPr>
          <w:p w14:paraId="2182EBA7" w14:textId="77777777" w:rsidR="00BC5A92" w:rsidRPr="00E408BF" w:rsidRDefault="00BC5A92" w:rsidP="00625471">
            <w:pPr>
              <w:pStyle w:val="Tabletext"/>
              <w:widowControl w:val="0"/>
            </w:pPr>
            <w:r w:rsidRPr="00E408BF">
              <w:t>Douchanbé (Tadjikistan)</w:t>
            </w:r>
          </w:p>
        </w:tc>
      </w:tr>
    </w:tbl>
    <w:p w14:paraId="10CCC462" w14:textId="323680DD" w:rsidR="0060731A" w:rsidRPr="00E408BF" w:rsidRDefault="0060731A" w:rsidP="00516E3F">
      <w:pPr>
        <w:pStyle w:val="Heading2"/>
      </w:pPr>
      <w:r w:rsidRPr="00E408BF">
        <w:t>2.2</w:t>
      </w:r>
      <w:r w:rsidRPr="00E408BF">
        <w:tab/>
      </w:r>
      <w:r w:rsidR="00BC5A92" w:rsidRPr="00E408BF">
        <w:t>Mise en œuvre du Plan opérationnel de l'UIT-D</w:t>
      </w:r>
    </w:p>
    <w:p w14:paraId="1BC810C5" w14:textId="77777777" w:rsidR="00BC5A92" w:rsidRPr="00E408BF" w:rsidRDefault="00BC5A92" w:rsidP="00516E3F">
      <w:pPr>
        <w:tabs>
          <w:tab w:val="clear" w:pos="567"/>
          <w:tab w:val="left" w:pos="709"/>
        </w:tabs>
        <w:jc w:val="both"/>
      </w:pPr>
      <w:r w:rsidRPr="00E408BF">
        <w:t>2.2.1</w:t>
      </w:r>
      <w:r w:rsidRPr="00E408BF">
        <w:tab/>
        <w:t>L'efficacité des activités régionales menées par l'UIT contribue de manière significative à la réalisation de la mission de l'organisation à l'échelle mondiale, à savoir connecter le monde, favoriser une transformation numérique durable et produire des résultats concrets en matière de développement pour les différents États Membres grâce aux travaux du BDT. Ces actions s'inscrivent dans un cadre stratégique conçu pour garantir que l'Union demeure en mesure de répondre à l'évolution rapide des besoins des économies et sociétés numériques dans le monde.</w:t>
      </w:r>
    </w:p>
    <w:p w14:paraId="65381D6C" w14:textId="77777777" w:rsidR="00BC5A92" w:rsidRPr="00E408BF" w:rsidRDefault="00BC5A92" w:rsidP="00516E3F">
      <w:pPr>
        <w:tabs>
          <w:tab w:val="clear" w:pos="567"/>
          <w:tab w:val="left" w:pos="709"/>
        </w:tabs>
        <w:jc w:val="both"/>
      </w:pPr>
      <w:r w:rsidRPr="00E408BF">
        <w:t>2.2.2</w:t>
      </w:r>
      <w:r w:rsidRPr="00E408BF">
        <w:tab/>
        <w:t xml:space="preserve">Dans le prolongement de la </w:t>
      </w:r>
      <w:proofErr w:type="spellStart"/>
      <w:r w:rsidRPr="00E408BF">
        <w:t>CMDT</w:t>
      </w:r>
      <w:proofErr w:type="spellEnd"/>
      <w:r w:rsidRPr="00E408BF">
        <w:t>-25, qui a adopté le Plan d'action de Bakou, le Plan opérationnel de l'UIT-D pour 2026 a été élaboré conformément à la structure du Plan stratégique de l'Union pour la période 2024-2027. La structure de ce plan est conforme au Plan d'action de Bakou dans lequel sont définis, d'une part, les priorités et les catalyseurs de l'UIT-D ainsi que les réalisations, produits et services correspondants, et, d'autre part, les indicateurs utilisés pour mesurer les niveaux de réalisation découlant des activités du Secteur. Actuellement, 130 mesures sont mises en œuvre à l'échelle mondiale et au niveau des régions. Pour renforcer la fourniture de services, on s'emploie activement à dégager des synergies en ce qui concerne les produits régionaux, ainsi qu'entre les initiatives régionales et les initiatives mondiales, en étroite collaboration avec les Bureaux et le Secrétariat général de l'UIT.</w:t>
      </w:r>
    </w:p>
    <w:p w14:paraId="34CD997E" w14:textId="12DF8364" w:rsidR="00BC5A92" w:rsidRPr="00E408BF" w:rsidRDefault="00BC5A92" w:rsidP="00516E3F">
      <w:pPr>
        <w:tabs>
          <w:tab w:val="clear" w:pos="567"/>
          <w:tab w:val="left" w:pos="709"/>
        </w:tabs>
        <w:jc w:val="both"/>
      </w:pPr>
      <w:r w:rsidRPr="00E408BF">
        <w:t>2.2.3</w:t>
      </w:r>
      <w:r w:rsidRPr="00E408BF">
        <w:tab/>
        <w:t>Les bureaux régionaux et les bureaux de zone font partie intégrante du processus de planification opérationnelle, comme le montrent les tableaux de bord du BDT pour les Plans opérationnels et les projets. Les bureaux régionaux et les bureaux de zone de l'UIT travaillent en étroite collaboration avec le siège à la définition, à la mise en œuvre et au suivi des Plans opérationnels. L'affectation du budget et l'évaluation des performances sont réalisées conjointement. Cela concerne les produits (produits et services de l'UIT-D) fournis aux États</w:t>
      </w:r>
      <w:r w:rsidR="00625471" w:rsidRPr="00E408BF">
        <w:t> </w:t>
      </w:r>
      <w:r w:rsidRPr="00E408BF">
        <w:t xml:space="preserve">Membres, les réalisations (résultats) au bénéfice de ces derniers et la prise en compte des besoins particuliers des pays, conformément aux priorités et catalyseurs de l'UIT D, aux Résolutions et aux initiatives régionales adoptés lors de la </w:t>
      </w:r>
      <w:proofErr w:type="spellStart"/>
      <w:r w:rsidRPr="00E408BF">
        <w:t>CMDT</w:t>
      </w:r>
      <w:proofErr w:type="spellEnd"/>
      <w:r w:rsidRPr="00E408BF">
        <w:t>-25. Cette approche intégrée est plus efficace et permet d'optimiser les synergies entre les activités inscrites au budget ordinaire et les activités extrabudgétaires.</w:t>
      </w:r>
    </w:p>
    <w:p w14:paraId="4E8647C5" w14:textId="77777777" w:rsidR="00BC5A92" w:rsidRPr="00E408BF" w:rsidRDefault="00BC5A92" w:rsidP="00516E3F">
      <w:pPr>
        <w:tabs>
          <w:tab w:val="clear" w:pos="567"/>
          <w:tab w:val="left" w:pos="709"/>
        </w:tabs>
        <w:jc w:val="both"/>
      </w:pPr>
      <w:r w:rsidRPr="00E408BF">
        <w:t>2.2.4</w:t>
      </w:r>
      <w:r w:rsidRPr="00E408BF">
        <w:tab/>
        <w:t>Le Plan opérationnel, qui repose sur des produits et des indicateurs de résultat, est élaboré et géré de manière conjointe et transparente par les bureaux régionaux, les bureaux de zone et le siège, qui en rendent compte de la même manière.</w:t>
      </w:r>
    </w:p>
    <w:p w14:paraId="107C37F8" w14:textId="77777777" w:rsidR="00BC5A92" w:rsidRPr="00E408BF" w:rsidRDefault="00BC5A92" w:rsidP="00516E3F">
      <w:pPr>
        <w:tabs>
          <w:tab w:val="clear" w:pos="567"/>
          <w:tab w:val="left" w:pos="709"/>
        </w:tabs>
        <w:jc w:val="both"/>
      </w:pPr>
      <w:r w:rsidRPr="00E408BF">
        <w:t>2.2.5</w:t>
      </w:r>
      <w:r w:rsidRPr="00E408BF">
        <w:tab/>
        <w:t xml:space="preserve">Pour les mesures liées </w:t>
      </w:r>
      <w:proofErr w:type="gramStart"/>
      <w:r w:rsidRPr="00E408BF">
        <w:t>au</w:t>
      </w:r>
      <w:proofErr w:type="gramEnd"/>
      <w:r w:rsidRPr="00E408BF">
        <w:t xml:space="preserve"> Plan opérationnel, les bureaux régionaux et les bureaux de zone sont chargés de la fourniture de services aux États Membres, tandis que les services du BDT basés au siège assurent l'élaboration de nouveaux produits et la gestion des activités multirégionales. Pour les projets propres à une région ou à un pays, les responsables de projet sont basés dans les bureaux régionaux ou les bureaux de zone. La mise en œuvre des mesures liées </w:t>
      </w:r>
      <w:proofErr w:type="gramStart"/>
      <w:r w:rsidRPr="00E408BF">
        <w:t>au</w:t>
      </w:r>
      <w:proofErr w:type="gramEnd"/>
      <w:r w:rsidRPr="00E408BF">
        <w:t xml:space="preserve"> Plan opérationnel et des projets de l'UIT-D est mesurée à l'aide d'indicateurs adoptés par la </w:t>
      </w:r>
      <w:proofErr w:type="spellStart"/>
      <w:r w:rsidRPr="00E408BF">
        <w:t>CMDT</w:t>
      </w:r>
      <w:proofErr w:type="spellEnd"/>
      <w:r w:rsidRPr="00E408BF">
        <w:t>-25.</w:t>
      </w:r>
    </w:p>
    <w:p w14:paraId="1E796894" w14:textId="2E72375D" w:rsidR="0060731A" w:rsidRPr="00E408BF" w:rsidRDefault="00BC5A92" w:rsidP="00625471">
      <w:pPr>
        <w:keepNext/>
        <w:keepLines/>
        <w:tabs>
          <w:tab w:val="clear" w:pos="567"/>
          <w:tab w:val="left" w:pos="709"/>
        </w:tabs>
      </w:pPr>
      <w:r w:rsidRPr="00E408BF">
        <w:lastRenderedPageBreak/>
        <w:t>2.2.6</w:t>
      </w:r>
      <w:r w:rsidRPr="00E408BF">
        <w:tab/>
        <w:t>À sa 32ème réunion, qui s'est tenue du 12 au 16 mai 2025, le Groupe consultatif pour le développement des télécommunications (</w:t>
      </w:r>
      <w:proofErr w:type="spellStart"/>
      <w:r w:rsidRPr="00E408BF">
        <w:t>GCDT</w:t>
      </w:r>
      <w:proofErr w:type="spellEnd"/>
      <w:r w:rsidRPr="00E408BF">
        <w:t xml:space="preserve">) a examiné le rapport sur la présence régionale figurant dans le Document </w:t>
      </w:r>
      <w:hyperlink r:id="rId52">
        <w:proofErr w:type="spellStart"/>
        <w:r w:rsidR="00625471" w:rsidRPr="00E408BF">
          <w:rPr>
            <w:rFonts w:asciiTheme="minorHAnsi" w:eastAsia="Aptos" w:hAnsiTheme="minorHAnsi" w:cstheme="minorBidi"/>
            <w:color w:val="4F81BD" w:themeColor="accent1"/>
            <w:u w:val="single"/>
          </w:rPr>
          <w:t>TDAG</w:t>
        </w:r>
        <w:proofErr w:type="spellEnd"/>
        <w:r w:rsidR="00625471" w:rsidRPr="00E408BF">
          <w:rPr>
            <w:rFonts w:asciiTheme="minorHAnsi" w:eastAsia="Aptos" w:hAnsiTheme="minorHAnsi" w:cstheme="minorBidi"/>
            <w:color w:val="4F81BD" w:themeColor="accent1"/>
            <w:u w:val="single"/>
          </w:rPr>
          <w:t>-25/24</w:t>
        </w:r>
      </w:hyperlink>
      <w:r w:rsidRPr="00E408BF">
        <w:t xml:space="preserve">. Le </w:t>
      </w:r>
      <w:proofErr w:type="spellStart"/>
      <w:r w:rsidRPr="00E408BF">
        <w:t>GCDT</w:t>
      </w:r>
      <w:proofErr w:type="spellEnd"/>
      <w:r w:rsidRPr="00E408BF">
        <w:t xml:space="preserve"> a pris note du rapport et a reconnu l'importance cruciale des bureaux régionaux et des bureaux de zone dans la mise en œuvre des initiatives régionales et du Plan d'action de Kigali, et a confirmé leur rôle complémentaire dans les activités liées au développement, ainsi que dans les activités de l'UIT T et de l'UIT-R. Lors de sa réunion, le </w:t>
      </w:r>
      <w:proofErr w:type="spellStart"/>
      <w:r w:rsidRPr="00E408BF">
        <w:t>GCDT</w:t>
      </w:r>
      <w:proofErr w:type="spellEnd"/>
      <w:r w:rsidRPr="00E408BF">
        <w:t xml:space="preserve"> a reconnu et salué l'étroite collaboration entre les bureaux régionaux et le BDT en mettant en avant les directeurs régionaux et les actions ayant produit des effets concrets dans les régions. Le </w:t>
      </w:r>
      <w:proofErr w:type="spellStart"/>
      <w:r w:rsidRPr="00E408BF">
        <w:t>GCDT</w:t>
      </w:r>
      <w:proofErr w:type="spellEnd"/>
      <w:r w:rsidRPr="00E408BF">
        <w:t xml:space="preserve"> a noté avec satisfaction les synergies entre les bureaux régionaux et le BDT en ce qui concerne la planification, la mise en œuvre, le suivi et l'évaluation des activités et des projets, comme en témoigne la reconnaissance exprimée à cet égard par de nombreux membres lors de leurs interventions. Les mesures d'examen relatives au renforcement de la présence régionale devraient tenir pleinement compte de la Résolution 25 (Rév. Bucarest, 2022)</w:t>
      </w:r>
      <w:r w:rsidR="0060731A" w:rsidRPr="00E408BF">
        <w:t>.</w:t>
      </w:r>
    </w:p>
    <w:p w14:paraId="2F254875" w14:textId="181B8870" w:rsidR="007252C6" w:rsidRPr="00E408BF" w:rsidRDefault="00BC5A92" w:rsidP="00516E3F">
      <w:pPr>
        <w:pStyle w:val="Heading2"/>
      </w:pPr>
      <w:r w:rsidRPr="00E408BF">
        <w:t>2.3</w:t>
      </w:r>
      <w:r w:rsidRPr="00E408BF">
        <w:tab/>
        <w:t>Examen de la présence régionale de l'UIT</w:t>
      </w:r>
    </w:p>
    <w:p w14:paraId="252AE550" w14:textId="44728B08" w:rsidR="0060731A" w:rsidRPr="00E408BF" w:rsidRDefault="00BC5A92" w:rsidP="00516E3F">
      <w:pPr>
        <w:tabs>
          <w:tab w:val="clear" w:pos="567"/>
          <w:tab w:val="left" w:pos="709"/>
        </w:tabs>
        <w:jc w:val="both"/>
      </w:pPr>
      <w:r w:rsidRPr="00E408BF">
        <w:t>2.3.1</w:t>
      </w:r>
      <w:r w:rsidRPr="00E408BF">
        <w:tab/>
        <w:t xml:space="preserve">Conformément aux recommandations formulées par le Conseil, à sa session de 2025 (Rapport de la Présidente de la Commission permanente de l'administration et de la gestion, Document </w:t>
      </w:r>
      <w:hyperlink r:id="rId53">
        <w:proofErr w:type="spellStart"/>
        <w:r w:rsidRPr="00E408BF">
          <w:rPr>
            <w:rStyle w:val="Hyperlink"/>
            <w:rFonts w:asciiTheme="minorHAnsi" w:eastAsia="Aptos" w:hAnsiTheme="minorHAnsi" w:cstheme="minorHAnsi"/>
            <w:color w:val="467886"/>
            <w:szCs w:val="24"/>
          </w:rPr>
          <w:t>C25</w:t>
        </w:r>
        <w:proofErr w:type="spellEnd"/>
        <w:r w:rsidRPr="00E408BF">
          <w:rPr>
            <w:rStyle w:val="Hyperlink"/>
            <w:rFonts w:asciiTheme="minorHAnsi" w:eastAsia="Aptos" w:hAnsiTheme="minorHAnsi" w:cstheme="minorHAnsi"/>
            <w:color w:val="467886"/>
            <w:szCs w:val="24"/>
          </w:rPr>
          <w:t>/105</w:t>
        </w:r>
      </w:hyperlink>
      <w:r w:rsidRPr="00E408BF">
        <w:t>, paragraphe 26, Annexe H, Annexe A et Annexe 1</w:t>
      </w:r>
      <w:r w:rsidR="008A26C5" w:rsidRPr="00E408BF">
        <w:rPr>
          <w:rStyle w:val="FootnoteReference"/>
        </w:rPr>
        <w:footnoteReference w:id="1"/>
      </w:r>
      <w:r w:rsidRPr="00E408BF">
        <w:t xml:space="preserve">), </w:t>
      </w:r>
      <w:r w:rsidRPr="00E408BF">
        <w:rPr>
          <w:b/>
          <w:bCs/>
        </w:rPr>
        <w:t>l'examen de la présence régionale de l'UIT a été effectué</w:t>
      </w:r>
      <w:r w:rsidRPr="00E408BF">
        <w:t>.</w:t>
      </w:r>
    </w:p>
    <w:p w14:paraId="39431538" w14:textId="77777777" w:rsidR="00BC5A92" w:rsidRPr="00E408BF" w:rsidRDefault="00BC5A92" w:rsidP="00516E3F">
      <w:pPr>
        <w:tabs>
          <w:tab w:val="clear" w:pos="567"/>
          <w:tab w:val="left" w:pos="709"/>
        </w:tabs>
        <w:jc w:val="both"/>
      </w:pPr>
      <w:r w:rsidRPr="00E408BF">
        <w:t>2.3.2</w:t>
      </w:r>
      <w:r w:rsidRPr="00E408BF">
        <w:tab/>
        <w:t xml:space="preserve">Depuis juillet 2025, le BDT a mené les activités </w:t>
      </w:r>
      <w:proofErr w:type="gramStart"/>
      <w:r w:rsidRPr="00E408BF">
        <w:t>suivantes:</w:t>
      </w:r>
      <w:proofErr w:type="gramEnd"/>
    </w:p>
    <w:p w14:paraId="5D91C9C0" w14:textId="77777777" w:rsidR="00BC5A92" w:rsidRPr="00E408BF" w:rsidRDefault="00BC5A92" w:rsidP="00516E3F">
      <w:pPr>
        <w:jc w:val="both"/>
      </w:pPr>
      <w:r w:rsidRPr="00E408BF">
        <w:rPr>
          <w:i/>
          <w:iCs/>
        </w:rPr>
        <w:t>a)</w:t>
      </w:r>
      <w:r w:rsidRPr="00E408BF">
        <w:tab/>
        <w:t>Conception et lancement de l'enquête auprès des membres de l'UIT.</w:t>
      </w:r>
    </w:p>
    <w:p w14:paraId="3CF5C4BC" w14:textId="77777777" w:rsidR="00BC5A92" w:rsidRPr="00E408BF" w:rsidRDefault="00BC5A92" w:rsidP="00516E3F">
      <w:pPr>
        <w:jc w:val="both"/>
      </w:pPr>
      <w:r w:rsidRPr="00E408BF">
        <w:rPr>
          <w:i/>
          <w:iCs/>
        </w:rPr>
        <w:t>b)</w:t>
      </w:r>
      <w:r w:rsidRPr="00E408BF">
        <w:tab/>
        <w:t>Étude préliminaire.</w:t>
      </w:r>
    </w:p>
    <w:p w14:paraId="3B892F0C" w14:textId="77777777" w:rsidR="00BC5A92" w:rsidRPr="00E408BF" w:rsidRDefault="00BC5A92" w:rsidP="00516E3F">
      <w:pPr>
        <w:ind w:left="567" w:hanging="567"/>
        <w:jc w:val="both"/>
      </w:pPr>
      <w:r w:rsidRPr="00E408BF">
        <w:rPr>
          <w:i/>
          <w:iCs/>
        </w:rPr>
        <w:t>c)</w:t>
      </w:r>
      <w:r w:rsidRPr="00E408BF">
        <w:tab/>
        <w:t>Consultation des parties prenantes, notamment par la conception et le lancement de l'enquête d'évaluation interne, et entretiens avec les organisations régionales de télécommunication.</w:t>
      </w:r>
    </w:p>
    <w:p w14:paraId="015A10C2" w14:textId="2907E0A6" w:rsidR="00BC5A92" w:rsidRPr="00E408BF" w:rsidRDefault="00BC5A92" w:rsidP="00516E3F">
      <w:pPr>
        <w:ind w:left="567" w:hanging="567"/>
        <w:jc w:val="both"/>
      </w:pPr>
      <w:r w:rsidRPr="00E408BF">
        <w:rPr>
          <w:i/>
          <w:iCs/>
        </w:rPr>
        <w:t>d)</w:t>
      </w:r>
      <w:r w:rsidRPr="00E408BF">
        <w:tab/>
        <w:t>Établissement de rapports périodiques conformément aux instructions du Groupe de travail du Conseil sur les ressources financières et les ressources humaines (</w:t>
      </w:r>
      <w:proofErr w:type="spellStart"/>
      <w:r w:rsidRPr="00E408BF">
        <w:t>GTC</w:t>
      </w:r>
      <w:proofErr w:type="spellEnd"/>
      <w:r w:rsidRPr="00E408BF">
        <w:t xml:space="preserve"> </w:t>
      </w:r>
      <w:proofErr w:type="spellStart"/>
      <w:r w:rsidRPr="00E408BF">
        <w:t>FHR</w:t>
      </w:r>
      <w:proofErr w:type="spellEnd"/>
      <w:r w:rsidRPr="00E408BF">
        <w:t>) et du Conseil.</w:t>
      </w:r>
    </w:p>
    <w:p w14:paraId="2E420F6E" w14:textId="26CB1EB4" w:rsidR="00BC5A92" w:rsidRPr="00E408BF" w:rsidRDefault="00BC5A92" w:rsidP="00516E3F">
      <w:pPr>
        <w:tabs>
          <w:tab w:val="clear" w:pos="567"/>
          <w:tab w:val="left" w:pos="709"/>
        </w:tabs>
        <w:jc w:val="both"/>
      </w:pPr>
      <w:r w:rsidRPr="00E408BF">
        <w:t>2.3.3</w:t>
      </w:r>
      <w:r w:rsidRPr="00E408BF">
        <w:tab/>
        <w:t>Le Rapport intérimaire sur l'examen de la présence régionale de l'UIT (Document</w:t>
      </w:r>
      <w:r w:rsidR="008A26C5" w:rsidRPr="00E408BF">
        <w:t> </w:t>
      </w:r>
      <w:proofErr w:type="spellStart"/>
      <w:r>
        <w:fldChar w:fldCharType="begin"/>
      </w:r>
      <w:r>
        <w:instrText>HYPERLINK "https://www.itu.int/md/S26-CWGFHR22-C-0004/fr" \h</w:instrText>
      </w:r>
      <w:r>
        <w:fldChar w:fldCharType="separate"/>
      </w:r>
      <w:r w:rsidRPr="00E408BF">
        <w:rPr>
          <w:rStyle w:val="Hyperlink"/>
          <w:rFonts w:eastAsia="Aptos" w:cs="Calibri"/>
          <w:spacing w:val="-2"/>
        </w:rPr>
        <w:t>CWG</w:t>
      </w:r>
      <w:proofErr w:type="spellEnd"/>
      <w:r w:rsidRPr="00E408BF">
        <w:rPr>
          <w:rStyle w:val="Hyperlink"/>
          <w:rFonts w:eastAsia="Aptos" w:cs="Calibri"/>
          <w:spacing w:val="-2"/>
        </w:rPr>
        <w:noBreakHyphen/>
      </w:r>
      <w:proofErr w:type="spellStart"/>
      <w:r w:rsidRPr="00E408BF">
        <w:rPr>
          <w:rStyle w:val="Hyperlink"/>
          <w:rFonts w:eastAsia="Aptos" w:cs="Calibri"/>
          <w:spacing w:val="-2"/>
        </w:rPr>
        <w:t>FHR</w:t>
      </w:r>
      <w:proofErr w:type="spellEnd"/>
      <w:r w:rsidRPr="00E408BF">
        <w:rPr>
          <w:rStyle w:val="Hyperlink"/>
          <w:rFonts w:eastAsia="Aptos" w:cs="Calibri"/>
          <w:spacing w:val="-2"/>
        </w:rPr>
        <w:t>-22/4</w:t>
      </w:r>
      <w:r>
        <w:fldChar w:fldCharType="end"/>
      </w:r>
      <w:r w:rsidRPr="00E408BF">
        <w:t>) a été présenté à la 22ème réunion du CGT</w:t>
      </w:r>
      <w:r w:rsidRPr="00E408BF">
        <w:rPr>
          <w:rFonts w:ascii="Cambria Math" w:hAnsi="Cambria Math" w:cs="Cambria Math"/>
        </w:rPr>
        <w:t>‑</w:t>
      </w:r>
      <w:proofErr w:type="spellStart"/>
      <w:r w:rsidRPr="00E408BF">
        <w:t>FHR</w:t>
      </w:r>
      <w:proofErr w:type="spellEnd"/>
      <w:r w:rsidRPr="00E408BF">
        <w:t xml:space="preserve">, le 16 janvier 2026, accompagné du Document d'information </w:t>
      </w:r>
      <w:hyperlink r:id="rId54">
        <w:proofErr w:type="spellStart"/>
        <w:r w:rsidRPr="00E408BF">
          <w:rPr>
            <w:rStyle w:val="Hyperlink"/>
            <w:rFonts w:eastAsia="Aptos" w:cs="Calibri"/>
            <w:spacing w:val="-2"/>
            <w:szCs w:val="24"/>
          </w:rPr>
          <w:t>CWG</w:t>
        </w:r>
        <w:proofErr w:type="spellEnd"/>
        <w:r w:rsidRPr="00E408BF">
          <w:rPr>
            <w:rStyle w:val="Hyperlink"/>
            <w:rFonts w:eastAsia="Aptos" w:cs="Calibri"/>
            <w:spacing w:val="-2"/>
            <w:szCs w:val="24"/>
          </w:rPr>
          <w:t>-</w:t>
        </w:r>
        <w:proofErr w:type="spellStart"/>
        <w:r w:rsidRPr="00E408BF">
          <w:rPr>
            <w:rStyle w:val="Hyperlink"/>
            <w:rFonts w:eastAsia="Aptos" w:cs="Calibri"/>
            <w:spacing w:val="-2"/>
            <w:szCs w:val="24"/>
          </w:rPr>
          <w:t>FHR</w:t>
        </w:r>
        <w:proofErr w:type="spellEnd"/>
        <w:r w:rsidRPr="00E408BF">
          <w:rPr>
            <w:rStyle w:val="Hyperlink"/>
            <w:rFonts w:eastAsia="Aptos" w:cs="Calibri"/>
            <w:spacing w:val="-2"/>
            <w:szCs w:val="24"/>
          </w:rPr>
          <w:t>-22/</w:t>
        </w:r>
        <w:proofErr w:type="spellStart"/>
        <w:r w:rsidRPr="00E408BF">
          <w:rPr>
            <w:rStyle w:val="Hyperlink"/>
            <w:rFonts w:eastAsia="Aptos" w:cs="Calibri"/>
            <w:spacing w:val="-2"/>
            <w:szCs w:val="24"/>
          </w:rPr>
          <w:t>INF</w:t>
        </w:r>
        <w:proofErr w:type="spellEnd"/>
        <w:r w:rsidRPr="00E408BF">
          <w:rPr>
            <w:rStyle w:val="Hyperlink"/>
            <w:rFonts w:eastAsia="Aptos" w:cs="Calibri"/>
            <w:spacing w:val="-2"/>
            <w:szCs w:val="24"/>
          </w:rPr>
          <w:t>/1</w:t>
        </w:r>
      </w:hyperlink>
      <w:r w:rsidRPr="00E408BF">
        <w:t>, qui détaille les initiatives précises du BDT qui renforcent encore la présence régionale. Une séance spéciale sur les premières</w:t>
      </w:r>
      <w:r w:rsidR="00DE4AFD" w:rsidRPr="00E408BF">
        <w:t> </w:t>
      </w:r>
      <w:r w:rsidRPr="00E408BF">
        <w:t xml:space="preserve">conclusions de l'enquête auprès des membres (Document </w:t>
      </w:r>
      <w:hyperlink r:id="rId55" w:history="1">
        <w:proofErr w:type="spellStart"/>
        <w:r w:rsidRPr="00E408BF">
          <w:rPr>
            <w:rStyle w:val="Hyperlink"/>
            <w:rFonts w:eastAsia="Aptos" w:cs="Calibri"/>
            <w:spacing w:val="-2"/>
          </w:rPr>
          <w:t>CWG</w:t>
        </w:r>
        <w:proofErr w:type="spellEnd"/>
        <w:r w:rsidRPr="00E408BF">
          <w:rPr>
            <w:rStyle w:val="Hyperlink"/>
            <w:rFonts w:eastAsia="Aptos" w:cs="Calibri"/>
            <w:spacing w:val="-2"/>
          </w:rPr>
          <w:noBreakHyphen/>
        </w:r>
        <w:proofErr w:type="spellStart"/>
        <w:r w:rsidRPr="00E408BF">
          <w:rPr>
            <w:rStyle w:val="Hyperlink"/>
            <w:rFonts w:eastAsia="Aptos" w:cs="Calibri"/>
            <w:spacing w:val="-2"/>
          </w:rPr>
          <w:t>FHR</w:t>
        </w:r>
        <w:proofErr w:type="spellEnd"/>
        <w:r w:rsidRPr="00E408BF">
          <w:rPr>
            <w:rStyle w:val="Hyperlink"/>
            <w:rFonts w:eastAsia="Aptos" w:cs="Calibri"/>
            <w:spacing w:val="-2"/>
          </w:rPr>
          <w:t>-22/4</w:t>
        </w:r>
      </w:hyperlink>
      <w:r w:rsidRPr="00E408BF">
        <w:t xml:space="preserve">, Annexe 2) a été organisée lors de la </w:t>
      </w:r>
      <w:proofErr w:type="spellStart"/>
      <w:r w:rsidRPr="00E408BF">
        <w:t>CMDT</w:t>
      </w:r>
      <w:proofErr w:type="spellEnd"/>
      <w:r w:rsidRPr="00E408BF">
        <w:t xml:space="preserve">-25, le 24 novembre 2025. Afin de disposer davantage d'informations et d'orientations stratégiques sur la manière de façonner l'avenir de la présence régionale de l'UIT dans le cadre de consultations avec les Groupes consultatifs de l'UIT, le BDT a présenté le Rapport intérimaire aux réunions de 2026 du Groupe consultatif de la normalisation des télécommunications (Document </w:t>
      </w:r>
      <w:hyperlink r:id="rId56">
        <w:r w:rsidR="00167750">
          <w:rPr>
            <w:rStyle w:val="Hyperlink"/>
            <w:rFonts w:asciiTheme="minorHAnsi" w:eastAsia="Aptos" w:hAnsiTheme="minorHAnsi"/>
            <w:spacing w:val="-2"/>
          </w:rPr>
          <w:t>TSAG-</w:t>
        </w:r>
        <w:proofErr w:type="spellStart"/>
        <w:r w:rsidR="00167750">
          <w:rPr>
            <w:rStyle w:val="Hyperlink"/>
            <w:rFonts w:asciiTheme="minorHAnsi" w:eastAsia="Aptos" w:hAnsiTheme="minorHAnsi"/>
            <w:spacing w:val="-2"/>
          </w:rPr>
          <w:t>TD313</w:t>
        </w:r>
        <w:proofErr w:type="spellEnd"/>
      </w:hyperlink>
      <w:r w:rsidRPr="00E408BF">
        <w:t xml:space="preserve">), du </w:t>
      </w:r>
      <w:proofErr w:type="spellStart"/>
      <w:r w:rsidRPr="00E408BF">
        <w:t>GCDT</w:t>
      </w:r>
      <w:proofErr w:type="spellEnd"/>
      <w:r w:rsidRPr="00E408BF">
        <w:t xml:space="preserve"> </w:t>
      </w:r>
      <w:r w:rsidRPr="00E408BF">
        <w:lastRenderedPageBreak/>
        <w:t xml:space="preserve">(Document </w:t>
      </w:r>
      <w:hyperlink r:id="rId57">
        <w:proofErr w:type="spellStart"/>
        <w:r w:rsidR="00787EDA" w:rsidRPr="00E408BF">
          <w:rPr>
            <w:rStyle w:val="Hyperlink"/>
            <w:spacing w:val="-2"/>
          </w:rPr>
          <w:t>TDAG</w:t>
        </w:r>
        <w:proofErr w:type="spellEnd"/>
        <w:r w:rsidR="00787EDA" w:rsidRPr="00E408BF">
          <w:rPr>
            <w:rStyle w:val="Hyperlink"/>
            <w:spacing w:val="-2"/>
          </w:rPr>
          <w:t>-26/16</w:t>
        </w:r>
      </w:hyperlink>
      <w:r w:rsidRPr="00E408BF">
        <w:t xml:space="preserve">) et du Groupe consultatif des radiocommunications (Document </w:t>
      </w:r>
      <w:hyperlink r:id="rId58">
        <w:r w:rsidR="00787EDA" w:rsidRPr="00E408BF">
          <w:rPr>
            <w:rStyle w:val="Hyperlink"/>
            <w:rFonts w:eastAsia="Aptos"/>
            <w:spacing w:val="-2"/>
          </w:rPr>
          <w:t>RAG/66</w:t>
        </w:r>
      </w:hyperlink>
      <w:r w:rsidRPr="00E408BF">
        <w:t xml:space="preserve">). Comme demandé à la 22ème réunion du </w:t>
      </w:r>
      <w:proofErr w:type="spellStart"/>
      <w:r w:rsidRPr="00E408BF">
        <w:t>GTC-FHR</w:t>
      </w:r>
      <w:proofErr w:type="spellEnd"/>
      <w:r w:rsidRPr="00E408BF">
        <w:t>, une réunion d'information sur la présence régionale préalable à la session de 2026 du Conseil a été organisée, le 5 mars 2026. Tous ces efforts ont abouti à l'établissement de la version finale du Rapport sur l'examen de la présence régionale de l'UIT, qui sera présenté au Conseil, à sa session de 2026.</w:t>
      </w:r>
    </w:p>
    <w:p w14:paraId="6E00A7D8" w14:textId="7DB0CAD5" w:rsidR="00787EDA" w:rsidRPr="00E408BF" w:rsidRDefault="00787EDA" w:rsidP="00516E3F">
      <w:pPr>
        <w:pStyle w:val="Heading2"/>
      </w:pPr>
      <w:r w:rsidRPr="00E408BF">
        <w:t>2.4</w:t>
      </w:r>
      <w:r w:rsidRPr="00E408BF">
        <w:tab/>
        <w:t>Participation des bureaux régionaux et des bureaux de zone à la mise en œuvre des projets de l'UIT-D</w:t>
      </w:r>
    </w:p>
    <w:p w14:paraId="19A59807" w14:textId="77777777" w:rsidR="00787EDA" w:rsidRPr="00E408BF" w:rsidRDefault="00787EDA" w:rsidP="00516E3F">
      <w:pPr>
        <w:tabs>
          <w:tab w:val="clear" w:pos="567"/>
          <w:tab w:val="left" w:pos="709"/>
        </w:tabs>
        <w:jc w:val="both"/>
      </w:pPr>
      <w:r w:rsidRPr="00E408BF">
        <w:t>2.4.1</w:t>
      </w:r>
      <w:r w:rsidRPr="00E408BF">
        <w:tab/>
        <w:t>Les projets de l'UIT-D, conçus pour faciliter et améliorer le développement des télécommunications/TIC par une coopération et une assistance sur le plan technique, sont mis en œuvre dans les six régions. Le BDT est responsable de la conception, de l'élaboration, de la mise en œuvre et de l'évaluation de ces projets.</w:t>
      </w:r>
    </w:p>
    <w:p w14:paraId="00C5FAF2" w14:textId="18FB51FE" w:rsidR="00787EDA" w:rsidRPr="00E408BF" w:rsidRDefault="00787EDA" w:rsidP="00516E3F">
      <w:pPr>
        <w:tabs>
          <w:tab w:val="clear" w:pos="567"/>
          <w:tab w:val="left" w:pos="709"/>
        </w:tabs>
        <w:jc w:val="both"/>
      </w:pPr>
      <w:r w:rsidRPr="00E408BF">
        <w:t>2.4.2</w:t>
      </w:r>
      <w:r w:rsidRPr="00E408BF">
        <w:tab/>
        <w:t>Les bureaux régionaux et les bureaux de zone jouent un rôle essentiel dans la collaboration de l'UIT avec les parties prenantes locales et les gouvernements et travaillent en coordination étroite avec le siège à l'identification, à la mise en œuvre et au suivi des projets visant à fournir une assistance technique, des produits de l'UIT-D et des services et à la prise en compte des besoins propres aux pays, dans la droite lignée du Plan d'action et des initiatives régionales. Cette approche intégrée, qui consiste à exploiter les synergies entre les activités inscrites au budget ordinaire et les activités extrabudgétaires, permet au BDT d'améliorer les services offerts aux États</w:t>
      </w:r>
      <w:r w:rsidR="008A26C5" w:rsidRPr="00E408BF">
        <w:t> </w:t>
      </w:r>
      <w:r w:rsidRPr="00E408BF">
        <w:t>Membres.</w:t>
      </w:r>
    </w:p>
    <w:p w14:paraId="4638C472" w14:textId="77777777" w:rsidR="00787EDA" w:rsidRPr="00E408BF" w:rsidRDefault="00787EDA" w:rsidP="00516E3F">
      <w:pPr>
        <w:tabs>
          <w:tab w:val="clear" w:pos="567"/>
          <w:tab w:val="left" w:pos="709"/>
        </w:tabs>
        <w:jc w:val="both"/>
      </w:pPr>
      <w:r w:rsidRPr="00E408BF">
        <w:t>2.4.3</w:t>
      </w:r>
      <w:r w:rsidRPr="00E408BF">
        <w:tab/>
        <w:t>Le BDT a consolidé la gestion de projets en formant les responsables de projet, en établissant une structure de gouvernance claire à l'aide du Comité directeur des projets du BDT, en améliorant l'établissement de rapports à l'intention des partenaires de financement et en perfectionnant les systèmes de suivi. Les projets font l'objet d'un suivi continu et il en est rendu compte chaque trimestre dans des tableaux de bord et des rapports d'évaluation pour favoriser une prise de décisions fondée sur des données. Le Comité directeur des projets garantit leur alignement avec le Plan d'action et la bonne gouvernance du portefeuille de projets. Les rapports trimestriels sont examinés et évalués par des équipes indépendantes (appui aux projets) qui n'interviennent pas dans la mise en œuvre des projets, afin de garantir une évaluation objective des progrès réalisés.</w:t>
      </w:r>
    </w:p>
    <w:p w14:paraId="0AD51B8A" w14:textId="280A85C8" w:rsidR="00787EDA" w:rsidRPr="00E408BF" w:rsidRDefault="00787EDA" w:rsidP="00516E3F">
      <w:pPr>
        <w:tabs>
          <w:tab w:val="clear" w:pos="567"/>
          <w:tab w:val="left" w:pos="709"/>
        </w:tabs>
        <w:jc w:val="both"/>
      </w:pPr>
      <w:r w:rsidRPr="00E408BF">
        <w:t>2.4.4</w:t>
      </w:r>
      <w:r w:rsidRPr="00E408BF">
        <w:tab/>
        <w:t xml:space="preserve">À la suite de la </w:t>
      </w:r>
      <w:proofErr w:type="spellStart"/>
      <w:r w:rsidRPr="00E408BF">
        <w:t>CMDT</w:t>
      </w:r>
      <w:proofErr w:type="spellEnd"/>
      <w:r w:rsidRPr="00E408BF">
        <w:t xml:space="preserve">-22, le BDT a mobilisé des ressources extrabudgétaires et a mis au point et exécuté 91 projets, qui ont généré 51 millions CHF sur la période triennale couverte par le Plan d'action de Kigali, contribuant ainsi à la mise en œuvre des priorités et des initiatives régionales pour répondre aux besoins particuliers des régions. Pour chaque région, les projets du BDT contribuent à l'élaboration de divers produits et services conformément aux priorités et catalyseurs de l'UIT-D définis dans le Plan d'action de Kigali ainsi qu'au Plan stratégique de l'UIT. Les projets du BDT mis en œuvre ou en cours au titre de chaque initiative régionale pour la période 2023-2025 sont répertoriés dans le Document d'information </w:t>
      </w:r>
      <w:hyperlink r:id="rId59" w:history="1">
        <w:proofErr w:type="spellStart"/>
        <w:r w:rsidRPr="00E408BF">
          <w:rPr>
            <w:rStyle w:val="Hyperlink"/>
          </w:rPr>
          <w:t>TDAG</w:t>
        </w:r>
        <w:proofErr w:type="spellEnd"/>
        <w:r w:rsidRPr="00E408BF">
          <w:rPr>
            <w:rStyle w:val="Hyperlink"/>
          </w:rPr>
          <w:t>-25/</w:t>
        </w:r>
        <w:proofErr w:type="spellStart"/>
        <w:r w:rsidRPr="00E408BF">
          <w:rPr>
            <w:rStyle w:val="Hyperlink"/>
          </w:rPr>
          <w:t>INF</w:t>
        </w:r>
        <w:proofErr w:type="spellEnd"/>
        <w:r w:rsidRPr="00E408BF">
          <w:rPr>
            <w:rStyle w:val="Hyperlink"/>
          </w:rPr>
          <w:t>/4</w:t>
        </w:r>
      </w:hyperlink>
      <w:r w:rsidRPr="00E408BF">
        <w:t>.</w:t>
      </w:r>
    </w:p>
    <w:p w14:paraId="02624545" w14:textId="5ABB92BC" w:rsidR="00787EDA" w:rsidRPr="00E408BF" w:rsidRDefault="00787EDA" w:rsidP="00516E3F">
      <w:pPr>
        <w:tabs>
          <w:tab w:val="clear" w:pos="567"/>
          <w:tab w:val="left" w:pos="709"/>
        </w:tabs>
        <w:jc w:val="both"/>
      </w:pPr>
      <w:r w:rsidRPr="00E408BF">
        <w:t>2.4.5</w:t>
      </w:r>
      <w:r w:rsidRPr="00E408BF">
        <w:tab/>
        <w:t xml:space="preserve">Dans le prolongement du Plan d'action de Bakou, des Résolutions, nouvelles et modifiées, et des initiatives régionales ont été adoptées pour une mise en œuvre sur la période 2026-2029. Le Document </w:t>
      </w:r>
      <w:hyperlink r:id="rId60" w:history="1">
        <w:proofErr w:type="spellStart"/>
        <w:r w:rsidRPr="00E408BF">
          <w:rPr>
            <w:rStyle w:val="Hyperlink"/>
            <w:szCs w:val="24"/>
          </w:rPr>
          <w:t>TDAG</w:t>
        </w:r>
        <w:proofErr w:type="spellEnd"/>
        <w:r w:rsidRPr="00E408BF">
          <w:rPr>
            <w:rStyle w:val="Hyperlink"/>
            <w:szCs w:val="24"/>
          </w:rPr>
          <w:t>-26/4</w:t>
        </w:r>
      </w:hyperlink>
      <w:r w:rsidRPr="00E408BF">
        <w:rPr>
          <w:rStyle w:val="Hyperlink"/>
          <w:color w:val="auto"/>
          <w:szCs w:val="24"/>
          <w:u w:val="none"/>
        </w:rPr>
        <w:t xml:space="preserve"> </w:t>
      </w:r>
      <w:r w:rsidRPr="00E408BF">
        <w:t xml:space="preserve">présente les incidences financières des Résolutions adoptées par la </w:t>
      </w:r>
      <w:proofErr w:type="spellStart"/>
      <w:r w:rsidRPr="00E408BF">
        <w:t>CMDT</w:t>
      </w:r>
      <w:proofErr w:type="spellEnd"/>
      <w:r w:rsidRPr="00E408BF">
        <w:t xml:space="preserve">-25, tandis que le Document </w:t>
      </w:r>
      <w:hyperlink r:id="rId61" w:history="1">
        <w:proofErr w:type="spellStart"/>
        <w:r w:rsidRPr="00E408BF">
          <w:rPr>
            <w:rStyle w:val="Hyperlink"/>
            <w:rFonts w:eastAsia="Aptos"/>
          </w:rPr>
          <w:t>TDAG</w:t>
        </w:r>
        <w:proofErr w:type="spellEnd"/>
        <w:r w:rsidRPr="00E408BF">
          <w:rPr>
            <w:rStyle w:val="Hyperlink"/>
            <w:rFonts w:eastAsia="Aptos"/>
          </w:rPr>
          <w:t>-26/19</w:t>
        </w:r>
      </w:hyperlink>
      <w:r w:rsidRPr="00E408BF">
        <w:t xml:space="preserve"> présente les incidences financières des nouvelles initiatives régionales adoptées. On trouvera de plus amples renseignements sur les projets de l'UIT-D dans le Document </w:t>
      </w:r>
      <w:hyperlink r:id="rId62" w:history="1">
        <w:proofErr w:type="spellStart"/>
        <w:r w:rsidRPr="00E408BF">
          <w:rPr>
            <w:rStyle w:val="Hyperlink"/>
          </w:rPr>
          <w:t>TDAG</w:t>
        </w:r>
        <w:proofErr w:type="spellEnd"/>
        <w:r w:rsidRPr="00E408BF">
          <w:rPr>
            <w:rStyle w:val="Hyperlink"/>
          </w:rPr>
          <w:noBreakHyphen/>
          <w:t>25/5</w:t>
        </w:r>
      </w:hyperlink>
      <w:r w:rsidRPr="00E408BF">
        <w:t xml:space="preserve"> et dans le Document </w:t>
      </w:r>
      <w:hyperlink r:id="rId63" w:history="1">
        <w:proofErr w:type="spellStart"/>
        <w:r w:rsidRPr="00E408BF">
          <w:rPr>
            <w:rStyle w:val="Hyperlink"/>
          </w:rPr>
          <w:t>TDAG</w:t>
        </w:r>
        <w:proofErr w:type="spellEnd"/>
        <w:r w:rsidRPr="00E408BF">
          <w:rPr>
            <w:rStyle w:val="Hyperlink"/>
          </w:rPr>
          <w:noBreakHyphen/>
          <w:t>26/8</w:t>
        </w:r>
      </w:hyperlink>
      <w:r w:rsidRPr="00E408BF">
        <w:t>.</w:t>
      </w:r>
    </w:p>
    <w:p w14:paraId="79ABF278" w14:textId="362EF4CC" w:rsidR="0060731A" w:rsidRPr="00E408BF" w:rsidRDefault="0060731A" w:rsidP="00516E3F">
      <w:pPr>
        <w:pStyle w:val="Heading1"/>
      </w:pPr>
      <w:r w:rsidRPr="00E408BF">
        <w:lastRenderedPageBreak/>
        <w:t>3</w:t>
      </w:r>
      <w:r w:rsidRPr="00E408BF">
        <w:tab/>
      </w:r>
      <w:r w:rsidR="00787EDA" w:rsidRPr="00E408BF">
        <w:t>Activités liées aux autres Secteurs et aux Bureaux de l'UIT</w:t>
      </w:r>
    </w:p>
    <w:p w14:paraId="5481DF93" w14:textId="62A64DE6" w:rsidR="0060731A" w:rsidRPr="00E408BF" w:rsidRDefault="0060731A" w:rsidP="00516E3F">
      <w:pPr>
        <w:pStyle w:val="Heading2"/>
      </w:pPr>
      <w:r w:rsidRPr="00E408BF">
        <w:t>3.1</w:t>
      </w:r>
      <w:r w:rsidRPr="00E408BF">
        <w:tab/>
      </w:r>
      <w:r w:rsidR="00787EDA" w:rsidRPr="00E408BF">
        <w:t>Collaboration générale</w:t>
      </w:r>
    </w:p>
    <w:p w14:paraId="2016F71B" w14:textId="412B5C01" w:rsidR="00787EDA" w:rsidRPr="00E408BF" w:rsidRDefault="00787EDA" w:rsidP="00516E3F">
      <w:pPr>
        <w:jc w:val="both"/>
      </w:pPr>
      <w:r w:rsidRPr="00E408BF">
        <w:t>Le BDT, en collaboration et en étroite coordination avec le BR, le TSB et le Secrétariat général, s'emploie sans relâche à renforcer la présence régionale de l'UIT et à améliorer la fourniture de services aux États Membres.</w:t>
      </w:r>
    </w:p>
    <w:p w14:paraId="26BBF00D" w14:textId="77777777" w:rsidR="00787EDA" w:rsidRPr="00E408BF" w:rsidRDefault="00787EDA" w:rsidP="00516E3F">
      <w:pPr>
        <w:pStyle w:val="Heading2"/>
      </w:pPr>
      <w:r w:rsidRPr="00E408BF">
        <w:t>3.2</w:t>
      </w:r>
      <w:r w:rsidRPr="00E408BF">
        <w:tab/>
        <w:t>Bureau régional pour l'Afrique/activités dans la région Afrique</w:t>
      </w:r>
    </w:p>
    <w:p w14:paraId="12F4E0B1" w14:textId="77777777" w:rsidR="00787EDA" w:rsidRPr="00E408BF" w:rsidRDefault="00787EDA" w:rsidP="00516E3F">
      <w:pPr>
        <w:pStyle w:val="Headingb"/>
      </w:pPr>
      <w:r w:rsidRPr="00E408BF">
        <w:t>Activités liées au BR</w:t>
      </w:r>
    </w:p>
    <w:p w14:paraId="575CA218" w14:textId="4CEB3211" w:rsidR="00787EDA" w:rsidRPr="00E408BF" w:rsidRDefault="00787EDA" w:rsidP="00516E3F">
      <w:pPr>
        <w:pStyle w:val="enumlev1"/>
        <w:jc w:val="both"/>
      </w:pPr>
      <w:r w:rsidRPr="00E408BF">
        <w:t>–</w:t>
      </w:r>
      <w:r w:rsidRPr="00E408BF">
        <w:tab/>
        <w:t xml:space="preserve">Le Bureau régional pour l'Afrique a facilité l'organisation du </w:t>
      </w:r>
      <w:hyperlink r:id="rId64" w:anchor="/fr" w:history="1">
        <w:r w:rsidRPr="00E408BF">
          <w:rPr>
            <w:rStyle w:val="Hyperlink"/>
          </w:rPr>
          <w:t>Séminaire régional des radiocommunications de l'UIT pour l'Afrique</w:t>
        </w:r>
      </w:hyperlink>
      <w:r w:rsidRPr="00E408BF">
        <w:t>, tenu du 5 au 8 mai 2025 à Djibouti.</w:t>
      </w:r>
    </w:p>
    <w:p w14:paraId="17C34A9D" w14:textId="1FD6A2F4" w:rsidR="00787EDA" w:rsidRPr="00E408BF" w:rsidRDefault="00787EDA" w:rsidP="00516E3F">
      <w:pPr>
        <w:pStyle w:val="enumlev1"/>
        <w:jc w:val="both"/>
      </w:pPr>
      <w:r w:rsidRPr="00E408BF">
        <w:t>–</w:t>
      </w:r>
      <w:r w:rsidRPr="00E408BF">
        <w:tab/>
        <w:t xml:space="preserve">Le Bureau régional pour l'Afrique, en collaboration avec la </w:t>
      </w:r>
      <w:proofErr w:type="spellStart"/>
      <w:r w:rsidRPr="00E408BF">
        <w:t>GSMA</w:t>
      </w:r>
      <w:proofErr w:type="spellEnd"/>
      <w:r w:rsidRPr="00E408BF">
        <w:t>, la Communauté de l'Afrique de l'Est (CAE) et l'Autorité intergouvernementale pour le développement (</w:t>
      </w:r>
      <w:proofErr w:type="spellStart"/>
      <w:r w:rsidRPr="00E408BF">
        <w:t>IGAD</w:t>
      </w:r>
      <w:proofErr w:type="spellEnd"/>
      <w:r w:rsidRPr="00E408BF">
        <w:t>), et avec l'appui de la Banque mondiale dans le cadre du projet régional d'intégration numérique de l'Afrique de l'Est (</w:t>
      </w:r>
      <w:proofErr w:type="spellStart"/>
      <w:r w:rsidRPr="00E408BF">
        <w:t>EARDIP</w:t>
      </w:r>
      <w:proofErr w:type="spellEnd"/>
      <w:r w:rsidRPr="00E408BF">
        <w:t xml:space="preserve">), a organisé, le 20 octobre 2025 à Kigali (Rwanda), </w:t>
      </w:r>
      <w:hyperlink r:id="rId65" w:history="1">
        <w:r w:rsidRPr="00E408BF">
          <w:rPr>
            <w:rStyle w:val="Hyperlink"/>
            <w:rFonts w:eastAsia="Aptos"/>
          </w:rPr>
          <w:t>atelier sur la gestion du spectre axé sur l'harmonisation régionale pour promouvoir la connectivité transfrontières en Afrique de l'Est</w:t>
        </w:r>
      </w:hyperlink>
      <w:r w:rsidRPr="00E408BF">
        <w:t>. Avec 42 participants venus du Burundi, de la République</w:t>
      </w:r>
      <w:r w:rsidR="008A26C5" w:rsidRPr="00E408BF">
        <w:t> </w:t>
      </w:r>
      <w:r w:rsidRPr="00E408BF">
        <w:t>démocratique du Congo, de Djibouti, de l'Éthiopie, du Kenya, du Rwanda, de la Somalie, du Soudan, du Soudan du Sud, de la Tanzanie et de l'Ouganda, cette formation sur la gestion du spectre a mis l'accent sur l'intégration régionale et la coordination transfrontières en Afrique de l'Est et a donné aux régulateurs et aux décideurs les moyens de mettre en œuvre des modèles de gouvernance du spectre interopérables, résilients et parés pour l'avenir qui transcendent les frontières nationales. Avec le BR, le Bureau régional pour l'Afrique a dispensé des formations sur les aspects réglementaires de la coordination des IMT et de la notification des IMT à l'UIT, sur l'harmonisation régionale des bandes de fréquences et des conditions techniques, ainsi que sur l'expérience de l'UIT en ce qui concerne le rôle de la coordination transfrontières du spectre dans la normalisation des technologies large bande de Terre.</w:t>
      </w:r>
    </w:p>
    <w:p w14:paraId="3A121EFC" w14:textId="77777777" w:rsidR="00787EDA" w:rsidRPr="00E408BF" w:rsidRDefault="00787EDA" w:rsidP="00516E3F">
      <w:pPr>
        <w:pStyle w:val="Headingb"/>
        <w:jc w:val="both"/>
      </w:pPr>
      <w:r w:rsidRPr="00E408BF">
        <w:t>Activités liées au TSB</w:t>
      </w:r>
    </w:p>
    <w:p w14:paraId="643B7AFE" w14:textId="77777777" w:rsidR="00787EDA" w:rsidRPr="00E408BF" w:rsidRDefault="00787EDA" w:rsidP="00516E3F">
      <w:pPr>
        <w:pStyle w:val="enumlev1"/>
        <w:jc w:val="both"/>
      </w:pPr>
      <w:r w:rsidRPr="00E408BF">
        <w:t>–</w:t>
      </w:r>
      <w:r w:rsidRPr="00E408BF">
        <w:tab/>
        <w:t>En collaboration avec le TSB, une série de stages pratiques sur la sécurité des services financiers numériques (</w:t>
      </w:r>
      <w:proofErr w:type="spellStart"/>
      <w:r w:rsidRPr="00E408BF">
        <w:t>DFS</w:t>
      </w:r>
      <w:proofErr w:type="spellEnd"/>
      <w:r w:rsidRPr="00E408BF">
        <w:t xml:space="preserve">) ont été organisés dans les pays </w:t>
      </w:r>
      <w:proofErr w:type="gramStart"/>
      <w:r w:rsidRPr="00E408BF">
        <w:t>suivants:</w:t>
      </w:r>
      <w:proofErr w:type="gramEnd"/>
      <w:r w:rsidRPr="00E408BF">
        <w:t xml:space="preserve"> Gambie, Soudan du Sud, Ghana, Zimbabwe, Malawi, Lesotho, Éthiopie, Eswatini, Sierra Leone, Burkina Faso et Gabon.</w:t>
      </w:r>
    </w:p>
    <w:p w14:paraId="58EA4D1F" w14:textId="77777777" w:rsidR="00787EDA" w:rsidRPr="00E408BF" w:rsidRDefault="00787EDA" w:rsidP="00516E3F">
      <w:pPr>
        <w:pStyle w:val="enumlev1"/>
        <w:jc w:val="both"/>
      </w:pPr>
      <w:r w:rsidRPr="00E408BF">
        <w:t>–</w:t>
      </w:r>
      <w:r w:rsidRPr="00E408BF">
        <w:tab/>
        <w:t xml:space="preserve">Le Bureau régional pour l'Afrique, en collaboration avec la </w:t>
      </w:r>
      <w:proofErr w:type="spellStart"/>
      <w:r w:rsidRPr="00E408BF">
        <w:t>GSMA</w:t>
      </w:r>
      <w:proofErr w:type="spellEnd"/>
      <w:r w:rsidRPr="00E408BF">
        <w:t>, a coordonné un atelier au Bénin, le 5 septembre 2025, au cours duquel le TSB a dispensé une formation sur la qualité de service et les Recommandations connexes adoptées par l'UIT.</w:t>
      </w:r>
    </w:p>
    <w:p w14:paraId="2F9D78DA" w14:textId="77777777" w:rsidR="00787EDA" w:rsidRPr="00E408BF" w:rsidRDefault="00787EDA" w:rsidP="00516E3F">
      <w:pPr>
        <w:pStyle w:val="enumlev1"/>
        <w:jc w:val="both"/>
      </w:pPr>
      <w:r w:rsidRPr="00E408BF">
        <w:t>–</w:t>
      </w:r>
      <w:r w:rsidRPr="00E408BF">
        <w:tab/>
        <w:t>Trois fonctionnaires du TSB sont détachés auprès du Bureau régional pour l'Afrique, afin d'aider les membres dans les travaux de normalisation.</w:t>
      </w:r>
    </w:p>
    <w:p w14:paraId="47320DD3" w14:textId="77777777" w:rsidR="00787EDA" w:rsidRPr="00E408BF" w:rsidRDefault="00787EDA" w:rsidP="00516E3F">
      <w:pPr>
        <w:pStyle w:val="Heading2"/>
      </w:pPr>
      <w:r w:rsidRPr="00E408BF">
        <w:t>3.3</w:t>
      </w:r>
      <w:r w:rsidRPr="00E408BF">
        <w:tab/>
        <w:t>Bureau régional pour les Amériques/activités dans la région Amériques</w:t>
      </w:r>
    </w:p>
    <w:p w14:paraId="66492E31" w14:textId="77777777" w:rsidR="00787EDA" w:rsidRPr="00E408BF" w:rsidRDefault="00787EDA" w:rsidP="00516E3F">
      <w:pPr>
        <w:pStyle w:val="Headingb"/>
      </w:pPr>
      <w:r w:rsidRPr="00E408BF">
        <w:t>Activités liées au BR</w:t>
      </w:r>
    </w:p>
    <w:p w14:paraId="207E0623" w14:textId="77777777" w:rsidR="00787EDA" w:rsidRPr="00E408BF" w:rsidRDefault="00787EDA" w:rsidP="00516E3F">
      <w:pPr>
        <w:pStyle w:val="enumlev1"/>
        <w:keepNext/>
        <w:keepLines/>
        <w:widowControl w:val="0"/>
        <w:jc w:val="both"/>
      </w:pPr>
      <w:r w:rsidRPr="00E408BF">
        <w:t>–</w:t>
      </w:r>
      <w:r w:rsidRPr="00E408BF">
        <w:tab/>
        <w:t>Des équipements satellitaires ont été déployés pour couvrir la Jamaïque (2025) et appuyer les interventions post-ouragan. Des équipements satellitaires prépositionnés avaient déjà été déployés à la Barbade avant la saison des ouragans de 2024.</w:t>
      </w:r>
    </w:p>
    <w:p w14:paraId="1DBE3B9E" w14:textId="305BDEF4" w:rsidR="00787EDA" w:rsidRPr="00E408BF" w:rsidRDefault="00787EDA" w:rsidP="00516E3F">
      <w:pPr>
        <w:pStyle w:val="enumlev1"/>
        <w:widowControl w:val="0"/>
        <w:jc w:val="both"/>
      </w:pPr>
      <w:r w:rsidRPr="00E408BF">
        <w:t>–</w:t>
      </w:r>
      <w:r w:rsidRPr="00E408BF">
        <w:tab/>
        <w:t xml:space="preserve">Le Bureau régional pour les Amériques a collaboré dans le cadre de l'organisation du </w:t>
      </w:r>
      <w:hyperlink r:id="rId66" w:anchor="/fr" w:history="1">
        <w:r w:rsidR="00F0552F" w:rsidRPr="00E408BF">
          <w:rPr>
            <w:rStyle w:val="Hyperlink"/>
          </w:rPr>
          <w:t xml:space="preserve">Séminaire </w:t>
        </w:r>
        <w:r w:rsidR="00F0552F" w:rsidRPr="00E408BF">
          <w:rPr>
            <w:rStyle w:val="Hyperlink"/>
          </w:rPr>
          <w:lastRenderedPageBreak/>
          <w:t>régional des radiocommunications pour les Amériques</w:t>
        </w:r>
      </w:hyperlink>
      <w:r w:rsidRPr="00E408BF">
        <w:t>, qui a eu lieu du 12 au 16</w:t>
      </w:r>
      <w:r w:rsidR="00372098" w:rsidRPr="00E408BF">
        <w:t> </w:t>
      </w:r>
      <w:r w:rsidRPr="00E408BF">
        <w:t>juin 2025 à Tegucigalpa (Honduras), et qui a permis aux États Membres d'intégrer les technologies satellitaires dans leurs stratégies nationales sur le large bande.</w:t>
      </w:r>
    </w:p>
    <w:p w14:paraId="2601DA24" w14:textId="77777777" w:rsidR="00787EDA" w:rsidRPr="00E408BF" w:rsidRDefault="00787EDA" w:rsidP="00516E3F">
      <w:pPr>
        <w:pStyle w:val="enumlev1"/>
        <w:jc w:val="both"/>
      </w:pPr>
      <w:r w:rsidRPr="00E408BF">
        <w:t>–</w:t>
      </w:r>
      <w:r w:rsidRPr="00E408BF">
        <w:tab/>
        <w:t xml:space="preserve">Le BDT a fourni une collaboration concernant divers programmes de renforcement des capacités liées à la gestion du spectre radioélectrique, en partenariat avec les Centres de formation de l'Académie de l'UIT du Pérou et du Brésil, dont huit cours liés à la </w:t>
      </w:r>
      <w:proofErr w:type="spellStart"/>
      <w:r w:rsidRPr="00E408BF">
        <w:t>5G</w:t>
      </w:r>
      <w:proofErr w:type="spellEnd"/>
      <w:r w:rsidRPr="00E408BF">
        <w:t xml:space="preserve"> organisés au Costa Rica de septembre à octobre 2025.</w:t>
      </w:r>
    </w:p>
    <w:p w14:paraId="301A6455" w14:textId="77777777" w:rsidR="00787EDA" w:rsidRPr="00E408BF" w:rsidRDefault="00787EDA" w:rsidP="00516E3F">
      <w:pPr>
        <w:pStyle w:val="enumlev1"/>
        <w:jc w:val="both"/>
      </w:pPr>
      <w:r w:rsidRPr="00E408BF">
        <w:t>–</w:t>
      </w:r>
      <w:r w:rsidRPr="00E408BF">
        <w:tab/>
        <w:t>En décembre 2025, le BDT a fourni à la Colombie le Plan général pour l'arrêt de la télévision analogique.</w:t>
      </w:r>
    </w:p>
    <w:p w14:paraId="7F87CEC4" w14:textId="77777777" w:rsidR="00787EDA" w:rsidRPr="00E408BF" w:rsidRDefault="00787EDA" w:rsidP="00516E3F">
      <w:pPr>
        <w:pStyle w:val="enumlev1"/>
        <w:jc w:val="both"/>
      </w:pPr>
      <w:r w:rsidRPr="00E408BF">
        <w:t>–</w:t>
      </w:r>
      <w:r w:rsidRPr="00E408BF">
        <w:tab/>
        <w:t>Une assistance technique a été fournie à la République dominicaine (2025) afin d'établir une feuille de route pour la mise en œuvre d'un système de cartographie.</w:t>
      </w:r>
    </w:p>
    <w:p w14:paraId="181436C2" w14:textId="77777777" w:rsidR="00787EDA" w:rsidRPr="00E408BF" w:rsidRDefault="00787EDA" w:rsidP="00516E3F">
      <w:pPr>
        <w:pStyle w:val="Headingb"/>
        <w:jc w:val="both"/>
      </w:pPr>
      <w:r w:rsidRPr="00E408BF">
        <w:t>Activités liées au TSB</w:t>
      </w:r>
    </w:p>
    <w:p w14:paraId="5A856633" w14:textId="232D8888" w:rsidR="00787EDA" w:rsidRPr="00E408BF" w:rsidRDefault="00787EDA" w:rsidP="00516E3F">
      <w:pPr>
        <w:pStyle w:val="enumlev1"/>
        <w:jc w:val="both"/>
      </w:pPr>
      <w:r w:rsidRPr="00E408BF">
        <w:t>–</w:t>
      </w:r>
      <w:r w:rsidRPr="00E408BF">
        <w:tab/>
        <w:t>Par l'intermédiaire du Bureau régional pour les Amériques, le BDT a encouragé les États</w:t>
      </w:r>
      <w:r w:rsidR="008A26C5" w:rsidRPr="00E408BF">
        <w:t> </w:t>
      </w:r>
      <w:r w:rsidRPr="00E408BF">
        <w:t>Membres de la région Amériques et les membres du secteur privé à participer activement aux travaux des commissions d'études du TSB lors de diverses réunions.</w:t>
      </w:r>
    </w:p>
    <w:p w14:paraId="4AAE956F" w14:textId="77777777" w:rsidR="00787EDA" w:rsidRPr="00E408BF" w:rsidRDefault="00787EDA" w:rsidP="00516E3F">
      <w:pPr>
        <w:pStyle w:val="enumlev1"/>
        <w:jc w:val="both"/>
      </w:pPr>
      <w:r w:rsidRPr="00E408BF">
        <w:t>–</w:t>
      </w:r>
      <w:r w:rsidRPr="00E408BF">
        <w:tab/>
        <w:t>Des appels ont été organisés à intervalles réguliers avec le directeur et l'équipe de direction du TSB à des fins de coordination. En complément, des consultations ont été menées au niveau opérationnel, lorsque cela était nécessaire.</w:t>
      </w:r>
    </w:p>
    <w:p w14:paraId="26A7942C" w14:textId="77777777" w:rsidR="00787EDA" w:rsidRPr="00E408BF" w:rsidRDefault="00787EDA" w:rsidP="00516E3F">
      <w:pPr>
        <w:pStyle w:val="enumlev1"/>
        <w:jc w:val="both"/>
      </w:pPr>
      <w:r w:rsidRPr="00E408BF">
        <w:t>–</w:t>
      </w:r>
      <w:r w:rsidRPr="00E408BF">
        <w:tab/>
        <w:t xml:space="preserve">Le Bureau régional pour les Amériques a facilité la coordination entre le TSB et les organisations régionales (CITEL, principalement au sein du </w:t>
      </w:r>
      <w:proofErr w:type="spellStart"/>
      <w:r w:rsidRPr="00E408BF">
        <w:t>PCC.I</w:t>
      </w:r>
      <w:proofErr w:type="spellEnd"/>
      <w:r w:rsidRPr="00E408BF">
        <w:t>) et fourni un appui pour garantir une participation au niveau régional. En ce qui concerne le programme de réduction de l'écart en matière de normalisation (</w:t>
      </w:r>
      <w:proofErr w:type="spellStart"/>
      <w:r w:rsidRPr="00E408BF">
        <w:t>BSG</w:t>
      </w:r>
      <w:proofErr w:type="spellEnd"/>
      <w:r w:rsidRPr="00E408BF">
        <w:t xml:space="preserve">), le Bureau régional pour les Amériques a fourni un appui au TSB au plus haut niveau des manifestations et des plates formes pertinentes, en procédant à la refonte des produits et des services du programme </w:t>
      </w:r>
      <w:proofErr w:type="spellStart"/>
      <w:r w:rsidRPr="00E408BF">
        <w:t>BSG</w:t>
      </w:r>
      <w:proofErr w:type="spellEnd"/>
      <w:r w:rsidRPr="00E408BF">
        <w:t xml:space="preserve"> (conformément aux Résolutions 123 de la </w:t>
      </w:r>
      <w:proofErr w:type="spellStart"/>
      <w:r w:rsidRPr="00E408BF">
        <w:t>PP-22</w:t>
      </w:r>
      <w:proofErr w:type="spellEnd"/>
      <w:r w:rsidRPr="00E408BF">
        <w:t xml:space="preserve"> et 44 de l'</w:t>
      </w:r>
      <w:proofErr w:type="spellStart"/>
      <w:r w:rsidRPr="00E408BF">
        <w:t>AMNT</w:t>
      </w:r>
      <w:proofErr w:type="spellEnd"/>
      <w:r w:rsidRPr="00E408BF">
        <w:t>-24).</w:t>
      </w:r>
    </w:p>
    <w:p w14:paraId="05EC3574" w14:textId="77777777" w:rsidR="00787EDA" w:rsidRPr="00E408BF" w:rsidRDefault="00787EDA" w:rsidP="00516E3F">
      <w:pPr>
        <w:pStyle w:val="enumlev1"/>
        <w:jc w:val="both"/>
      </w:pPr>
      <w:r w:rsidRPr="00E408BF">
        <w:t>–</w:t>
      </w:r>
      <w:r w:rsidRPr="00E408BF">
        <w:tab/>
        <w:t>Le TSB a participé activement au Dialogue économique régional (RED-AMS), qui s'est tenu en octobre 2025 à Montevideo (Uruguay), en partageant des connaissances et une expertise au sujet des travaux menés actuellement par la Commission d'études 3 de l'UIT-T et le Groupe spécialisé de l'UIT sur les modèles de coûts pour des services de données financièrement abordables (FG-CD), ainsi que sur la réglementation applicable aux réseaux de télécommunication.</w:t>
      </w:r>
    </w:p>
    <w:p w14:paraId="51CB51F8" w14:textId="0B141B7B" w:rsidR="00787EDA" w:rsidRPr="00E408BF" w:rsidRDefault="00787EDA" w:rsidP="00516E3F">
      <w:pPr>
        <w:pStyle w:val="enumlev1"/>
        <w:jc w:val="both"/>
      </w:pPr>
      <w:r w:rsidRPr="00E408BF">
        <w:t>–</w:t>
      </w:r>
      <w:r w:rsidRPr="00E408BF">
        <w:tab/>
        <w:t>Le Bureau régional pour les Amériques a facilité l'organisation de la réunion du Groupe régional de la Commission d'études 3 de l'UIT-T pour l'Amérique latine et les Caraïbes (</w:t>
      </w:r>
      <w:proofErr w:type="spellStart"/>
      <w:r w:rsidRPr="00E408BF">
        <w:t>SG3RG</w:t>
      </w:r>
      <w:proofErr w:type="spellEnd"/>
      <w:r w:rsidRPr="00E408BF">
        <w:t>-LAC) et de la réunion du Groupe régional de la Commission d'études 2 de l'UIT-T pour les Amériques (</w:t>
      </w:r>
      <w:proofErr w:type="spellStart"/>
      <w:r w:rsidRPr="00E408BF">
        <w:t>SG2RG</w:t>
      </w:r>
      <w:proofErr w:type="spellEnd"/>
      <w:r w:rsidRPr="00E408BF">
        <w:t>-AMR), qui se sont déroulées à Montevideo (Uruguay) en octobre</w:t>
      </w:r>
      <w:r w:rsidR="00F0552F" w:rsidRPr="00E408BF">
        <w:t> </w:t>
      </w:r>
      <w:r w:rsidRPr="00E408BF">
        <w:t>2025.</w:t>
      </w:r>
    </w:p>
    <w:p w14:paraId="00148518" w14:textId="77777777" w:rsidR="00787EDA" w:rsidRPr="00E408BF" w:rsidRDefault="00787EDA" w:rsidP="00516E3F">
      <w:pPr>
        <w:pStyle w:val="Heading2"/>
        <w:jc w:val="both"/>
      </w:pPr>
      <w:r w:rsidRPr="00E408BF">
        <w:t>3.4</w:t>
      </w:r>
      <w:r w:rsidRPr="00E408BF">
        <w:tab/>
        <w:t>Bureau régional pour les États arabes/activités dans la région des États arabes</w:t>
      </w:r>
    </w:p>
    <w:p w14:paraId="2E428FB5" w14:textId="77777777" w:rsidR="00787EDA" w:rsidRPr="00E408BF" w:rsidRDefault="00787EDA" w:rsidP="00516E3F">
      <w:pPr>
        <w:pStyle w:val="Headingb"/>
        <w:jc w:val="both"/>
      </w:pPr>
      <w:r w:rsidRPr="00E408BF">
        <w:t>Activités liées au BR</w:t>
      </w:r>
    </w:p>
    <w:p w14:paraId="4A8FF01E" w14:textId="77777777" w:rsidR="00787EDA" w:rsidRPr="00E408BF" w:rsidRDefault="00787EDA" w:rsidP="00516E3F">
      <w:pPr>
        <w:pStyle w:val="enumlev1"/>
        <w:widowControl w:val="0"/>
        <w:jc w:val="both"/>
      </w:pPr>
      <w:r w:rsidRPr="00E408BF">
        <w:t>–</w:t>
      </w:r>
      <w:r w:rsidRPr="00E408BF">
        <w:tab/>
        <w:t>L'atelier régional de l'UIT intitulé "Vers une connectivité universelle et efficace pour la région des États arabes" s'est tenu à Alger et portait sur les défis liés au développement des infrastructures et à la connectivité.</w:t>
      </w:r>
    </w:p>
    <w:p w14:paraId="0EFB7C74" w14:textId="77777777" w:rsidR="00787EDA" w:rsidRPr="00E408BF" w:rsidRDefault="00787EDA" w:rsidP="00516E3F">
      <w:pPr>
        <w:pStyle w:val="enumlev1"/>
        <w:widowControl w:val="0"/>
        <w:jc w:val="both"/>
      </w:pPr>
      <w:r w:rsidRPr="00E408BF">
        <w:t>–</w:t>
      </w:r>
      <w:r w:rsidRPr="00E408BF">
        <w:tab/>
        <w:t xml:space="preserve">Le Bureau régional pour les États arabes a continué de se coordonner avec le BR aux fins des travaux menés dans la région dans le cadre du Groupe chargé de la gestion du spectre dans </w:t>
      </w:r>
      <w:r w:rsidRPr="00E408BF">
        <w:lastRenderedPageBreak/>
        <w:t>les États arabes.</w:t>
      </w:r>
    </w:p>
    <w:p w14:paraId="60E2218A" w14:textId="77777777" w:rsidR="00787EDA" w:rsidRPr="00E408BF" w:rsidRDefault="00787EDA" w:rsidP="00516E3F">
      <w:pPr>
        <w:pStyle w:val="Headingb"/>
      </w:pPr>
      <w:r w:rsidRPr="00E408BF">
        <w:t>Activités liées au TSB</w:t>
      </w:r>
    </w:p>
    <w:p w14:paraId="5E2D9C33" w14:textId="77777777" w:rsidR="00787EDA" w:rsidRPr="00E408BF" w:rsidRDefault="00787EDA" w:rsidP="00516E3F">
      <w:pPr>
        <w:pStyle w:val="enumlev1"/>
        <w:jc w:val="both"/>
      </w:pPr>
      <w:r w:rsidRPr="00E408BF">
        <w:t>–</w:t>
      </w:r>
      <w:r w:rsidRPr="00E408BF">
        <w:tab/>
        <w:t>Le BDT a soutenu les travaux de la réunion du Groupe régional de la Commission d'études 3 de l'UIT-T, qui s'est tenue à Amman (Jordanie) en février 2025.</w:t>
      </w:r>
    </w:p>
    <w:p w14:paraId="16CE2E0A" w14:textId="77777777" w:rsidR="00787EDA" w:rsidRPr="00E408BF" w:rsidRDefault="00787EDA" w:rsidP="00516E3F">
      <w:pPr>
        <w:pStyle w:val="enumlev1"/>
        <w:jc w:val="both"/>
      </w:pPr>
      <w:r w:rsidRPr="00E408BF">
        <w:t>–</w:t>
      </w:r>
      <w:r w:rsidRPr="00E408BF">
        <w:tab/>
        <w:t>Le BDT et l'Autorité nationale de régulation des télécommunications (</w:t>
      </w:r>
      <w:proofErr w:type="spellStart"/>
      <w:r w:rsidRPr="00E408BF">
        <w:t>NTRA</w:t>
      </w:r>
      <w:proofErr w:type="spellEnd"/>
      <w:r w:rsidRPr="00E408BF">
        <w:t>) de l'Égypte mettent en œuvre un projet sur les villes et les communautés intelligentes et durables (</w:t>
      </w:r>
      <w:proofErr w:type="spellStart"/>
      <w:r w:rsidRPr="00E408BF">
        <w:t>SSC&amp;C</w:t>
      </w:r>
      <w:proofErr w:type="spellEnd"/>
      <w:r w:rsidRPr="00E408BF">
        <w:t>). Dans le cadre de ce projet, le Bureau régional pour les États arabes a coordonné le développement et la promotion des villes et communautés intelligentes et durables avec la Commission d'études 20 de l'UIT-T. De plus, les contributions en matière de gestion, les observations et les orientations techniques de la Commission d'études 20 de l'UIT-T ont été intégrées dans les travaux mis au point par le BDT concernant le projet de cadre d'évaluation des villes et communautés intelligentes et durables pour l'Égypte.</w:t>
      </w:r>
    </w:p>
    <w:p w14:paraId="7EC9037B" w14:textId="77777777" w:rsidR="00787EDA" w:rsidRPr="00E408BF" w:rsidRDefault="00787EDA" w:rsidP="00516E3F">
      <w:pPr>
        <w:pStyle w:val="enumlev1"/>
        <w:jc w:val="both"/>
      </w:pPr>
      <w:r w:rsidRPr="00E408BF">
        <w:t>–</w:t>
      </w:r>
      <w:r w:rsidRPr="00E408BF">
        <w:tab/>
        <w:t>La réunion du Groupe régional de la Commission d'études 3 de l'UIT-T pour la région des États arabes (</w:t>
      </w:r>
      <w:proofErr w:type="spellStart"/>
      <w:r w:rsidRPr="00E408BF">
        <w:t>SG3RG</w:t>
      </w:r>
      <w:proofErr w:type="spellEnd"/>
      <w:r w:rsidRPr="00E408BF">
        <w:t>-ARB) devrait se tenir les 29 et 30 mars 2026, au Caire (Égypte), et devrait être suivie de la réunion du Groupe régional de la Commission d'études 20 de l'UIT-T pour l'Afrique (</w:t>
      </w:r>
      <w:proofErr w:type="spellStart"/>
      <w:r w:rsidRPr="00E408BF">
        <w:t>SG20RG-AFR</w:t>
      </w:r>
      <w:proofErr w:type="spellEnd"/>
      <w:r w:rsidRPr="00E408BF">
        <w:t>), les 30 et 31 mars 2026.</w:t>
      </w:r>
    </w:p>
    <w:p w14:paraId="00977B53" w14:textId="77777777" w:rsidR="00787EDA" w:rsidRPr="00E408BF" w:rsidRDefault="00787EDA" w:rsidP="00516E3F">
      <w:pPr>
        <w:pStyle w:val="enumlev1"/>
        <w:jc w:val="both"/>
      </w:pPr>
      <w:r w:rsidRPr="00E408BF">
        <w:t>–</w:t>
      </w:r>
      <w:r w:rsidRPr="00E408BF">
        <w:tab/>
        <w:t>Un fonctionnaire de catégorie G a été nommé au Bureau régional pour les États arabes, afin de renforcer la coordination avec le TSB et de faciliter les activités liées aux commissions d'études.</w:t>
      </w:r>
    </w:p>
    <w:p w14:paraId="4E62D985" w14:textId="77777777" w:rsidR="00787EDA" w:rsidRPr="00E408BF" w:rsidRDefault="00787EDA" w:rsidP="00516E3F">
      <w:pPr>
        <w:pStyle w:val="Heading2"/>
        <w:jc w:val="both"/>
      </w:pPr>
      <w:r w:rsidRPr="00E408BF">
        <w:t>3.5</w:t>
      </w:r>
      <w:r w:rsidRPr="00E408BF">
        <w:tab/>
        <w:t>Bureau régional pour l'Asie-Pacifique/activités pour la région Asie-Pacifique</w:t>
      </w:r>
    </w:p>
    <w:p w14:paraId="413FB043" w14:textId="77777777" w:rsidR="00787EDA" w:rsidRPr="00E408BF" w:rsidRDefault="00787EDA" w:rsidP="00516E3F">
      <w:pPr>
        <w:pStyle w:val="Headingb"/>
        <w:jc w:val="both"/>
      </w:pPr>
      <w:r w:rsidRPr="00E408BF">
        <w:t>Activités liées au BR</w:t>
      </w:r>
    </w:p>
    <w:p w14:paraId="4359E3B0" w14:textId="1BEA9DE0" w:rsidR="00787EDA" w:rsidRPr="00E408BF" w:rsidRDefault="00787EDA" w:rsidP="00516E3F">
      <w:pPr>
        <w:pStyle w:val="enumlev1"/>
        <w:jc w:val="both"/>
      </w:pPr>
      <w:r w:rsidRPr="00E408BF">
        <w:t>–</w:t>
      </w:r>
      <w:r w:rsidRPr="00E408BF">
        <w:tab/>
        <w:t>Du 20 au 24 octobre 2025, à Chengdu (</w:t>
      </w:r>
      <w:proofErr w:type="spellStart"/>
      <w:r w:rsidRPr="00E408BF">
        <w:t>Rép</w:t>
      </w:r>
      <w:proofErr w:type="spellEnd"/>
      <w:r w:rsidRPr="00E408BF">
        <w:t>. pop. de Chine), le Bureau régional pour l'Asie</w:t>
      </w:r>
      <w:r w:rsidR="00A62004" w:rsidRPr="00E408BF">
        <w:noBreakHyphen/>
      </w:r>
      <w:r w:rsidRPr="00E408BF">
        <w:t xml:space="preserve">Pacifique a aidé le BR à organiser le </w:t>
      </w:r>
      <w:hyperlink r:id="rId67" w:history="1">
        <w:r w:rsidR="00A62004" w:rsidRPr="00E408BF">
          <w:rPr>
            <w:rStyle w:val="Hyperlink"/>
            <w:rFonts w:eastAsia="Aptos"/>
          </w:rPr>
          <w:t>Séminaire régional des radiocommunications de l'UIT pour l'Asie-Pacifique</w:t>
        </w:r>
      </w:hyperlink>
      <w:r w:rsidRPr="00E408BF">
        <w:t xml:space="preserve">. Le Bureau régional pour l'Asie-Pacifique a mené des activités pour contribuer à la mise en œuvre de la Résolution 9 de la </w:t>
      </w:r>
      <w:proofErr w:type="spellStart"/>
      <w:r w:rsidRPr="00E408BF">
        <w:t>CMDT</w:t>
      </w:r>
      <w:proofErr w:type="spellEnd"/>
      <w:r w:rsidRPr="00E408BF">
        <w:t>-22 et conformément à l'Initiative régionale 3 et au Résultat attendu 6 pour l'Asie-Pacifique.</w:t>
      </w:r>
    </w:p>
    <w:p w14:paraId="6A80BF9C" w14:textId="0FB9803D" w:rsidR="00787EDA" w:rsidRPr="00E408BF" w:rsidRDefault="00787EDA" w:rsidP="00516E3F">
      <w:pPr>
        <w:pStyle w:val="enumlev1"/>
        <w:jc w:val="both"/>
      </w:pPr>
      <w:r w:rsidRPr="00E408BF">
        <w:t>–</w:t>
      </w:r>
      <w:r w:rsidRPr="00E408BF">
        <w:tab/>
        <w:t xml:space="preserve">Le Bureau régional pour l'Asie-Pacifique a aidé le BR à organiser </w:t>
      </w:r>
      <w:hyperlink r:id="rId68" w:history="1">
        <w:r w:rsidR="00A62004" w:rsidRPr="00E408BF">
          <w:rPr>
            <w:rStyle w:val="Hyperlink"/>
            <w:rFonts w:eastAsia="Aptos"/>
          </w:rPr>
          <w:t>Atelier de l'UIT sur la gestion moderne du spectre de 2025 pour la Région 3 (</w:t>
        </w:r>
        <w:proofErr w:type="spellStart"/>
        <w:r w:rsidR="00A62004" w:rsidRPr="00E408BF">
          <w:rPr>
            <w:rStyle w:val="Hyperlink"/>
            <w:rFonts w:eastAsia="Aptos"/>
          </w:rPr>
          <w:t>WS</w:t>
        </w:r>
        <w:proofErr w:type="spellEnd"/>
        <w:r w:rsidR="00A62004" w:rsidRPr="00E408BF">
          <w:rPr>
            <w:rStyle w:val="Hyperlink"/>
            <w:rFonts w:eastAsia="Aptos"/>
          </w:rPr>
          <w:t>-MSS-25-</w:t>
        </w:r>
        <w:proofErr w:type="spellStart"/>
        <w:r w:rsidR="00A62004" w:rsidRPr="00E408BF">
          <w:rPr>
            <w:rStyle w:val="Hyperlink"/>
            <w:rFonts w:eastAsia="Aptos"/>
          </w:rPr>
          <w:t>R3</w:t>
        </w:r>
        <w:proofErr w:type="spellEnd"/>
        <w:r w:rsidR="00A62004" w:rsidRPr="00E408BF">
          <w:rPr>
            <w:rStyle w:val="Hyperlink"/>
            <w:rFonts w:eastAsia="Aptos"/>
            <w:u w:val="none"/>
          </w:rPr>
          <w:t>)</w:t>
        </w:r>
      </w:hyperlink>
      <w:r w:rsidRPr="00E408BF">
        <w:t>. Il a mis l'accent sur les besoins en spectre des fréquences radioélectriques pour les services essentiels, notamment les services aéronautique et maritime, l'alerte avancée et l'atténuation des effets des catastrophes, ainsi que sur les caractéristiques offertes par le Système de gestion du spectre pour les pays en développement (</w:t>
      </w:r>
      <w:proofErr w:type="spellStart"/>
      <w:r w:rsidRPr="00E408BF">
        <w:t>SMS4DC</w:t>
      </w:r>
      <w:proofErr w:type="spellEnd"/>
      <w:r w:rsidRPr="00E408BF">
        <w:t xml:space="preserve">) en ce qui concerne l'automatisation des fonctions de la gestion du spectre. L'atelier s'est déroulé du 27 au 29 octobre 2025, avec le soutien de </w:t>
      </w:r>
      <w:proofErr w:type="spellStart"/>
      <w:r w:rsidRPr="00E408BF">
        <w:t>MIIT</w:t>
      </w:r>
      <w:proofErr w:type="spellEnd"/>
      <w:r w:rsidRPr="00E408BF">
        <w:t>-China.</w:t>
      </w:r>
    </w:p>
    <w:p w14:paraId="6843BA5B" w14:textId="77777777" w:rsidR="00787EDA" w:rsidRPr="00E408BF" w:rsidRDefault="00787EDA" w:rsidP="00516E3F">
      <w:pPr>
        <w:pStyle w:val="enumlev1"/>
        <w:jc w:val="both"/>
      </w:pPr>
      <w:r w:rsidRPr="00E408BF">
        <w:t>–</w:t>
      </w:r>
      <w:r w:rsidRPr="00E408BF">
        <w:tab/>
        <w:t xml:space="preserve">Le Bureau régional pour l'Asie-Pacifique a fourni un appui dans le cadre du Séminaire sur les services scientifiques de préparation à la Conférence mondiale des radiocommunications (CMR) de 2027, qui a eu lieu les 9 et 10 décembre 2025 à </w:t>
      </w:r>
      <w:proofErr w:type="spellStart"/>
      <w:r w:rsidRPr="00E408BF">
        <w:t>Cyberjaya</w:t>
      </w:r>
      <w:proofErr w:type="spellEnd"/>
      <w:r w:rsidRPr="00E408BF">
        <w:t xml:space="preserve"> (Malaisie).</w:t>
      </w:r>
    </w:p>
    <w:p w14:paraId="09512A7A" w14:textId="77777777" w:rsidR="00787EDA" w:rsidRPr="00E408BF" w:rsidRDefault="00787EDA" w:rsidP="00516E3F">
      <w:pPr>
        <w:pStyle w:val="enumlev1"/>
        <w:jc w:val="both"/>
      </w:pPr>
      <w:r w:rsidRPr="00E408BF">
        <w:t>–</w:t>
      </w:r>
      <w:r w:rsidRPr="00E408BF">
        <w:tab/>
        <w:t>Dans le cadre de l'assistance directe fournie à Palau, à Nauru et au Vanuatu au titre de l'Initiative régionale 3 et du résultat attendu 6 pour l'Asie-Pacifique, les connaissances du personnel technique ont été perfectionnées grâce à des séances spéciales sur la gestion nationale du spectre, le contrôle des fréquences radioélectriques, la coordination internationale et le rôle des CMR. Une assistance du même type devrait être fournie au Timor-Leste, à la République des Îles Marshall et à Brunéi en 2026.</w:t>
      </w:r>
    </w:p>
    <w:p w14:paraId="09D72FA3" w14:textId="46DDB90B" w:rsidR="00787EDA" w:rsidRPr="00E408BF" w:rsidRDefault="00787EDA" w:rsidP="00516E3F">
      <w:pPr>
        <w:pStyle w:val="enumlev1"/>
        <w:jc w:val="both"/>
      </w:pPr>
      <w:r w:rsidRPr="00E408BF">
        <w:lastRenderedPageBreak/>
        <w:t>–</w:t>
      </w:r>
      <w:r w:rsidRPr="00E408BF">
        <w:tab/>
      </w:r>
      <w:hyperlink r:id="rId69" w:history="1">
        <w:r w:rsidR="00A62004" w:rsidRPr="00E408BF">
          <w:rPr>
            <w:rFonts w:eastAsia="Aptos"/>
          </w:rPr>
          <w:t>Le</w:t>
        </w:r>
        <w:r w:rsidR="00A62004" w:rsidRPr="00E408BF">
          <w:rPr>
            <w:rFonts w:eastAsia="Aptos"/>
            <w:u w:val="single"/>
          </w:rPr>
          <w:t xml:space="preserve"> </w:t>
        </w:r>
        <w:r w:rsidR="00A62004" w:rsidRPr="00E408BF">
          <w:rPr>
            <w:rStyle w:val="Hyperlink"/>
            <w:rFonts w:eastAsia="Aptos"/>
          </w:rPr>
          <w:t xml:space="preserve">Séminaire conjoint UIT – </w:t>
        </w:r>
        <w:proofErr w:type="spellStart"/>
        <w:r w:rsidR="00A62004" w:rsidRPr="00E408BF">
          <w:rPr>
            <w:rStyle w:val="Hyperlink"/>
            <w:rFonts w:eastAsia="Aptos"/>
          </w:rPr>
          <w:t>ITTLLDC</w:t>
        </w:r>
        <w:proofErr w:type="spellEnd"/>
        <w:r w:rsidR="00A62004" w:rsidRPr="00E408BF">
          <w:rPr>
            <w:rStyle w:val="Hyperlink"/>
            <w:rFonts w:eastAsia="Aptos"/>
          </w:rPr>
          <w:t xml:space="preserve"> (Groupe de réflexion international pour les </w:t>
        </w:r>
        <w:proofErr w:type="spellStart"/>
        <w:r w:rsidR="00A62004" w:rsidRPr="00E408BF">
          <w:rPr>
            <w:rStyle w:val="Hyperlink"/>
            <w:rFonts w:eastAsia="Aptos"/>
          </w:rPr>
          <w:t>PDSL</w:t>
        </w:r>
        <w:proofErr w:type="spellEnd"/>
        <w:r w:rsidR="00A62004" w:rsidRPr="00E408BF">
          <w:rPr>
            <w:rStyle w:val="Hyperlink"/>
            <w:rFonts w:eastAsia="Aptos"/>
          </w:rPr>
          <w:t>) de</w:t>
        </w:r>
        <w:r w:rsidR="00DE4AFD" w:rsidRPr="00E408BF">
          <w:rPr>
            <w:rStyle w:val="Hyperlink"/>
            <w:rFonts w:eastAsia="Aptos"/>
          </w:rPr>
          <w:t> </w:t>
        </w:r>
        <w:r w:rsidR="00A62004" w:rsidRPr="00E408BF">
          <w:rPr>
            <w:rStyle w:val="Hyperlink"/>
            <w:rFonts w:eastAsia="Aptos"/>
          </w:rPr>
          <w:t>2025</w:t>
        </w:r>
      </w:hyperlink>
      <w:r w:rsidR="00A62004" w:rsidRPr="00E408BF">
        <w:rPr>
          <w:rFonts w:eastAsia="Aptos"/>
        </w:rPr>
        <w:t xml:space="preserve"> </w:t>
      </w:r>
      <w:r w:rsidRPr="00E408BF">
        <w:t xml:space="preserve">a été organisé les 28 et 29 août 2025 à Oulan-Bator (Mongolie) sur le thème "La coopération au service d'une connectivité spatiale, d'une utilisation du spectre et de systèmes d'alerte avancée durables". La manifestation a réuni des participants des </w:t>
      </w:r>
      <w:proofErr w:type="spellStart"/>
      <w:r w:rsidRPr="00E408BF">
        <w:t>PDSL</w:t>
      </w:r>
      <w:proofErr w:type="spellEnd"/>
      <w:r w:rsidRPr="00E408BF">
        <w:t xml:space="preserve"> de la région Asie-Pacifique et de la Communauté des États indépendants (CEI) et d'autres pays de la région Asie-Pacifique.</w:t>
      </w:r>
    </w:p>
    <w:p w14:paraId="1F4B453A" w14:textId="4CD543E7" w:rsidR="00787EDA" w:rsidRPr="00E408BF" w:rsidRDefault="00787EDA" w:rsidP="00516E3F">
      <w:pPr>
        <w:pStyle w:val="enumlev1"/>
        <w:jc w:val="both"/>
      </w:pPr>
      <w:r w:rsidRPr="00E408BF">
        <w:t>–</w:t>
      </w:r>
      <w:r w:rsidRPr="00E408BF">
        <w:tab/>
        <w:t xml:space="preserve">De plus, plusieurs activités qui présentent un intérêt pour les travaux du BR ont été menées au titre du </w:t>
      </w:r>
      <w:hyperlink r:id="rId70" w:history="1">
        <w:r w:rsidR="00A62004" w:rsidRPr="00E408BF">
          <w:rPr>
            <w:rStyle w:val="Hyperlink"/>
            <w:rFonts w:eastAsia="Aptos"/>
          </w:rPr>
          <w:t>Programme "Alertes précoces pour tous" (</w:t>
        </w:r>
        <w:proofErr w:type="spellStart"/>
        <w:r w:rsidR="00A62004" w:rsidRPr="00E408BF">
          <w:rPr>
            <w:rStyle w:val="Hyperlink"/>
            <w:rFonts w:eastAsia="Aptos"/>
          </w:rPr>
          <w:t>EW4ALL</w:t>
        </w:r>
        <w:proofErr w:type="spellEnd"/>
        <w:r w:rsidR="00A62004" w:rsidRPr="00E408BF">
          <w:rPr>
            <w:rStyle w:val="Hyperlink"/>
            <w:rFonts w:eastAsia="Aptos"/>
            <w:u w:val="none"/>
          </w:rPr>
          <w:t>)</w:t>
        </w:r>
      </w:hyperlink>
      <w:r w:rsidRPr="00E408BF">
        <w:t xml:space="preserve"> dans la région Asie-Pacifique.</w:t>
      </w:r>
    </w:p>
    <w:p w14:paraId="25AB80B6" w14:textId="77777777" w:rsidR="00787EDA" w:rsidRPr="00E408BF" w:rsidRDefault="00787EDA" w:rsidP="00516E3F">
      <w:pPr>
        <w:pStyle w:val="enumlev1"/>
        <w:jc w:val="both"/>
      </w:pPr>
      <w:r w:rsidRPr="00E408BF">
        <w:t>–</w:t>
      </w:r>
      <w:r w:rsidRPr="00E408BF">
        <w:tab/>
        <w:t>Le Bureau régional pour l'Asie-Pacifique a participé à la 12ème Conférence Asie Pacifique sur la gestion du spectre, organisée par Forum Global à Phnom Penh les 11 et 12 mars 2026.</w:t>
      </w:r>
    </w:p>
    <w:p w14:paraId="3F759A43" w14:textId="77777777" w:rsidR="00787EDA" w:rsidRPr="00E408BF" w:rsidRDefault="00787EDA" w:rsidP="00516E3F">
      <w:pPr>
        <w:pStyle w:val="Headingb"/>
        <w:jc w:val="both"/>
      </w:pPr>
      <w:r w:rsidRPr="00E408BF">
        <w:t>Activités liées au TSB</w:t>
      </w:r>
    </w:p>
    <w:p w14:paraId="1DABD582" w14:textId="77777777" w:rsidR="00787EDA" w:rsidRPr="00E408BF" w:rsidRDefault="00787EDA" w:rsidP="00516E3F">
      <w:pPr>
        <w:pStyle w:val="enumlev1"/>
        <w:jc w:val="both"/>
      </w:pPr>
      <w:r w:rsidRPr="00E408BF">
        <w:t>–</w:t>
      </w:r>
      <w:r w:rsidRPr="00E408BF">
        <w:tab/>
        <w:t xml:space="preserve">À l'issue de consultations avec le TSB et le Ministère des affaires intérieures et des communications (MIC) du Japon, le BDT et le MIC ont échangé, le 6 février 2025, une correspondance ayant permis de mobiliser des fonds pour le projet intitulé "Renforcement des capacités sur les technologies et les normes dans le domaine de l'IA en Asie-Pacifique", afin de renforcer les capacités des pouvoirs publics et des parties prenantes concernant les technologies de l'IA et les normes connexes, l'objectif étant de promouvoir la transformation numérique et la réduction de l'écart de normalisation. Après le premier atelier tenu à Delhi (Inde), en mai 2025, d'autres ateliers ont été organisés en 2025 selon les modalités </w:t>
      </w:r>
      <w:proofErr w:type="gramStart"/>
      <w:r w:rsidRPr="00E408BF">
        <w:t>suivantes:</w:t>
      </w:r>
      <w:proofErr w:type="gramEnd"/>
    </w:p>
    <w:p w14:paraId="642A958B" w14:textId="77777777" w:rsidR="00787EDA" w:rsidRPr="00E408BF" w:rsidRDefault="00787EDA" w:rsidP="00516E3F">
      <w:pPr>
        <w:pStyle w:val="enumlev2"/>
        <w:jc w:val="both"/>
      </w:pPr>
      <w:r w:rsidRPr="00E408BF">
        <w:t>•</w:t>
      </w:r>
      <w:r w:rsidRPr="00E408BF">
        <w:tab/>
        <w:t xml:space="preserve">À Kuala Lumpur (Malaisie), du 9 au 12 </w:t>
      </w:r>
      <w:proofErr w:type="gramStart"/>
      <w:r w:rsidRPr="00E408BF">
        <w:t>septembre:</w:t>
      </w:r>
      <w:proofErr w:type="gramEnd"/>
      <w:r w:rsidRPr="00E408BF">
        <w:t xml:space="preserve"> 73 participants issus de 9 États Membres (Malaisie, Indonésie, Brunéi, Timor-Leste, Thaïlande, Cambodge, Mongolie, Lao (</w:t>
      </w:r>
      <w:proofErr w:type="spellStart"/>
      <w:r w:rsidRPr="00E408BF">
        <w:t>R.d.p</w:t>
      </w:r>
      <w:proofErr w:type="spellEnd"/>
      <w:r w:rsidRPr="00E408BF">
        <w:t>.) et Pakistan) ont été formés. Deux séances en ligne ont été organisées avant l'atelier, le 16 et le 19 août, concernant les supports de formation sur a) les normes relatives à l'IA et b) les technologies de l'IA.</w:t>
      </w:r>
    </w:p>
    <w:p w14:paraId="50B7F3F9" w14:textId="77777777" w:rsidR="00787EDA" w:rsidRPr="00E408BF" w:rsidRDefault="00787EDA" w:rsidP="00516E3F">
      <w:pPr>
        <w:pStyle w:val="enumlev2"/>
        <w:jc w:val="both"/>
      </w:pPr>
      <w:r w:rsidRPr="00E408BF">
        <w:t>•</w:t>
      </w:r>
      <w:r w:rsidRPr="00E408BF">
        <w:tab/>
        <w:t xml:space="preserve">À Thimphu (Bhoutan), du 22 au 26 </w:t>
      </w:r>
      <w:proofErr w:type="gramStart"/>
      <w:r w:rsidRPr="00E408BF">
        <w:t>septembre:</w:t>
      </w:r>
      <w:proofErr w:type="gramEnd"/>
      <w:r w:rsidRPr="00E408BF">
        <w:t xml:space="preserve"> 69 fonctionnaires bhoutanais ont reçu une formation concernant les fondamentaux de l'IA (en deux sessions).</w:t>
      </w:r>
    </w:p>
    <w:p w14:paraId="3C1788AD" w14:textId="7E1968D6" w:rsidR="00787EDA" w:rsidRPr="00E408BF" w:rsidRDefault="00787EDA" w:rsidP="00516E3F">
      <w:pPr>
        <w:pStyle w:val="enumlev2"/>
        <w:jc w:val="both"/>
      </w:pPr>
      <w:r w:rsidRPr="00E408BF">
        <w:t>•</w:t>
      </w:r>
      <w:r w:rsidRPr="00E408BF">
        <w:tab/>
        <w:t xml:space="preserve">À Phnom Penh (Cambodge), du 8 au 10 </w:t>
      </w:r>
      <w:proofErr w:type="gramStart"/>
      <w:r w:rsidRPr="00E408BF">
        <w:t>octobre:</w:t>
      </w:r>
      <w:proofErr w:type="gramEnd"/>
      <w:r w:rsidRPr="00E408BF">
        <w:t xml:space="preserve"> un total de 55 participants </w:t>
      </w:r>
      <w:proofErr w:type="gramStart"/>
      <w:r w:rsidRPr="00E408BF">
        <w:t>ont</w:t>
      </w:r>
      <w:proofErr w:type="gramEnd"/>
      <w:r w:rsidRPr="00E408BF">
        <w:t xml:space="preserve"> été formés à l'échelle nationale. Une séance en ligne supplémentaire a été organisée le 3</w:t>
      </w:r>
      <w:r w:rsidR="00A62004" w:rsidRPr="00E408BF">
        <w:t> </w:t>
      </w:r>
      <w:r w:rsidRPr="00E408BF">
        <w:t>octobre, en complément de la formation en personne, pour traiter de la question des normes relatives à l'IA.</w:t>
      </w:r>
    </w:p>
    <w:p w14:paraId="6DE319EE" w14:textId="77777777" w:rsidR="00787EDA" w:rsidRPr="00E408BF" w:rsidRDefault="00787EDA" w:rsidP="00516E3F">
      <w:pPr>
        <w:pStyle w:val="enumlev1"/>
        <w:keepNext/>
        <w:keepLines/>
        <w:jc w:val="both"/>
      </w:pPr>
      <w:r w:rsidRPr="00E408BF">
        <w:t>–</w:t>
      </w:r>
      <w:r w:rsidRPr="00E408BF">
        <w:tab/>
        <w:t>La manifestation parallèle sur l'administration numérique organisée dans le cadre de la manifestation Vietnam Digital Week, le 28 octobre 2025, a été l'occasion de faire connaître les initiatives de l'UIT-T telles que celle sur l'intelligence artificielle au service du bien social (</w:t>
      </w:r>
      <w:proofErr w:type="spellStart"/>
      <w:r w:rsidRPr="00E408BF">
        <w:t>AI4GOOD</w:t>
      </w:r>
      <w:proofErr w:type="spellEnd"/>
      <w:r w:rsidRPr="00E408BF">
        <w:t>), la Coalition pour les compétences en matière d'IA et l'Initiative sur l'échange de normes relatives à l'IA.</w:t>
      </w:r>
    </w:p>
    <w:p w14:paraId="3C66AB6F" w14:textId="0854F948" w:rsidR="00787EDA" w:rsidRPr="00E408BF" w:rsidRDefault="00787EDA" w:rsidP="00516E3F">
      <w:pPr>
        <w:pStyle w:val="enumlev1"/>
        <w:jc w:val="both"/>
      </w:pPr>
      <w:r w:rsidRPr="00E408BF">
        <w:t>–</w:t>
      </w:r>
      <w:r w:rsidRPr="00E408BF">
        <w:tab/>
        <w:t xml:space="preserve">En partenariat avec la </w:t>
      </w:r>
      <w:proofErr w:type="spellStart"/>
      <w:r w:rsidRPr="00E408BF">
        <w:t>Telecommunication</w:t>
      </w:r>
      <w:proofErr w:type="spellEnd"/>
      <w:r w:rsidRPr="00E408BF">
        <w:t xml:space="preserve"> </w:t>
      </w:r>
      <w:proofErr w:type="spellStart"/>
      <w:r w:rsidRPr="00E408BF">
        <w:t>Technology</w:t>
      </w:r>
      <w:proofErr w:type="spellEnd"/>
      <w:r w:rsidRPr="00E408BF">
        <w:t xml:space="preserve"> Association (</w:t>
      </w:r>
      <w:proofErr w:type="spellStart"/>
      <w:r w:rsidRPr="00E408BF">
        <w:t>TTA</w:t>
      </w:r>
      <w:proofErr w:type="spellEnd"/>
      <w:r w:rsidRPr="00E408BF">
        <w:t xml:space="preserve">) de la République de Corée et </w:t>
      </w:r>
      <w:proofErr w:type="spellStart"/>
      <w:r w:rsidRPr="00E408BF">
        <w:t>Passwordless</w:t>
      </w:r>
      <w:proofErr w:type="spellEnd"/>
      <w:r w:rsidRPr="00E408BF">
        <w:t xml:space="preserve"> Alliance, une formation interrégionale a été organisée du 11 au 13</w:t>
      </w:r>
      <w:r w:rsidR="00A62004" w:rsidRPr="00E408BF">
        <w:t> </w:t>
      </w:r>
      <w:r w:rsidRPr="00E408BF">
        <w:t>février 2026, à Bangkok (Thaïlande), sur deux Recommandations de l'UIT-T – l'une sur la protection du stockage (</w:t>
      </w:r>
      <w:proofErr w:type="spellStart"/>
      <w:r w:rsidRPr="00E408BF">
        <w:t>X.1220</w:t>
      </w:r>
      <w:proofErr w:type="spellEnd"/>
      <w:r w:rsidRPr="00E408BF">
        <w:t>/</w:t>
      </w:r>
      <w:proofErr w:type="spellStart"/>
      <w:r w:rsidRPr="00E408BF">
        <w:t>X.nspam</w:t>
      </w:r>
      <w:proofErr w:type="spellEnd"/>
      <w:r w:rsidRPr="00E408BF">
        <w:t>) et l'autre sur l'authentification sans mot de passe (</w:t>
      </w:r>
      <w:proofErr w:type="spellStart"/>
      <w:r w:rsidRPr="00E408BF">
        <w:t>X.1280</w:t>
      </w:r>
      <w:proofErr w:type="spellEnd"/>
      <w:r w:rsidRPr="00E408BF">
        <w:t>); cette manifestation a permis de mettre en évidence les conséquences de ces normes de cybersécurité pour les participants des régions de l'Asie-Pacifique et de la CEI.</w:t>
      </w:r>
    </w:p>
    <w:p w14:paraId="49CB916C" w14:textId="77777777" w:rsidR="00787EDA" w:rsidRPr="00E408BF" w:rsidRDefault="00787EDA" w:rsidP="00516E3F">
      <w:pPr>
        <w:pStyle w:val="enumlev1"/>
        <w:jc w:val="both"/>
      </w:pPr>
      <w:r w:rsidRPr="00E408BF">
        <w:t>–</w:t>
      </w:r>
      <w:r w:rsidRPr="00E408BF">
        <w:tab/>
        <w:t xml:space="preserve">À la demande du TSB, le directeur régional pour l'Asie-Pacifique est intervenu à l'occasion du Sommet indien de 2026 sur l'impact de l'intelligence artificielle, dans le cadre d'une séance consacrée aux normes et aux mesures stratégiques propres à faciliter le déploiement à grande </w:t>
      </w:r>
      <w:r w:rsidRPr="00E408BF">
        <w:lastRenderedPageBreak/>
        <w:t>échelle de systèmes agroalimentaires fondés sur l'IA et centrés sur les agriculteurs, tenue le 16 février 2026.</w:t>
      </w:r>
    </w:p>
    <w:p w14:paraId="2196BCBF" w14:textId="1F17A119" w:rsidR="00787EDA" w:rsidRPr="00E408BF" w:rsidRDefault="00787EDA" w:rsidP="00516E3F">
      <w:pPr>
        <w:pStyle w:val="enumlev1"/>
        <w:jc w:val="both"/>
      </w:pPr>
      <w:r w:rsidRPr="00E408BF">
        <w:t>–</w:t>
      </w:r>
      <w:r w:rsidRPr="00E408BF">
        <w:tab/>
        <w:t>Pour soutenir l'</w:t>
      </w:r>
      <w:hyperlink r:id="rId71" w:anchor="/fr" w:history="1">
        <w:r w:rsidR="00A62004" w:rsidRPr="00E408BF">
          <w:rPr>
            <w:rFonts w:eastAsia="Aptos"/>
          </w:rPr>
          <w:t>Initiative "</w:t>
        </w:r>
        <w:r w:rsidR="00A62004" w:rsidRPr="00E408BF">
          <w:rPr>
            <w:rStyle w:val="Hyperlink"/>
            <w:rFonts w:eastAsia="Aptos"/>
          </w:rPr>
          <w:t>Tous unis pour des villes intelligentes et durables</w:t>
        </w:r>
        <w:r w:rsidR="00A62004" w:rsidRPr="00E408BF">
          <w:rPr>
            <w:rFonts w:eastAsia="Aptos"/>
          </w:rPr>
          <w:t>" (</w:t>
        </w:r>
        <w:proofErr w:type="spellStart"/>
        <w:r w:rsidR="00A62004" w:rsidRPr="00E408BF">
          <w:rPr>
            <w:rFonts w:eastAsia="Aptos"/>
          </w:rPr>
          <w:t>U4SSC</w:t>
        </w:r>
        <w:proofErr w:type="spellEnd"/>
        <w:r w:rsidR="00A62004" w:rsidRPr="00E408BF">
          <w:rPr>
            <w:rFonts w:eastAsia="Aptos"/>
          </w:rPr>
          <w:t>)</w:t>
        </w:r>
      </w:hyperlink>
      <w:r w:rsidRPr="00E408BF">
        <w:t xml:space="preserve">, le Bureau régional pour l'Asie-Pacifique s'est associé aux efforts du TSB pour élargir la collaboration avec ONU-HABITAT dans la région Asie-Pacifique en 2026, et des discussions sont </w:t>
      </w:r>
      <w:proofErr w:type="gramStart"/>
      <w:r w:rsidRPr="00E408BF">
        <w:t>actuellement en cours</w:t>
      </w:r>
      <w:proofErr w:type="gramEnd"/>
      <w:r w:rsidRPr="00E408BF">
        <w:t>.</w:t>
      </w:r>
    </w:p>
    <w:p w14:paraId="2ED39D11" w14:textId="77777777" w:rsidR="00787EDA" w:rsidRPr="00E408BF" w:rsidRDefault="00787EDA" w:rsidP="00516E3F">
      <w:pPr>
        <w:pStyle w:val="enumlev1"/>
        <w:jc w:val="both"/>
      </w:pPr>
      <w:r w:rsidRPr="00E408BF">
        <w:t>–</w:t>
      </w:r>
      <w:r w:rsidRPr="00E408BF">
        <w:tab/>
        <w:t>Un fonctionnaire du TSB a été recruté dans le bureau de zone en Inde.</w:t>
      </w:r>
    </w:p>
    <w:p w14:paraId="073D5911" w14:textId="77777777" w:rsidR="00787EDA" w:rsidRPr="00E408BF" w:rsidRDefault="00787EDA" w:rsidP="00516E3F">
      <w:pPr>
        <w:pStyle w:val="Heading2"/>
        <w:jc w:val="both"/>
      </w:pPr>
      <w:r w:rsidRPr="00E408BF">
        <w:t>3.6</w:t>
      </w:r>
      <w:r w:rsidRPr="00E408BF">
        <w:tab/>
        <w:t>Activités du Bureau régional pour la Communauté des États indépendants (CEI)/activités dans la région de la CEI</w:t>
      </w:r>
    </w:p>
    <w:p w14:paraId="578E8404" w14:textId="77777777" w:rsidR="00787EDA" w:rsidRPr="00E408BF" w:rsidRDefault="00787EDA" w:rsidP="00516E3F">
      <w:pPr>
        <w:pStyle w:val="Headingb"/>
        <w:jc w:val="both"/>
      </w:pPr>
      <w:r w:rsidRPr="00E408BF">
        <w:t>Activités liées au BR</w:t>
      </w:r>
    </w:p>
    <w:p w14:paraId="116B790E" w14:textId="747D6812" w:rsidR="00787EDA" w:rsidRPr="00E408BF" w:rsidRDefault="00787EDA" w:rsidP="00516E3F">
      <w:pPr>
        <w:pStyle w:val="enumlev1"/>
        <w:jc w:val="both"/>
      </w:pPr>
      <w:r w:rsidRPr="00E408BF">
        <w:t>–</w:t>
      </w:r>
      <w:r w:rsidRPr="00E408BF">
        <w:tab/>
        <w:t xml:space="preserve">En février 2025, le BDT, conjointement avec </w:t>
      </w:r>
      <w:proofErr w:type="spellStart"/>
      <w:r w:rsidRPr="00E408BF">
        <w:t>Intersputnik</w:t>
      </w:r>
      <w:proofErr w:type="spellEnd"/>
      <w:r w:rsidRPr="00E408BF">
        <w:t xml:space="preserve"> et avec la participation d'experts du BR, a organisé un atelier intitulé "Les activités spatiales dans les réalités modernes" à Almaty (Kazakhstan). Cette manifestation, qui a réuni des acteurs du secteur des communications par satellite et a été très appréciée des participants, a offert une occasion unique d'échanger de bonnes pratiques concernant l'élaboration ou l'amélioration d'une législation nationale relative aux activités spatiales, tout en examinant les enjeux liés aux politiques nationales d'accès aux marchés pour les systèmes à satellites. Une deuxième formation offrant une perspective mondiale en matière de connectivité spatiale a été organisée en septembre</w:t>
      </w:r>
      <w:r w:rsidR="002C5CF0" w:rsidRPr="00E408BF">
        <w:t> </w:t>
      </w:r>
      <w:r w:rsidRPr="00E408BF">
        <w:t xml:space="preserve">2025, à l'aimable invitation de l'Agence spatiale de la République d'Azerbaïdjan, </w:t>
      </w:r>
      <w:proofErr w:type="spellStart"/>
      <w:r w:rsidRPr="00E408BF">
        <w:t>AzerCosmos</w:t>
      </w:r>
      <w:proofErr w:type="spellEnd"/>
      <w:r w:rsidRPr="00E408BF">
        <w:t>.</w:t>
      </w:r>
    </w:p>
    <w:p w14:paraId="630FBB44" w14:textId="77777777" w:rsidR="00787EDA" w:rsidRPr="00E408BF" w:rsidRDefault="00787EDA" w:rsidP="00516E3F">
      <w:pPr>
        <w:pStyle w:val="enumlev1"/>
        <w:jc w:val="both"/>
      </w:pPr>
      <w:r w:rsidRPr="00E408BF">
        <w:t>–</w:t>
      </w:r>
      <w:r w:rsidRPr="00E408BF">
        <w:tab/>
        <w:t>Une assistance technique sur la planification des fréquences pour la radiodiffusion audionumérique (DAB) dans la bande de fréquences 174-230 MHz est actuellement fournie à l'Arménie, l'Azerbaïdjan et à la Géorgie.</w:t>
      </w:r>
    </w:p>
    <w:p w14:paraId="6D900DD8" w14:textId="07393DCE" w:rsidR="00787EDA" w:rsidRPr="00E408BF" w:rsidRDefault="00787EDA" w:rsidP="00516E3F">
      <w:pPr>
        <w:pStyle w:val="enumlev1"/>
        <w:jc w:val="both"/>
      </w:pPr>
      <w:r w:rsidRPr="00E408BF">
        <w:t>–</w:t>
      </w:r>
      <w:r w:rsidRPr="00E408BF">
        <w:tab/>
        <w:t xml:space="preserve">Le BR et le BDT ont fourni une assistance réglementaire et technique complète à l'Ouzbékistan au moyen d'un atelier sur les procédures de coordination, de notification et d'inscription des assignations de fréquence à des services de Terre et à des réseaux à satellite conformément au Règlement des radiocommunications. Cette assistance comprenait une formation pratique sur les outils et logiciels de l'UIT (par exemple la BR </w:t>
      </w:r>
      <w:proofErr w:type="spellStart"/>
      <w:r w:rsidRPr="00E408BF">
        <w:t>IFIC</w:t>
      </w:r>
      <w:proofErr w:type="spellEnd"/>
      <w:r w:rsidRPr="00E408BF">
        <w:t xml:space="preserve">, </w:t>
      </w:r>
      <w:proofErr w:type="spellStart"/>
      <w:r w:rsidRPr="00E408BF">
        <w:t>SpaceCom</w:t>
      </w:r>
      <w:proofErr w:type="spellEnd"/>
      <w:r w:rsidRPr="00E408BF">
        <w:t xml:space="preserve"> et GIMS), des orientations concernant la mise en œuvre et la protection des assignations et des allotissements de fréquences nationaux, ainsi qu'un appui ciblé visant à répondre aux points de coordination et de conformité spécifiques soulevés par l'Administration de l'Ouzbékistan.</w:t>
      </w:r>
    </w:p>
    <w:p w14:paraId="4A70181F" w14:textId="77777777" w:rsidR="00787EDA" w:rsidRPr="00E408BF" w:rsidRDefault="00787EDA" w:rsidP="00516E3F">
      <w:pPr>
        <w:pStyle w:val="Headingb"/>
      </w:pPr>
      <w:r w:rsidRPr="00E408BF">
        <w:t>Activités liées au TSB</w:t>
      </w:r>
    </w:p>
    <w:p w14:paraId="495A3274" w14:textId="77777777" w:rsidR="00787EDA" w:rsidRPr="00E408BF" w:rsidRDefault="00787EDA" w:rsidP="00516E3F">
      <w:pPr>
        <w:jc w:val="both"/>
      </w:pPr>
      <w:r w:rsidRPr="00E408BF">
        <w:t xml:space="preserve">En ce qui concerne les domaines d'action thématiques, le Bureau régional pour la CEI a travaillé en étroite collaboration avec les équipes du BDT et du TSB sur les activités </w:t>
      </w:r>
      <w:proofErr w:type="gramStart"/>
      <w:r w:rsidRPr="00E408BF">
        <w:t>suivantes:</w:t>
      </w:r>
      <w:proofErr w:type="gramEnd"/>
    </w:p>
    <w:p w14:paraId="244E7A23" w14:textId="77777777" w:rsidR="00787EDA" w:rsidRPr="00E408BF" w:rsidRDefault="00787EDA" w:rsidP="00516E3F">
      <w:pPr>
        <w:pStyle w:val="enumlev1"/>
        <w:jc w:val="both"/>
      </w:pPr>
      <w:r w:rsidRPr="00E408BF">
        <w:t>–</w:t>
      </w:r>
      <w:r w:rsidRPr="00E408BF">
        <w:tab/>
        <w:t>Mise en œuvre d'un projet régional sur la conformité et l'interopérabilité intitulé "Centre international de recherche, de développement et de test pour les États Membres de l'UIT et les Membres de Secteur de l'UIT de la région de la CEI – Phase 2", cofinancé par l'UIT et Rostelecom (Membre du Secteur de l'UIT-T). Dans la période à l'examen, l'équipe chargée du projet a mené une série de tests sur des équipements de télécommunication pour vérifier leur conformité aux Recommandations de l'UIT-T.</w:t>
      </w:r>
    </w:p>
    <w:p w14:paraId="71B05D10" w14:textId="696212F0" w:rsidR="00787EDA" w:rsidRPr="00167750" w:rsidRDefault="00787EDA" w:rsidP="00516E3F">
      <w:pPr>
        <w:pStyle w:val="enumlev1"/>
        <w:jc w:val="both"/>
        <w:rPr>
          <w:spacing w:val="-2"/>
        </w:rPr>
      </w:pPr>
      <w:r w:rsidRPr="00167750">
        <w:rPr>
          <w:spacing w:val="-2"/>
        </w:rPr>
        <w:t>–</w:t>
      </w:r>
      <w:r w:rsidRPr="00167750">
        <w:rPr>
          <w:spacing w:val="-2"/>
        </w:rPr>
        <w:tab/>
        <w:t xml:space="preserve">Tenue du Forum régional de l'UIT sur le thème </w:t>
      </w:r>
      <w:hyperlink r:id="rId72" w:history="1">
        <w:r w:rsidR="00AA699E" w:rsidRPr="00167750">
          <w:rPr>
            <w:rStyle w:val="Hyperlink"/>
            <w:spacing w:val="-2"/>
          </w:rPr>
          <w:t xml:space="preserve">"Technologies de </w:t>
        </w:r>
        <w:proofErr w:type="gramStart"/>
        <w:r w:rsidR="00AA699E" w:rsidRPr="00167750">
          <w:rPr>
            <w:rStyle w:val="Hyperlink"/>
            <w:spacing w:val="-2"/>
          </w:rPr>
          <w:t>demain:</w:t>
        </w:r>
        <w:proofErr w:type="gramEnd"/>
        <w:r w:rsidR="00AA699E" w:rsidRPr="00167750">
          <w:rPr>
            <w:rStyle w:val="Hyperlink"/>
            <w:spacing w:val="-2"/>
          </w:rPr>
          <w:t xml:space="preserve"> intelligence artificielle, métavers, communications HTC et autres applications et services TIC – Vision 2030</w:t>
        </w:r>
        <w:r w:rsidR="00AA699E" w:rsidRPr="00167750">
          <w:rPr>
            <w:rStyle w:val="Hyperlink"/>
            <w:spacing w:val="-2"/>
            <w:u w:val="none"/>
          </w:rPr>
          <w:t>"</w:t>
        </w:r>
      </w:hyperlink>
      <w:r w:rsidRPr="00167750">
        <w:rPr>
          <w:spacing w:val="-2"/>
        </w:rPr>
        <w:t xml:space="preserve">, du 9 au 11 juin 2025 à Saint-Pétersbourg (Fédération de Russie). Le Forum a été organisé conjointement par l'UIT et la Communauté régionale des communications (RCC), avec l'appui du Ministère du </w:t>
      </w:r>
      <w:r w:rsidRPr="00167750">
        <w:rPr>
          <w:spacing w:val="-2"/>
        </w:rPr>
        <w:lastRenderedPageBreak/>
        <w:t>développement numérique, des communications et des médias de masse de la Fédération de Russie. Il était organisé en parallèle des réunions du Groupe régional de la Commission d'études 11 de l'UIT-T, du Groupe régional de la Commission d'études 13 de l'UIT-T et du Groupe régional de la Commission d'études 20 de l'UIT-T pour l'Europe de l'Est, l'Asie centrale et la Transcaucasie (</w:t>
      </w:r>
      <w:proofErr w:type="spellStart"/>
      <w:r w:rsidRPr="00167750">
        <w:rPr>
          <w:spacing w:val="-2"/>
        </w:rPr>
        <w:t>SG11RG-EECAT</w:t>
      </w:r>
      <w:proofErr w:type="spellEnd"/>
      <w:r w:rsidRPr="00167750">
        <w:rPr>
          <w:spacing w:val="-2"/>
        </w:rPr>
        <w:t xml:space="preserve">, </w:t>
      </w:r>
      <w:proofErr w:type="spellStart"/>
      <w:r w:rsidRPr="00167750">
        <w:rPr>
          <w:spacing w:val="-2"/>
        </w:rPr>
        <w:t>SG13RG</w:t>
      </w:r>
      <w:r w:rsidR="002C5CF0" w:rsidRPr="00167750">
        <w:rPr>
          <w:spacing w:val="-2"/>
        </w:rPr>
        <w:noBreakHyphen/>
      </w:r>
      <w:r w:rsidRPr="00167750">
        <w:rPr>
          <w:spacing w:val="-2"/>
        </w:rPr>
        <w:t>EECAT</w:t>
      </w:r>
      <w:proofErr w:type="spellEnd"/>
      <w:r w:rsidRPr="00167750">
        <w:rPr>
          <w:spacing w:val="-2"/>
        </w:rPr>
        <w:t xml:space="preserve"> et </w:t>
      </w:r>
      <w:proofErr w:type="spellStart"/>
      <w:r w:rsidRPr="00167750">
        <w:rPr>
          <w:spacing w:val="-2"/>
        </w:rPr>
        <w:t>SG20RG-EECAT</w:t>
      </w:r>
      <w:proofErr w:type="spellEnd"/>
      <w:r w:rsidRPr="00167750">
        <w:rPr>
          <w:spacing w:val="-2"/>
        </w:rPr>
        <w:t>).</w:t>
      </w:r>
    </w:p>
    <w:p w14:paraId="15EF328A" w14:textId="77777777" w:rsidR="00787EDA" w:rsidRPr="00E408BF" w:rsidRDefault="00787EDA" w:rsidP="00516E3F">
      <w:pPr>
        <w:pStyle w:val="Heading2"/>
      </w:pPr>
      <w:r w:rsidRPr="00E408BF">
        <w:t>3.7</w:t>
      </w:r>
      <w:r w:rsidRPr="00E408BF">
        <w:tab/>
        <w:t>Bureau de l'UIT pour l'Europe/activités pour la région Europe</w:t>
      </w:r>
    </w:p>
    <w:p w14:paraId="14729833" w14:textId="77777777" w:rsidR="00787EDA" w:rsidRPr="00E408BF" w:rsidRDefault="00787EDA" w:rsidP="00516E3F">
      <w:pPr>
        <w:pStyle w:val="Headingb"/>
      </w:pPr>
      <w:r w:rsidRPr="00E408BF">
        <w:t>Activités liées au BR</w:t>
      </w:r>
    </w:p>
    <w:p w14:paraId="0B459B9F" w14:textId="5DA8A7F6" w:rsidR="00787EDA" w:rsidRPr="00E408BF" w:rsidRDefault="00787EDA" w:rsidP="00516E3F">
      <w:pPr>
        <w:pStyle w:val="enumlev1"/>
        <w:jc w:val="both"/>
      </w:pPr>
      <w:r w:rsidRPr="00E408BF">
        <w:t>–</w:t>
      </w:r>
      <w:r w:rsidRPr="00E408BF">
        <w:tab/>
        <w:t>Une séance d'information à l'intention du Groupe de travail du Conseil de l'Union</w:t>
      </w:r>
      <w:r w:rsidR="00FA5184" w:rsidRPr="00E408BF">
        <w:t> </w:t>
      </w:r>
      <w:r w:rsidRPr="00E408BF">
        <w:t>européenne (UE) sur les télécommunications et la société de l'information sur les questions liées au BR a été organisée le 27 mars 2025 à Bruxelles.</w:t>
      </w:r>
    </w:p>
    <w:p w14:paraId="086FD3FE" w14:textId="77777777" w:rsidR="00787EDA" w:rsidRPr="00E408BF" w:rsidRDefault="00787EDA" w:rsidP="00516E3F">
      <w:pPr>
        <w:pStyle w:val="enumlev1"/>
        <w:jc w:val="both"/>
      </w:pPr>
      <w:r w:rsidRPr="00E408BF">
        <w:t>–</w:t>
      </w:r>
      <w:r w:rsidRPr="00E408BF">
        <w:tab/>
        <w:t>Des experts du BR ont contribué à fournir une assistance technique à l'Ukraine, conformément à la Résolution 1408 du Conseil de l'UIT. Il s'agissait notamment d'organiser des consultations en ligne sur le spectre à l'intention des fonctionnaires ukrainiens et de définir l'ordre du jour du prochain atelier UIT-CE sur l'assistance technique et l'échange d'informations (TAIEX), qui doit se tenir au deuxième trimestre de 2026.</w:t>
      </w:r>
    </w:p>
    <w:p w14:paraId="452477B6" w14:textId="77777777" w:rsidR="00787EDA" w:rsidRPr="00E408BF" w:rsidRDefault="00787EDA" w:rsidP="00516E3F">
      <w:pPr>
        <w:pStyle w:val="enumlev1"/>
        <w:jc w:val="both"/>
      </w:pPr>
      <w:r w:rsidRPr="00E408BF">
        <w:t>–</w:t>
      </w:r>
      <w:r w:rsidRPr="00E408BF">
        <w:tab/>
        <w:t>Des experts du BR ont apporté leur contribution aux ateliers du Réseau des régulateurs des communications électroniques du partenariat oriental (</w:t>
      </w:r>
      <w:proofErr w:type="spellStart"/>
      <w:r w:rsidRPr="00E408BF">
        <w:t>EaPeReg</w:t>
      </w:r>
      <w:proofErr w:type="spellEnd"/>
      <w:r w:rsidRPr="00E408BF">
        <w:t xml:space="preserve">), ce qui a permis de renforcer davantage la coopération entre l'UIT et les membres du Réseau </w:t>
      </w:r>
      <w:proofErr w:type="spellStart"/>
      <w:r w:rsidRPr="00E408BF">
        <w:t>EaPeReg</w:t>
      </w:r>
      <w:proofErr w:type="spellEnd"/>
      <w:r w:rsidRPr="00E408BF">
        <w:t>. L'atelier UIT-</w:t>
      </w:r>
      <w:proofErr w:type="spellStart"/>
      <w:r w:rsidRPr="00E408BF">
        <w:t>EaPeReg</w:t>
      </w:r>
      <w:proofErr w:type="spellEnd"/>
      <w:r w:rsidRPr="00E408BF">
        <w:t xml:space="preserve">-EMERG sur le renforcement des capacités liées à la qualité de service et à la résilience de l'infrastructure numérique à l'intention des autorités de régulation a été organisé les 14 et 15 octobre 2025 à </w:t>
      </w:r>
      <w:proofErr w:type="gramStart"/>
      <w:r w:rsidRPr="00E408BF">
        <w:t>Chypre;</w:t>
      </w:r>
      <w:proofErr w:type="gramEnd"/>
      <w:r w:rsidRPr="00E408BF">
        <w:t xml:space="preserve"> dans ce cadre, plus de 60 parties prenantes issues de 14 pays ont vu leurs capacités humaines renforcées.</w:t>
      </w:r>
    </w:p>
    <w:p w14:paraId="2311630D" w14:textId="73248831" w:rsidR="00787EDA" w:rsidRPr="00E408BF" w:rsidRDefault="00787EDA" w:rsidP="00516E3F">
      <w:pPr>
        <w:pStyle w:val="enumlev1"/>
        <w:jc w:val="both"/>
      </w:pPr>
      <w:r w:rsidRPr="00E408BF">
        <w:t>–</w:t>
      </w:r>
      <w:r w:rsidRPr="00E408BF">
        <w:tab/>
        <w:t xml:space="preserve">Le </w:t>
      </w:r>
      <w:hyperlink r:id="rId73" w:history="1">
        <w:r w:rsidR="00AA699E" w:rsidRPr="00E408BF">
          <w:rPr>
            <w:rStyle w:val="Hyperlink"/>
          </w:rPr>
          <w:t>Séminaire régional des radiocommunications de l'UIT pour l'Europe</w:t>
        </w:r>
      </w:hyperlink>
      <w:r w:rsidR="00AA699E" w:rsidRPr="00E408BF">
        <w:t xml:space="preserve"> </w:t>
      </w:r>
      <w:r w:rsidRPr="00E408BF">
        <w:t>a été organisé du 16</w:t>
      </w:r>
      <w:r w:rsidR="00F22E6E" w:rsidRPr="00E408BF">
        <w:t> </w:t>
      </w:r>
      <w:r w:rsidRPr="00E408BF">
        <w:t>au 20 février 2026 à Athènes (Grèce) et a permis de renforcer encore les capacités humaines de plus de 120 experts issus de 30 pays européens.</w:t>
      </w:r>
    </w:p>
    <w:p w14:paraId="6D11ACB5" w14:textId="77777777" w:rsidR="00787EDA" w:rsidRPr="00E408BF" w:rsidRDefault="00787EDA" w:rsidP="00516E3F">
      <w:pPr>
        <w:pStyle w:val="Headingb"/>
      </w:pPr>
      <w:r w:rsidRPr="00E408BF">
        <w:t>Activités liées au TSB</w:t>
      </w:r>
    </w:p>
    <w:p w14:paraId="5A1B846D" w14:textId="77777777" w:rsidR="00787EDA" w:rsidRPr="00E408BF" w:rsidRDefault="00787EDA" w:rsidP="00516E3F">
      <w:pPr>
        <w:pStyle w:val="enumlev1"/>
        <w:jc w:val="both"/>
      </w:pPr>
      <w:r w:rsidRPr="00E408BF">
        <w:t>–</w:t>
      </w:r>
      <w:r w:rsidRPr="00E408BF">
        <w:tab/>
        <w:t>Le Bureau régional pour l'Europe a facilité la coordination entre le TSB et les organisations régionales (la Conférence européenne des administrations des postes et des télécommunications (</w:t>
      </w:r>
      <w:proofErr w:type="spellStart"/>
      <w:r w:rsidRPr="00E408BF">
        <w:t>CEPT</w:t>
      </w:r>
      <w:proofErr w:type="spellEnd"/>
      <w:r w:rsidRPr="00E408BF">
        <w:t xml:space="preserve">) et l'UE), a continué de suivre les travaux du Comité des politiques de l'UIT (Com-UIT) de la </w:t>
      </w:r>
      <w:proofErr w:type="spellStart"/>
      <w:r w:rsidRPr="00E408BF">
        <w:t>CEPT</w:t>
      </w:r>
      <w:proofErr w:type="spellEnd"/>
      <w:r w:rsidRPr="00E408BF">
        <w:t xml:space="preserve"> concernant l'UIT-T et a appuyé la participation du Directeur du TSB à une réunion du Com-UIT de la </w:t>
      </w:r>
      <w:proofErr w:type="spellStart"/>
      <w:r w:rsidRPr="00E408BF">
        <w:t>CPET</w:t>
      </w:r>
      <w:proofErr w:type="spellEnd"/>
      <w:r w:rsidRPr="00E408BF">
        <w:t xml:space="preserve"> à Athènes (septembre 2025).</w:t>
      </w:r>
    </w:p>
    <w:p w14:paraId="6CB4405B" w14:textId="3D5F47DA" w:rsidR="00787EDA" w:rsidRPr="00E408BF" w:rsidRDefault="00787EDA" w:rsidP="00516E3F">
      <w:pPr>
        <w:pStyle w:val="enumlev1"/>
        <w:jc w:val="both"/>
      </w:pPr>
      <w:r w:rsidRPr="00E408BF">
        <w:t>–</w:t>
      </w:r>
      <w:r w:rsidRPr="00E408BF">
        <w:tab/>
        <w:t>Un atelier de synchronisation conjoint TSB-Commission européenne (CE) a été organisé le 19</w:t>
      </w:r>
      <w:r w:rsidR="00F22E6E" w:rsidRPr="00E408BF">
        <w:t> </w:t>
      </w:r>
      <w:r w:rsidRPr="00E408BF">
        <w:t>février 2025 à Bruxelles, afin de déterminer les domaines dans lesquels renforcer la coopération.</w:t>
      </w:r>
    </w:p>
    <w:p w14:paraId="5A15DF70" w14:textId="77777777" w:rsidR="00787EDA" w:rsidRPr="00E408BF" w:rsidRDefault="00787EDA" w:rsidP="00516E3F">
      <w:pPr>
        <w:pStyle w:val="enumlev1"/>
        <w:jc w:val="both"/>
      </w:pPr>
      <w:r w:rsidRPr="00E408BF">
        <w:t>–</w:t>
      </w:r>
      <w:r w:rsidRPr="00E408BF">
        <w:tab/>
        <w:t>Une séance d'information à l'intention du Groupe de travail du Conseil de l'UE sur les télécommunications et la société de l'information sur les questions liées au TSB a été organisée le 20 février 2025 à Bruxelles.</w:t>
      </w:r>
    </w:p>
    <w:p w14:paraId="1429B99C" w14:textId="33413A9E" w:rsidR="00787EDA" w:rsidRPr="00E408BF" w:rsidRDefault="00787EDA" w:rsidP="00516E3F">
      <w:pPr>
        <w:pStyle w:val="enumlev1"/>
        <w:jc w:val="both"/>
      </w:pPr>
      <w:r w:rsidRPr="00E408BF">
        <w:t>–</w:t>
      </w:r>
      <w:r w:rsidRPr="00E408BF">
        <w:tab/>
        <w:t>En septembre 2025, à Moldova, un atelier sur le thème "</w:t>
      </w:r>
      <w:hyperlink r:id="rId74" w:history="1">
        <w:r w:rsidR="00F22E6E" w:rsidRPr="00E408BF">
          <w:rPr>
            <w:rStyle w:val="Hyperlink"/>
            <w:rFonts w:eastAsia="Aptos"/>
          </w:rPr>
          <w:t xml:space="preserve">Harmonisation des champs </w:t>
        </w:r>
        <w:proofErr w:type="gramStart"/>
        <w:r w:rsidR="00F22E6E" w:rsidRPr="00E408BF">
          <w:rPr>
            <w:rStyle w:val="Hyperlink"/>
            <w:rFonts w:eastAsia="Aptos"/>
          </w:rPr>
          <w:t>électromagnétiques:</w:t>
        </w:r>
        <w:proofErr w:type="gramEnd"/>
        <w:r w:rsidR="00F22E6E" w:rsidRPr="00E408BF">
          <w:rPr>
            <w:rStyle w:val="Hyperlink"/>
            <w:rFonts w:eastAsia="Aptos"/>
          </w:rPr>
          <w:t xml:space="preserve"> Politiques, stratégies et normes internationales, régionales et nationales concernant l'exposition des personnes aux champs électromagnétiques</w:t>
        </w:r>
      </w:hyperlink>
      <w:r w:rsidRPr="00E408BF">
        <w:t>" a été organisé conjointement avec le TSB, et une assistance technique a été fournie à Moldova.</w:t>
      </w:r>
    </w:p>
    <w:p w14:paraId="1FC25B0F" w14:textId="3FEBB5F5" w:rsidR="00787EDA" w:rsidRPr="00E408BF" w:rsidRDefault="00787EDA" w:rsidP="00516E3F">
      <w:pPr>
        <w:pStyle w:val="enumlev1"/>
        <w:jc w:val="both"/>
      </w:pPr>
      <w:r w:rsidRPr="00E408BF">
        <w:lastRenderedPageBreak/>
        <w:t>–</w:t>
      </w:r>
      <w:r w:rsidRPr="00E408BF">
        <w:tab/>
        <w:t xml:space="preserve">Le Forum UIT-CE sur le thème "Une Europe </w:t>
      </w:r>
      <w:proofErr w:type="gramStart"/>
      <w:r w:rsidRPr="00E408BF">
        <w:t>accessible:</w:t>
      </w:r>
      <w:proofErr w:type="gramEnd"/>
      <w:r w:rsidRPr="00E408BF">
        <w:t xml:space="preserve"> les TIC pour tous" s'est tenu les 2 et 3</w:t>
      </w:r>
      <w:r w:rsidR="00F22E6E" w:rsidRPr="00E408BF">
        <w:t> </w:t>
      </w:r>
      <w:r w:rsidRPr="00E408BF">
        <w:t>décembre 2025 à Bruxelles, avec un programme créé en collaboration avec tous les Secteurs et des séances à la pointe sur l'IA et les villes intelligentes animées par le TSB.</w:t>
      </w:r>
    </w:p>
    <w:p w14:paraId="7E2C0990" w14:textId="170CDF79" w:rsidR="00787EDA" w:rsidRPr="00E408BF" w:rsidRDefault="00F22E6E" w:rsidP="00516E3F">
      <w:pPr>
        <w:pStyle w:val="enumlev1"/>
        <w:jc w:val="both"/>
      </w:pPr>
      <w:r w:rsidRPr="00E408BF">
        <w:t>–</w:t>
      </w:r>
      <w:r w:rsidR="00787EDA" w:rsidRPr="00E408BF">
        <w:tab/>
        <w:t>Le Bureau régional pour l'Europe a fourni un appui à l'atelier de l'UIT-T consacré à l'Initiative mondiale sur la résilience face aux risques naturels grâce aux solutions fondées sur l'IA (décembre 2025), accueilli à Bruxelles par la Commission européenne.</w:t>
      </w:r>
    </w:p>
    <w:p w14:paraId="7A77E593" w14:textId="77777777" w:rsidR="00787EDA" w:rsidRPr="00E408BF" w:rsidRDefault="00787EDA" w:rsidP="00516E3F">
      <w:pPr>
        <w:pStyle w:val="Heading2"/>
      </w:pPr>
      <w:r w:rsidRPr="00E408BF">
        <w:t>3.8</w:t>
      </w:r>
      <w:r w:rsidRPr="00E408BF">
        <w:tab/>
        <w:t>Coordination interrégionale</w:t>
      </w:r>
    </w:p>
    <w:p w14:paraId="64AF39CD" w14:textId="77777777" w:rsidR="00787EDA" w:rsidRPr="00E408BF" w:rsidRDefault="00787EDA" w:rsidP="00516E3F">
      <w:pPr>
        <w:pStyle w:val="Headingb"/>
      </w:pPr>
      <w:r w:rsidRPr="00E408BF">
        <w:t>Activités liées au BR</w:t>
      </w:r>
    </w:p>
    <w:p w14:paraId="314961FD" w14:textId="77777777" w:rsidR="00787EDA" w:rsidRPr="00E408BF" w:rsidRDefault="00787EDA" w:rsidP="00516E3F">
      <w:pPr>
        <w:pStyle w:val="enumlev1"/>
        <w:jc w:val="both"/>
      </w:pPr>
      <w:r w:rsidRPr="00E408BF">
        <w:t>–</w:t>
      </w:r>
      <w:r w:rsidRPr="00E408BF">
        <w:tab/>
        <w:t xml:space="preserve">Les travaux conjoints menés de longue date pour garantir une utilisation efficace du spectre, en particulier pour les pays en développement, dont la Résolution 9 de la </w:t>
      </w:r>
      <w:proofErr w:type="spellStart"/>
      <w:r w:rsidRPr="00E408BF">
        <w:t>CDMT</w:t>
      </w:r>
      <w:proofErr w:type="spellEnd"/>
      <w:r w:rsidRPr="00E408BF">
        <w:t xml:space="preserve"> se fait l'écho, comprennent le déploiement du système </w:t>
      </w:r>
      <w:proofErr w:type="spellStart"/>
      <w:r w:rsidRPr="00E408BF">
        <w:t>SMS4DC</w:t>
      </w:r>
      <w:proofErr w:type="spellEnd"/>
      <w:r w:rsidRPr="00E408BF">
        <w:t>, qui est conforme au Règlement des radiocommunications adopté par la CMR.</w:t>
      </w:r>
    </w:p>
    <w:p w14:paraId="6740EBB1" w14:textId="77777777" w:rsidR="00787EDA" w:rsidRPr="00E408BF" w:rsidRDefault="00787EDA" w:rsidP="00516E3F">
      <w:pPr>
        <w:pStyle w:val="enumlev1"/>
        <w:jc w:val="both"/>
      </w:pPr>
      <w:r w:rsidRPr="00E408BF">
        <w:t>–</w:t>
      </w:r>
      <w:r w:rsidRPr="00E408BF">
        <w:tab/>
        <w:t>Des travaux conjoints visent également à réduire la consommation d'énergie et à lutter contre les changements climatiques à l'aide des TIC et des technologies de radiocommunication. Le BDT continue d'aider les États Membres dans ces domaines, et des échanges d'informations efficaces ont lieu entre les commissions d'études de l'UIT D et celles de l'UIT</w:t>
      </w:r>
      <w:r w:rsidRPr="00E408BF">
        <w:rPr>
          <w:rFonts w:ascii="Cambria Math" w:hAnsi="Cambria Math" w:cs="Cambria Math"/>
        </w:rPr>
        <w:t>‑</w:t>
      </w:r>
      <w:r w:rsidRPr="00E408BF">
        <w:t>R.</w:t>
      </w:r>
    </w:p>
    <w:p w14:paraId="409EDBC3" w14:textId="0FB91FE2" w:rsidR="00787EDA" w:rsidRPr="00E408BF" w:rsidRDefault="00787EDA" w:rsidP="00516E3F">
      <w:pPr>
        <w:pStyle w:val="enumlev1"/>
        <w:jc w:val="both"/>
      </w:pPr>
      <w:r w:rsidRPr="00E408BF">
        <w:t>–</w:t>
      </w:r>
      <w:r w:rsidRPr="00E408BF">
        <w:tab/>
        <w:t>Les innovations récentes en matière de communications spatiales et par satellite qui résultent des produits de la CMR</w:t>
      </w:r>
      <w:r w:rsidRPr="00E408BF">
        <w:rPr>
          <w:rFonts w:ascii="Cambria Math" w:hAnsi="Cambria Math" w:cs="Cambria Math"/>
        </w:rPr>
        <w:t>‑</w:t>
      </w:r>
      <w:r w:rsidRPr="00E408BF">
        <w:t>23 co</w:t>
      </w:r>
      <w:r w:rsidRPr="00E408BF">
        <w:rPr>
          <w:rFonts w:cs="Calibri"/>
        </w:rPr>
        <w:t>ï</w:t>
      </w:r>
      <w:r w:rsidRPr="00E408BF">
        <w:t>ncident étroitement avec les efforts déployés par l'UIT-D en matière de sensibilisation et de renforcement des capacités, y compris dans le cadre de séances conjointes à l'occasion du Colloque mondial des régulateurs (</w:t>
      </w:r>
      <w:proofErr w:type="spellStart"/>
      <w:r w:rsidRPr="00E408BF">
        <w:t>GSR</w:t>
      </w:r>
      <w:proofErr w:type="spellEnd"/>
      <w:r w:rsidRPr="00E408BF">
        <w:t xml:space="preserve">), d'articles communs publiés sur la </w:t>
      </w:r>
      <w:hyperlink r:id="rId75" w:history="1">
        <w:r w:rsidRPr="00E408BF">
          <w:rPr>
            <w:rStyle w:val="Hyperlink"/>
          </w:rPr>
          <w:t>plate-forme sur la réglementation numérique</w:t>
        </w:r>
      </w:hyperlink>
      <w:r w:rsidRPr="00E408BF">
        <w:t xml:space="preserve"> et d'une participation concertée aux forums sur la connectivité spatiale.</w:t>
      </w:r>
    </w:p>
    <w:p w14:paraId="2961A859" w14:textId="77777777" w:rsidR="00787EDA" w:rsidRPr="00E408BF" w:rsidRDefault="00787EDA" w:rsidP="00516E3F">
      <w:pPr>
        <w:pStyle w:val="Headingb"/>
      </w:pPr>
      <w:r w:rsidRPr="00E408BF">
        <w:t>Activités liées au TSB</w:t>
      </w:r>
    </w:p>
    <w:p w14:paraId="22843660" w14:textId="77777777" w:rsidR="00787EDA" w:rsidRPr="00E408BF" w:rsidRDefault="00787EDA" w:rsidP="00516E3F">
      <w:pPr>
        <w:pStyle w:val="enumlev1"/>
        <w:keepNext/>
        <w:keepLines/>
        <w:jc w:val="both"/>
      </w:pPr>
      <w:r w:rsidRPr="00E408BF">
        <w:t>–</w:t>
      </w:r>
      <w:r w:rsidRPr="00E408BF">
        <w:tab/>
        <w:t>La Commission d'études 17 de l'UIT-T et les responsables de la Question 3 confiée à la Commission d'études 2 de l'UIT-D mènent une coordination concernant l'adoption de normes liées à la cybersécurité et les interventions sur le terrain, comme la création d'équipes d'intervention en cas d'incident informatique (CIRT).</w:t>
      </w:r>
    </w:p>
    <w:p w14:paraId="4526C4C3" w14:textId="0819A72A" w:rsidR="00787EDA" w:rsidRPr="00E408BF" w:rsidRDefault="00787EDA" w:rsidP="00516E3F">
      <w:pPr>
        <w:pStyle w:val="enumlev1"/>
        <w:jc w:val="both"/>
      </w:pPr>
      <w:r w:rsidRPr="00E408BF">
        <w:t>–</w:t>
      </w:r>
      <w:r w:rsidRPr="00E408BF">
        <w:tab/>
        <w:t xml:space="preserve">Le BDT continue d'aider les pays en développement à passer du Protocole </w:t>
      </w:r>
      <w:proofErr w:type="spellStart"/>
      <w:r w:rsidRPr="00E408BF">
        <w:t>IPv4</w:t>
      </w:r>
      <w:proofErr w:type="spellEnd"/>
      <w:r w:rsidRPr="00E408BF">
        <w:t xml:space="preserve"> au Protocole</w:t>
      </w:r>
      <w:r w:rsidR="00547F09" w:rsidRPr="00E408BF">
        <w:t> </w:t>
      </w:r>
      <w:proofErr w:type="spellStart"/>
      <w:r w:rsidRPr="00E408BF">
        <w:t>IPv6</w:t>
      </w:r>
      <w:proofErr w:type="spellEnd"/>
      <w:r w:rsidRPr="00E408BF">
        <w:t>, y compris par un renforcement des capacités humaines et institutionnelles.</w:t>
      </w:r>
    </w:p>
    <w:p w14:paraId="7B57360B" w14:textId="77777777" w:rsidR="00787EDA" w:rsidRPr="00E408BF" w:rsidRDefault="00787EDA" w:rsidP="00516E3F">
      <w:pPr>
        <w:pStyle w:val="enumlev1"/>
        <w:jc w:val="both"/>
      </w:pPr>
      <w:r w:rsidRPr="00E408BF">
        <w:t>–</w:t>
      </w:r>
      <w:r w:rsidRPr="00E408BF">
        <w:tab/>
        <w:t>Le programme visant à réduire l'écart en matière de normalisation demeure une des actions essentielles menées par le BDT et le TSB pour faire mieux connaître et contribuer à mettre en œuvre les normes de l'UIT-T dans les pays en développement, compte tenu des besoins spécifiques de ces pays.</w:t>
      </w:r>
    </w:p>
    <w:p w14:paraId="5BC12F97" w14:textId="77777777" w:rsidR="00787EDA" w:rsidRPr="00E408BF" w:rsidRDefault="00787EDA" w:rsidP="00516E3F">
      <w:pPr>
        <w:pStyle w:val="enumlev1"/>
        <w:jc w:val="both"/>
      </w:pPr>
      <w:r w:rsidRPr="00E408BF">
        <w:t>–</w:t>
      </w:r>
      <w:r w:rsidRPr="00E408BF">
        <w:tab/>
        <w:t xml:space="preserve">Le TSB et le BDT mènent une coordination sur les questions liées aux télécommunications d'urgence et aux changements climatiques, de façon à garantir un alignement avec l'Initiative </w:t>
      </w:r>
      <w:proofErr w:type="spellStart"/>
      <w:r w:rsidRPr="00E408BF">
        <w:t>EW4ALL</w:t>
      </w:r>
      <w:proofErr w:type="spellEnd"/>
      <w:r w:rsidRPr="00E408BF">
        <w:t xml:space="preserve"> de l'ONU, dans le cadre de laquelle le BDT dirige le pilier Diffusion et communication des alertes.</w:t>
      </w:r>
    </w:p>
    <w:p w14:paraId="452DD54F" w14:textId="25658EC3" w:rsidR="001B49FD" w:rsidRPr="00E408BF" w:rsidRDefault="00787EDA" w:rsidP="00516E3F">
      <w:pPr>
        <w:pStyle w:val="enumlev1"/>
        <w:jc w:val="both"/>
        <w:rPr>
          <w:i/>
          <w:iCs/>
        </w:rPr>
      </w:pPr>
      <w:r w:rsidRPr="00E408BF">
        <w:t>–</w:t>
      </w:r>
      <w:r w:rsidRPr="00E408BF">
        <w:tab/>
        <w:t xml:space="preserve">D'autres exemples notables concernent les villes intelligentes et les villages intelligents, les infrastructures publiques numériques, la transformation numérique et les technologies émergentes, comme l'IA, thèmes qui font l'objet de séances conjointes dans le cadre du </w:t>
      </w:r>
      <w:proofErr w:type="spellStart"/>
      <w:r w:rsidRPr="00E408BF">
        <w:t>GSR</w:t>
      </w:r>
      <w:proofErr w:type="spellEnd"/>
      <w:r w:rsidRPr="00E408BF">
        <w:t xml:space="preserve"> et du Sommet sur l'intelligence artificielle au service du bien social, entre autres manifestations.</w:t>
      </w:r>
      <w:r w:rsidR="001B49FD" w:rsidRPr="00E408BF">
        <w:rPr>
          <w:i/>
          <w:iCs/>
        </w:rPr>
        <w:br w:type="page"/>
      </w:r>
    </w:p>
    <w:p w14:paraId="6C74381E" w14:textId="29FB7B09" w:rsidR="001B49FD" w:rsidRPr="00E408BF" w:rsidRDefault="001B49FD" w:rsidP="00E14D0C">
      <w:pPr>
        <w:pStyle w:val="AnnexNo"/>
      </w:pPr>
      <w:bookmarkStart w:id="4" w:name="dtitle3"/>
      <w:bookmarkStart w:id="5" w:name="ANNEXEA"/>
      <w:bookmarkStart w:id="6" w:name="ANNEXE2"/>
      <w:bookmarkStart w:id="7" w:name="_Ref236171126"/>
      <w:r w:rsidRPr="00E408BF">
        <w:lastRenderedPageBreak/>
        <w:t xml:space="preserve">Annexe </w:t>
      </w:r>
      <w:bookmarkEnd w:id="4"/>
      <w:bookmarkEnd w:id="5"/>
      <w:r w:rsidR="00787EDA" w:rsidRPr="00E408BF">
        <w:t>2</w:t>
      </w:r>
      <w:bookmarkEnd w:id="6"/>
    </w:p>
    <w:bookmarkEnd w:id="7"/>
    <w:p w14:paraId="4199D993" w14:textId="0361CF03" w:rsidR="001B49FD" w:rsidRPr="00E408BF" w:rsidRDefault="00787EDA" w:rsidP="001B49FD">
      <w:pPr>
        <w:pStyle w:val="Annextitle"/>
      </w:pPr>
      <w:r w:rsidRPr="00E408BF">
        <w:t xml:space="preserve">Extrait du compte rendu de la deuxième séance plénière </w:t>
      </w:r>
      <w:r w:rsidR="00547F09" w:rsidRPr="00E408BF">
        <w:br/>
      </w:r>
      <w:r w:rsidRPr="00E408BF">
        <w:t xml:space="preserve">(Document </w:t>
      </w:r>
      <w:hyperlink r:id="rId76" w:history="1">
        <w:proofErr w:type="spellStart"/>
        <w:r w:rsidR="00547F09" w:rsidRPr="00E408BF">
          <w:rPr>
            <w:rStyle w:val="Hyperlink"/>
          </w:rPr>
          <w:t>C26</w:t>
        </w:r>
        <w:proofErr w:type="spellEnd"/>
        <w:r w:rsidR="00547F09" w:rsidRPr="00E408BF">
          <w:rPr>
            <w:rStyle w:val="Hyperlink"/>
          </w:rPr>
          <w:t>/119</w:t>
        </w:r>
      </w:hyperlink>
      <w:r w:rsidRPr="00E408BF">
        <w:t>)</w:t>
      </w:r>
    </w:p>
    <w:p w14:paraId="70163C54" w14:textId="746F1DB8" w:rsidR="00787EDA" w:rsidRPr="00E408BF" w:rsidRDefault="00787EDA" w:rsidP="00516E3F">
      <w:pPr>
        <w:pStyle w:val="Heading1"/>
      </w:pPr>
      <w:r w:rsidRPr="00E408BF">
        <w:t>1</w:t>
      </w:r>
      <w:r w:rsidR="000C54F5" w:rsidRPr="00E408BF">
        <w:tab/>
      </w:r>
      <w:r w:rsidRPr="00E408BF">
        <w:t xml:space="preserve">Renforcer la présence régionale de l'UIT (Document </w:t>
      </w:r>
      <w:hyperlink r:id="rId77" w:history="1">
        <w:proofErr w:type="spellStart"/>
        <w:r w:rsidR="00547F09" w:rsidRPr="00E408BF">
          <w:rPr>
            <w:rStyle w:val="Hyperlink"/>
            <w:szCs w:val="28"/>
          </w:rPr>
          <w:t>C26</w:t>
        </w:r>
        <w:proofErr w:type="spellEnd"/>
        <w:r w:rsidR="00547F09" w:rsidRPr="00E408BF">
          <w:rPr>
            <w:rStyle w:val="Hyperlink"/>
            <w:szCs w:val="28"/>
          </w:rPr>
          <w:t>/25</w:t>
        </w:r>
      </w:hyperlink>
      <w:r w:rsidRPr="00E408BF">
        <w:t>)</w:t>
      </w:r>
    </w:p>
    <w:p w14:paraId="201564E5" w14:textId="2720318A" w:rsidR="00787EDA" w:rsidRPr="00516E3F" w:rsidRDefault="00787EDA" w:rsidP="00516E3F">
      <w:pPr>
        <w:tabs>
          <w:tab w:val="clear" w:pos="567"/>
          <w:tab w:val="left" w:pos="709"/>
        </w:tabs>
        <w:jc w:val="both"/>
        <w:rPr>
          <w:spacing w:val="-2"/>
        </w:rPr>
      </w:pPr>
      <w:r w:rsidRPr="00516E3F">
        <w:rPr>
          <w:spacing w:val="-2"/>
        </w:rPr>
        <w:t>1.1</w:t>
      </w:r>
      <w:r w:rsidRPr="00516E3F">
        <w:rPr>
          <w:spacing w:val="-2"/>
        </w:rPr>
        <w:tab/>
        <w:t xml:space="preserve">L'Adjointe au Directeur du Bureau de développement des télécommunications (BDT) présente le Document </w:t>
      </w:r>
      <w:proofErr w:type="spellStart"/>
      <w:r w:rsidRPr="00516E3F">
        <w:rPr>
          <w:spacing w:val="-2"/>
        </w:rPr>
        <w:t>C26</w:t>
      </w:r>
      <w:proofErr w:type="spellEnd"/>
      <w:r w:rsidRPr="00516E3F">
        <w:rPr>
          <w:spacing w:val="-2"/>
        </w:rPr>
        <w:t>/25, qui rend compte de la contribution de la présence régionale de l'UIT à l'accomplissement du mandat de l'Union et des travaux régionaux en vue de la mise en œuvre du Plan stratégique de l'Union, du Plan d'action de Kigali, du Plan d'action de Bakou et des initiatives régionales. Ce document met en avant les activités menées par les bureaux régionaux et les bureaux de zone à l'appui des trois Secteurs. L'oratrice indique que six forums régionaux sur le développement sont prévus en 2026, afin d'appuyer la conclusion de partenariats et la mise en œuvre du Plan d'action de Bakou. Les bureaux régionaux et les bureaux de zone jouent un rôle central dans la mise en œuvre du Plan opérationnel de l'UIT-D, en ce qu'ils contribuent à 130</w:t>
      </w:r>
      <w:r w:rsidR="00E56E50" w:rsidRPr="00516E3F">
        <w:rPr>
          <w:spacing w:val="-2"/>
        </w:rPr>
        <w:t> </w:t>
      </w:r>
      <w:r w:rsidRPr="00516E3F">
        <w:rPr>
          <w:spacing w:val="-2"/>
        </w:rPr>
        <w:t xml:space="preserve">mesures en cours et travaillent conjointement avec le siège dans les domaines de la planification, de la budgétisation, du suivi et de l'évaluation. À la suite de la </w:t>
      </w:r>
      <w:proofErr w:type="spellStart"/>
      <w:r w:rsidRPr="00516E3F">
        <w:rPr>
          <w:spacing w:val="-2"/>
        </w:rPr>
        <w:t>CMDT</w:t>
      </w:r>
      <w:proofErr w:type="spellEnd"/>
      <w:r w:rsidRPr="00516E3F">
        <w:rPr>
          <w:spacing w:val="-2"/>
        </w:rPr>
        <w:t xml:space="preserve">-22, le BDT a mobilisé des ressources extrabudgétaires et a mis au point et exécuté 91 projets, qui ont généré 51 millions CHF sur la période triennale couverte par le Plan d'action de Kigali, contribuant ainsi à la mise en œuvre des priorités et des initiatives régionales pour répondre aux besoins particuliers des régions. Une collaboration étroite a permis de produire des effets dans les différents Secteurs, notamment concernant la gestion du spectre, les interventions en cas de catastrophe, l'intelligence artificielle (IA), la cybersécurité, les villes et communautés intelligentes et les systèmes d'alerte précoce. Conformément aux recommandations formulées par le Conseil à sa session de 2025, un examen détaillé de la présence régionale effectué par le Secrétariat est présenté dans le Document </w:t>
      </w:r>
      <w:proofErr w:type="spellStart"/>
      <w:r w:rsidRPr="00516E3F">
        <w:rPr>
          <w:spacing w:val="-2"/>
        </w:rPr>
        <w:t>C26</w:t>
      </w:r>
      <w:proofErr w:type="spellEnd"/>
      <w:r w:rsidRPr="00516E3F">
        <w:rPr>
          <w:spacing w:val="-2"/>
        </w:rPr>
        <w:t>/24.</w:t>
      </w:r>
    </w:p>
    <w:p w14:paraId="6FCC5AC3" w14:textId="150E2C7E" w:rsidR="00787EDA" w:rsidRPr="00E408BF" w:rsidRDefault="00787EDA" w:rsidP="00516E3F">
      <w:pPr>
        <w:tabs>
          <w:tab w:val="clear" w:pos="567"/>
          <w:tab w:val="left" w:pos="709"/>
        </w:tabs>
        <w:jc w:val="both"/>
      </w:pPr>
      <w:r w:rsidRPr="00E408BF">
        <w:t>1.2</w:t>
      </w:r>
      <w:r w:rsidRPr="00E408BF">
        <w:tab/>
        <w:t xml:space="preserve">Les conseillers et observateurs accueillent positivement le Document </w:t>
      </w:r>
      <w:proofErr w:type="spellStart"/>
      <w:r w:rsidRPr="00E408BF">
        <w:t>C26</w:t>
      </w:r>
      <w:proofErr w:type="spellEnd"/>
      <w:r w:rsidRPr="00E408BF">
        <w:t>/25, remarquent l'accent qui y est mis sur la présentation d'informations reposant sur des éléments factuels et prennent note des renseignements fournis sur l'assistance technique, le renforcement des capacités, la mise en œuvre de projets et la collaboration entre les trois Secteurs. Ils soulignent le travail important mené par les bureaux régionaux et les bureaux de zone pour appuyer les initiatives régionales et des projets nationaux, ainsi que les conférences et assemblées de l'UIT. Il est essentiel de faire en sorte que l'UIT reste réactive face à l'évolution de l'environnement numérique et aux besoins des États Membres, en particulier des pays en développement. Un conseiller fait observer que les éléments factuels communiqués démontrent qu'une architecture régionale solide est non seulement pertinente sur le plan opérationnel, mais aussi indispensable sur le plan stratégique. Plusieurs conseillers estiment que les priorités devraient inclure le renforcement des plates</w:t>
      </w:r>
      <w:r w:rsidR="000C54F5" w:rsidRPr="00E408BF">
        <w:t>-</w:t>
      </w:r>
      <w:r w:rsidRPr="00E408BF">
        <w:t>formes de coopération régionales, le développement des capacités relatives aux technologies émergentes, l'intensification de la collaboration avec les organisations régionales, l'assistance technique, la mise en œuvre de projets et le renforcement des mécanismes de coordination qui facilitent les partenariats et la mobilisation de ressources auprès des gouvernements, des acteurs du secteur privé, des partenaires de développement et d'autres parties prenantes, en particulier pour appuyer les pays en développement.</w:t>
      </w:r>
    </w:p>
    <w:p w14:paraId="0DC2E62D" w14:textId="114B8BEB" w:rsidR="00787EDA" w:rsidRPr="00E408BF" w:rsidRDefault="00787EDA" w:rsidP="00516E3F">
      <w:pPr>
        <w:tabs>
          <w:tab w:val="clear" w:pos="567"/>
          <w:tab w:val="left" w:pos="709"/>
        </w:tabs>
        <w:jc w:val="both"/>
      </w:pPr>
      <w:r w:rsidRPr="00E408BF">
        <w:t>1.3</w:t>
      </w:r>
      <w:r w:rsidRPr="00E408BF">
        <w:tab/>
        <w:t xml:space="preserve">Plusieurs conseillers estiment que le rapport pourrait contenir davantage d'éléments sur les catalyseurs structurels du renforcement de la présence régionale. </w:t>
      </w:r>
      <w:proofErr w:type="gramStart"/>
      <w:r w:rsidRPr="00E408BF">
        <w:t>Un conseiller précise</w:t>
      </w:r>
      <w:proofErr w:type="gramEnd"/>
      <w:r w:rsidRPr="00E408BF">
        <w:t xml:space="preserve"> que ces éléments seraient le niveau de la dotation en personnel, la répartition des compétences et le niveau </w:t>
      </w:r>
      <w:r w:rsidRPr="00E408BF">
        <w:lastRenderedPageBreak/>
        <w:t>d'autonomie opérationnelle des bureaux régionaux et des bureaux de zone. Il serait utile que le Conseil dispose d'une image plus claire des résultats et effets concrets de la présence régionale dans les États Membres, notamment sur le plan de la réactivité, de la fourniture des services et de l'appui à la mise en œuvre. L'examen de la présence régionale devrait évaluer l'efficacité avec laquelle il est répondu aux besoins techniques de régulateurs dans les trois</w:t>
      </w:r>
      <w:r w:rsidR="00EC33C5" w:rsidRPr="00E408BF">
        <w:t> </w:t>
      </w:r>
      <w:r w:rsidRPr="00E408BF">
        <w:t xml:space="preserve">Secteurs. Un conseiller met en exergue l'absence d'objectifs prédéfinis pour la présence régionale, sans lesquels il est difficile le suivi des progrès </w:t>
      </w:r>
      <w:proofErr w:type="gramStart"/>
      <w:r w:rsidRPr="00E408BF">
        <w:t>accomplis;</w:t>
      </w:r>
      <w:proofErr w:type="gramEnd"/>
      <w:r w:rsidRPr="00E408BF">
        <w:t xml:space="preserve"> il propose d'adopter en la matière une présentation des informations fondée sur les résultats, et non plus sur les activités, avec des cibles définies en amont. Il ajoute qu'il est regrettable que, lors des sessions tenues avant une Conférence de plénipotentiaires, le Conseil ne puisse pas examiner un rapport du Vérificateur extérieur des comptes afin d'avoir des informations sur certains sujets, dont la présence régionale. Depuis la Conférence de plénipotentiaires de 2022 (</w:t>
      </w:r>
      <w:proofErr w:type="spellStart"/>
      <w:r w:rsidRPr="00E408BF">
        <w:t>PP-22</w:t>
      </w:r>
      <w:proofErr w:type="spellEnd"/>
      <w:r w:rsidRPr="00E408BF">
        <w:t xml:space="preserve">), des activités d'audit interne ont été menées dans un certain nombre de bureaux régionaux, mettant en évidence des défaillances précises en lien avec les contrôles, la gestion des risques et la gestion des projets, dont le Conseil devrait tenir compte. Dans le rapport qu'il a soumis au Conseil en 2024, le Vérificateur extérieur des comptes conclut que s'agissant de la présence régionale, il existe des problèmes systémiques plus </w:t>
      </w:r>
      <w:proofErr w:type="gramStart"/>
      <w:r w:rsidRPr="00E408BF">
        <w:t>larges;</w:t>
      </w:r>
      <w:proofErr w:type="gramEnd"/>
      <w:r w:rsidRPr="00E408BF">
        <w:t xml:space="preserve"> la question de la présence régionale devrait donc être traitée selon une approche systémique.</w:t>
      </w:r>
    </w:p>
    <w:p w14:paraId="0904FF3A" w14:textId="77777777" w:rsidR="00787EDA" w:rsidRPr="00E408BF" w:rsidRDefault="00787EDA" w:rsidP="00516E3F">
      <w:pPr>
        <w:tabs>
          <w:tab w:val="clear" w:pos="567"/>
          <w:tab w:val="left" w:pos="709"/>
        </w:tabs>
        <w:jc w:val="both"/>
      </w:pPr>
      <w:r w:rsidRPr="00E408BF">
        <w:t>1.4</w:t>
      </w:r>
      <w:r w:rsidRPr="00E408BF">
        <w:tab/>
        <w:t>Plusieurs conseillers invitent le Secrétariat et les Secteurs à étudier des modèles pour continuer d'améliorer la présence régionale. Un modèle ou un cadre pour la dotation en personnel mettant à profit les compétences spécialisées régionales et locales, y compris la participation des établissement universitaires, pourrait amener davantage de contexte pour les activités et améliorer la réactivité, la continuité et les effets produits. Un conseiller est favorable à une coordination plus étroite avec les organisations régionales de télécommunication afin de garantir des synergies et d'appuyer la poursuite du renforcement de la présence régionale. Une meilleure application de la gestion axée sur les résultats au niveau des bureaux régionaux permettrait au Conseil de mieux comprendre les résultats produits, les domaines dans lesquels un appui est nécessaire et la contribution de la présence régionale à l'exécution du mandat de l'UIT.</w:t>
      </w:r>
    </w:p>
    <w:p w14:paraId="1FC0145C" w14:textId="77777777" w:rsidR="00787EDA" w:rsidRPr="00E408BF" w:rsidRDefault="00787EDA" w:rsidP="00516E3F">
      <w:pPr>
        <w:tabs>
          <w:tab w:val="clear" w:pos="567"/>
          <w:tab w:val="left" w:pos="709"/>
        </w:tabs>
        <w:jc w:val="both"/>
      </w:pPr>
      <w:r w:rsidRPr="00E408BF">
        <w:t>1.5</w:t>
      </w:r>
      <w:r w:rsidRPr="00E408BF">
        <w:tab/>
        <w:t xml:space="preserve">Un certain nombre de conseillers s'interrogent sur ce qui semble être une répartition géographique inégale des activités des Secteurs. Plusieurs conseillers demandent un engagement renforcé du Secteur des radiocommunications de l'UIT (UIT-R) et du Secteur de la normalisation des télécommunications de l'UIT (UIT-T) au niveau régional, l'un d'entre eux faisant observer que ces Secteurs mènent moins d'activités dans la région Afrique. Plusieurs conseillers font remarquer qu'il est important que les bureaux régionaux comptent des fonctionnaires des trois </w:t>
      </w:r>
      <w:proofErr w:type="gramStart"/>
      <w:r w:rsidRPr="00E408BF">
        <w:t>Secteurs;</w:t>
      </w:r>
      <w:proofErr w:type="gramEnd"/>
      <w:r w:rsidRPr="00E408BF">
        <w:t xml:space="preserve"> un conseiller demande quand le Bureau régional pour l'Afrique disposera de compétences spécialisées de l'UIT-R concernant la gestion du spectre, la coordination des satellites et la préparation de la Conférence mondiale des radiocommunications de 2027 (CMR-27).</w:t>
      </w:r>
    </w:p>
    <w:p w14:paraId="26D9E16B" w14:textId="77777777" w:rsidR="00787EDA" w:rsidRPr="00E408BF" w:rsidRDefault="00787EDA" w:rsidP="00516E3F">
      <w:pPr>
        <w:tabs>
          <w:tab w:val="clear" w:pos="567"/>
          <w:tab w:val="left" w:pos="709"/>
        </w:tabs>
        <w:jc w:val="both"/>
      </w:pPr>
      <w:r w:rsidRPr="00E408BF">
        <w:t>1.6</w:t>
      </w:r>
      <w:r w:rsidRPr="00E408BF">
        <w:tab/>
        <w:t>Plusieurs conseillers soulignent la nécessité de faire en sorte que des ressources financières adéquates et durables soient disponibles au niveau régional, une conseillère demandant des informations sur le nombre et le taux d'acceptation des demandes de financement provenant des pays et des régions.</w:t>
      </w:r>
    </w:p>
    <w:p w14:paraId="0FA9911A" w14:textId="77777777" w:rsidR="00787EDA" w:rsidRPr="00E408BF" w:rsidRDefault="00787EDA" w:rsidP="00516E3F">
      <w:pPr>
        <w:tabs>
          <w:tab w:val="clear" w:pos="567"/>
          <w:tab w:val="left" w:pos="709"/>
        </w:tabs>
        <w:jc w:val="both"/>
      </w:pPr>
      <w:r w:rsidRPr="00E408BF">
        <w:t>1.7</w:t>
      </w:r>
      <w:r w:rsidRPr="00E408BF">
        <w:tab/>
        <w:t>Le conseiller de la Pologne explique qu'en 2025, alors qu'il assurait la présidence du Conseil de l'Union européenne, son pays a organisé un atelier sur le renforcement de la collaboration de l'Union européenne avec l'UIT.</w:t>
      </w:r>
    </w:p>
    <w:p w14:paraId="77305401" w14:textId="77777777" w:rsidR="00787EDA" w:rsidRPr="00E408BF" w:rsidRDefault="00787EDA" w:rsidP="00516E3F">
      <w:pPr>
        <w:tabs>
          <w:tab w:val="clear" w:pos="567"/>
          <w:tab w:val="left" w:pos="709"/>
        </w:tabs>
        <w:jc w:val="both"/>
      </w:pPr>
      <w:r w:rsidRPr="00E408BF">
        <w:lastRenderedPageBreak/>
        <w:t>1.8</w:t>
      </w:r>
      <w:r w:rsidRPr="00E408BF">
        <w:tab/>
        <w:t>Le conseiller de la République tchèque indique que son pays a accueilli le Forum régional sur le développement en mars. La conseillère de la Thaïlande souligne que son pays accueillera conjointement le Forum régional sur le développement pour l'Asie Pacifique en juillet.</w:t>
      </w:r>
    </w:p>
    <w:p w14:paraId="1413A819" w14:textId="77777777" w:rsidR="00787EDA" w:rsidRPr="00E408BF" w:rsidRDefault="00787EDA" w:rsidP="00516E3F">
      <w:pPr>
        <w:tabs>
          <w:tab w:val="clear" w:pos="567"/>
          <w:tab w:val="left" w:pos="709"/>
        </w:tabs>
        <w:jc w:val="both"/>
      </w:pPr>
      <w:r w:rsidRPr="00E408BF">
        <w:t>1.9</w:t>
      </w:r>
      <w:r w:rsidRPr="00E408BF">
        <w:tab/>
        <w:t xml:space="preserve">L'observateur du Kazakhstan explique que le BDT, conjointement avec </w:t>
      </w:r>
      <w:proofErr w:type="spellStart"/>
      <w:r w:rsidRPr="00E408BF">
        <w:t>Intersputnik</w:t>
      </w:r>
      <w:proofErr w:type="spellEnd"/>
      <w:r w:rsidRPr="00E408BF">
        <w:t xml:space="preserve"> et avec la participation d'experts du Bureau des radiocommunications (BR), a organisé un atelier sur les thème "Les activités spatiales dans les réalités modernes" à Almaty en 2025.</w:t>
      </w:r>
    </w:p>
    <w:p w14:paraId="3EB7A1C5" w14:textId="77FD932F" w:rsidR="00787EDA" w:rsidRDefault="00787EDA" w:rsidP="00516E3F">
      <w:pPr>
        <w:tabs>
          <w:tab w:val="clear" w:pos="567"/>
          <w:tab w:val="left" w:pos="709"/>
        </w:tabs>
        <w:jc w:val="both"/>
      </w:pPr>
      <w:r w:rsidRPr="00E408BF">
        <w:t>1.10</w:t>
      </w:r>
      <w:r w:rsidRPr="00E408BF">
        <w:tab/>
        <w:t xml:space="preserve">Le Conseil </w:t>
      </w:r>
      <w:r w:rsidRPr="00E408BF">
        <w:rPr>
          <w:b/>
          <w:bCs/>
        </w:rPr>
        <w:t>approuve</w:t>
      </w:r>
      <w:r w:rsidRPr="00E408BF">
        <w:t xml:space="preserve"> le rapport et </w:t>
      </w:r>
      <w:r w:rsidRPr="00E408BF">
        <w:rPr>
          <w:b/>
          <w:bCs/>
        </w:rPr>
        <w:t>décide</w:t>
      </w:r>
      <w:r w:rsidRPr="00E408BF">
        <w:t xml:space="preserve"> de le transmettre, avec les observations formulées pendant la séance, à la Conférence de plénipotentiaires (Doha, 2026) (PP-26).</w:t>
      </w:r>
    </w:p>
    <w:p w14:paraId="7EEE1569" w14:textId="77777777" w:rsidR="00516E3F" w:rsidRPr="00E408BF" w:rsidRDefault="00516E3F" w:rsidP="00516E3F">
      <w:pPr>
        <w:tabs>
          <w:tab w:val="clear" w:pos="567"/>
          <w:tab w:val="left" w:pos="709"/>
        </w:tabs>
        <w:jc w:val="both"/>
      </w:pPr>
    </w:p>
    <w:p w14:paraId="25C5DC42" w14:textId="77777777" w:rsidR="00787EDA" w:rsidRPr="00E408BF" w:rsidRDefault="00787EDA">
      <w:pPr>
        <w:jc w:val="center"/>
      </w:pPr>
      <w:r w:rsidRPr="00E408BF">
        <w:t>______________</w:t>
      </w:r>
    </w:p>
    <w:sectPr w:rsidR="00787EDA" w:rsidRPr="00E408BF" w:rsidSect="003A0B7D">
      <w:headerReference w:type="default" r:id="rId78"/>
      <w:footerReference w:type="first" r:id="rId79"/>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A879F" w14:textId="77777777" w:rsidR="00352857" w:rsidRDefault="00352857">
      <w:r>
        <w:separator/>
      </w:r>
    </w:p>
  </w:endnote>
  <w:endnote w:type="continuationSeparator" w:id="0">
    <w:p w14:paraId="0CC25723" w14:textId="77777777" w:rsidR="00352857" w:rsidRDefault="00352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2EFD6C42"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7575CC" w:rsidRPr="00371863">
        <w:rPr>
          <w:rStyle w:val="Hyperlink"/>
          <w:color w:val="00A3E0"/>
          <w:sz w:val="22"/>
          <w:szCs w:val="22"/>
          <w:lang w:val="en-GB"/>
        </w:rPr>
        <w:t>www.itu.int</w:t>
      </w:r>
      <w:proofErr w:type="spellEnd"/>
      <w:r w:rsidR="007575CC" w:rsidRPr="00371863">
        <w:rPr>
          <w:rStyle w:val="Hyperlink"/>
          <w:color w:val="00A3E0"/>
          <w:sz w:val="22"/>
          <w:szCs w:val="22"/>
          <w:lang w:val="en-GB"/>
        </w:rPr>
        <w: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94BEE" w14:textId="77777777" w:rsidR="00352857" w:rsidRDefault="00352857">
      <w:r>
        <w:t>____________________</w:t>
      </w:r>
    </w:p>
  </w:footnote>
  <w:footnote w:type="continuationSeparator" w:id="0">
    <w:p w14:paraId="38D86794" w14:textId="77777777" w:rsidR="00352857" w:rsidRDefault="00352857">
      <w:r>
        <w:continuationSeparator/>
      </w:r>
    </w:p>
  </w:footnote>
  <w:footnote w:id="1">
    <w:p w14:paraId="5F2BB49F" w14:textId="76EC287B" w:rsidR="008A26C5" w:rsidRPr="00FA5184" w:rsidRDefault="008A26C5" w:rsidP="008A26C5">
      <w:pPr>
        <w:pStyle w:val="FootnoteText"/>
        <w:rPr>
          <w:sz w:val="22"/>
          <w:szCs w:val="22"/>
        </w:rPr>
      </w:pPr>
      <w:r w:rsidRPr="00FA5184">
        <w:rPr>
          <w:rStyle w:val="FootnoteReference"/>
          <w:sz w:val="22"/>
          <w:szCs w:val="22"/>
        </w:rPr>
        <w:footnoteRef/>
      </w:r>
      <w:r w:rsidR="00FA5184" w:rsidRPr="00FA5184">
        <w:rPr>
          <w:sz w:val="22"/>
          <w:szCs w:val="22"/>
        </w:rPr>
        <w:tab/>
      </w:r>
      <w:r w:rsidRPr="00FA5184">
        <w:rPr>
          <w:sz w:val="22"/>
          <w:szCs w:val="22"/>
        </w:rPr>
        <w:t xml:space="preserve">Document du Conseil </w:t>
      </w:r>
      <w:hyperlink r:id="rId1" w:history="1">
        <w:proofErr w:type="spellStart"/>
        <w:r w:rsidRPr="00FA5184">
          <w:rPr>
            <w:rStyle w:val="Hyperlink"/>
            <w:sz w:val="22"/>
            <w:szCs w:val="22"/>
          </w:rPr>
          <w:t>C25</w:t>
        </w:r>
        <w:proofErr w:type="spellEnd"/>
        <w:r w:rsidRPr="00FA5184">
          <w:rPr>
            <w:rStyle w:val="Hyperlink"/>
            <w:sz w:val="22"/>
            <w:szCs w:val="22"/>
          </w:rPr>
          <w:t>/105</w:t>
        </w:r>
      </w:hyperlink>
      <w:r w:rsidRPr="00FA5184">
        <w:rPr>
          <w:sz w:val="22"/>
          <w:szCs w:val="22"/>
        </w:rPr>
        <w:t>:</w:t>
      </w:r>
    </w:p>
    <w:p w14:paraId="2ABD143A" w14:textId="6F021556" w:rsidR="008A26C5" w:rsidRPr="00DE4AFD" w:rsidRDefault="008A26C5" w:rsidP="00DE4AFD">
      <w:pPr>
        <w:pStyle w:val="FootnoteText"/>
        <w:ind w:left="512"/>
        <w:rPr>
          <w:rStyle w:val="FootnoteReference"/>
          <w:position w:val="0"/>
          <w:sz w:val="22"/>
          <w:szCs w:val="22"/>
        </w:rPr>
      </w:pPr>
      <w:r w:rsidRPr="00DE4AFD">
        <w:rPr>
          <w:rStyle w:val="FootnoteReference"/>
          <w:position w:val="0"/>
          <w:sz w:val="22"/>
          <w:szCs w:val="22"/>
        </w:rPr>
        <w:t>–</w:t>
      </w:r>
      <w:r w:rsidRPr="00DE4AFD">
        <w:rPr>
          <w:rStyle w:val="FootnoteReference"/>
          <w:position w:val="0"/>
          <w:sz w:val="22"/>
          <w:szCs w:val="22"/>
        </w:rPr>
        <w:tab/>
        <w:t>L'Annexe H contient une "Recommandation relative à la présence régionale".</w:t>
      </w:r>
    </w:p>
    <w:p w14:paraId="32BDAE18" w14:textId="77777777" w:rsidR="008A26C5" w:rsidRPr="00DE4AFD" w:rsidRDefault="008A26C5" w:rsidP="00DE4AFD">
      <w:pPr>
        <w:pStyle w:val="FootnoteText"/>
        <w:ind w:left="512"/>
        <w:rPr>
          <w:rStyle w:val="FootnoteReference"/>
          <w:position w:val="0"/>
          <w:sz w:val="22"/>
          <w:szCs w:val="22"/>
        </w:rPr>
      </w:pPr>
      <w:r w:rsidRPr="00DE4AFD">
        <w:rPr>
          <w:rStyle w:val="FootnoteReference"/>
          <w:position w:val="0"/>
          <w:sz w:val="22"/>
          <w:szCs w:val="22"/>
        </w:rPr>
        <w:t>–</w:t>
      </w:r>
      <w:r w:rsidRPr="00DE4AFD">
        <w:rPr>
          <w:rStyle w:val="FootnoteReference"/>
          <w:position w:val="0"/>
          <w:sz w:val="22"/>
          <w:szCs w:val="22"/>
        </w:rPr>
        <w:tab/>
        <w:t>L'Annexe A contient le "Mandat pour l'examen de la présence régionale de l'UIT" et en définit la portée.</w:t>
      </w:r>
    </w:p>
    <w:p w14:paraId="794C9110" w14:textId="31CC8AF6" w:rsidR="008A26C5" w:rsidRPr="00FA5184" w:rsidRDefault="008A26C5" w:rsidP="00DE4AFD">
      <w:pPr>
        <w:pStyle w:val="FootnoteText"/>
        <w:ind w:left="512"/>
      </w:pPr>
      <w:r w:rsidRPr="00DE4AFD">
        <w:rPr>
          <w:rStyle w:val="FootnoteReference"/>
          <w:position w:val="0"/>
          <w:sz w:val="22"/>
          <w:szCs w:val="22"/>
        </w:rPr>
        <w:t>–</w:t>
      </w:r>
      <w:r w:rsidRPr="00DE4AFD">
        <w:rPr>
          <w:rStyle w:val="FootnoteReference"/>
          <w:position w:val="0"/>
          <w:sz w:val="22"/>
          <w:szCs w:val="22"/>
        </w:rPr>
        <w:tab/>
        <w:t>L'Annexe 1 contient les "Indicateurs fondamentaux de performance et critères d'évaluation à prendre en considération lors de l'examen de la présence régionale de l'UIT", au nombre de 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74301CE1" w:rsidR="00BD1614" w:rsidRDefault="00BD1614" w:rsidP="001E2226">
    <w:pPr>
      <w:pStyle w:val="Header"/>
    </w:pPr>
    <w:proofErr w:type="spellStart"/>
    <w:r>
      <w:t>PP</w:t>
    </w:r>
    <w:r w:rsidR="002A7A1D">
      <w:t>2</w:t>
    </w:r>
    <w:r w:rsidR="008407A7">
      <w:t>6</w:t>
    </w:r>
    <w:proofErr w:type="spellEnd"/>
    <w:r>
      <w:t>/</w:t>
    </w:r>
    <w:r w:rsidR="00AC7137">
      <w:t>65</w:t>
    </w:r>
    <w:r w:rsidR="0080115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D81172"/>
    <w:lvl w:ilvl="0">
      <w:start w:val="1"/>
      <w:numFmt w:val="decimal"/>
      <w:pStyle w:val="ListNumber5"/>
      <w:lvlText w:val="%1."/>
      <w:lvlJc w:val="left"/>
      <w:pPr>
        <w:tabs>
          <w:tab w:val="num" w:pos="1492"/>
        </w:tabs>
        <w:ind w:left="1492" w:hanging="360"/>
      </w:pPr>
    </w:lvl>
  </w:abstractNum>
  <w:num w:numId="1" w16cid:durableId="5959743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676B8"/>
    <w:rsid w:val="000705F1"/>
    <w:rsid w:val="00070933"/>
    <w:rsid w:val="00072D5C"/>
    <w:rsid w:val="0008398C"/>
    <w:rsid w:val="00084308"/>
    <w:rsid w:val="000B14B6"/>
    <w:rsid w:val="000C467B"/>
    <w:rsid w:val="000C54F5"/>
    <w:rsid w:val="000D15FB"/>
    <w:rsid w:val="000E6B23"/>
    <w:rsid w:val="000F58F7"/>
    <w:rsid w:val="001051E4"/>
    <w:rsid w:val="00111292"/>
    <w:rsid w:val="00112009"/>
    <w:rsid w:val="001354EA"/>
    <w:rsid w:val="00136FCE"/>
    <w:rsid w:val="00153BA4"/>
    <w:rsid w:val="001618C4"/>
    <w:rsid w:val="00167750"/>
    <w:rsid w:val="001941AD"/>
    <w:rsid w:val="0019732C"/>
    <w:rsid w:val="001A0682"/>
    <w:rsid w:val="001B49FD"/>
    <w:rsid w:val="001B4D8D"/>
    <w:rsid w:val="001C3790"/>
    <w:rsid w:val="001D31B2"/>
    <w:rsid w:val="001D6345"/>
    <w:rsid w:val="001E1B9B"/>
    <w:rsid w:val="001E2226"/>
    <w:rsid w:val="001F0B24"/>
    <w:rsid w:val="001F6233"/>
    <w:rsid w:val="0022501A"/>
    <w:rsid w:val="002355CD"/>
    <w:rsid w:val="00270B2F"/>
    <w:rsid w:val="002712F9"/>
    <w:rsid w:val="002918A2"/>
    <w:rsid w:val="002A0AD4"/>
    <w:rsid w:val="002A0E1B"/>
    <w:rsid w:val="002A7A1D"/>
    <w:rsid w:val="002C1059"/>
    <w:rsid w:val="002C2F9C"/>
    <w:rsid w:val="002C5CF0"/>
    <w:rsid w:val="002D741B"/>
    <w:rsid w:val="002E1AF7"/>
    <w:rsid w:val="002F1712"/>
    <w:rsid w:val="00314A21"/>
    <w:rsid w:val="00322DEA"/>
    <w:rsid w:val="00352857"/>
    <w:rsid w:val="00355FBD"/>
    <w:rsid w:val="00362CCB"/>
    <w:rsid w:val="00371863"/>
    <w:rsid w:val="00372098"/>
    <w:rsid w:val="00381461"/>
    <w:rsid w:val="00391C12"/>
    <w:rsid w:val="003A0B7D"/>
    <w:rsid w:val="003A1623"/>
    <w:rsid w:val="003A45C2"/>
    <w:rsid w:val="003B7030"/>
    <w:rsid w:val="003B7A11"/>
    <w:rsid w:val="003C4BE2"/>
    <w:rsid w:val="003D147D"/>
    <w:rsid w:val="003D637A"/>
    <w:rsid w:val="00413CB9"/>
    <w:rsid w:val="00430015"/>
    <w:rsid w:val="00453017"/>
    <w:rsid w:val="004678D0"/>
    <w:rsid w:val="0047352B"/>
    <w:rsid w:val="00482954"/>
    <w:rsid w:val="004951C0"/>
    <w:rsid w:val="004A0FE5"/>
    <w:rsid w:val="004C7646"/>
    <w:rsid w:val="004D707C"/>
    <w:rsid w:val="00516E3F"/>
    <w:rsid w:val="00524001"/>
    <w:rsid w:val="005304EA"/>
    <w:rsid w:val="00542D2F"/>
    <w:rsid w:val="00547F09"/>
    <w:rsid w:val="00563698"/>
    <w:rsid w:val="00564B63"/>
    <w:rsid w:val="00575DC7"/>
    <w:rsid w:val="005836C2"/>
    <w:rsid w:val="005A4EFD"/>
    <w:rsid w:val="005A5ABE"/>
    <w:rsid w:val="005B3960"/>
    <w:rsid w:val="005C2ECC"/>
    <w:rsid w:val="005C6744"/>
    <w:rsid w:val="005E0C2E"/>
    <w:rsid w:val="005E419E"/>
    <w:rsid w:val="005F362A"/>
    <w:rsid w:val="005F63BD"/>
    <w:rsid w:val="00600AC9"/>
    <w:rsid w:val="0060731A"/>
    <w:rsid w:val="00611CF1"/>
    <w:rsid w:val="006201D9"/>
    <w:rsid w:val="00625471"/>
    <w:rsid w:val="006277DB"/>
    <w:rsid w:val="00631889"/>
    <w:rsid w:val="00635B7B"/>
    <w:rsid w:val="00655B98"/>
    <w:rsid w:val="006710E6"/>
    <w:rsid w:val="0068240D"/>
    <w:rsid w:val="00686973"/>
    <w:rsid w:val="00696B2D"/>
    <w:rsid w:val="006A2656"/>
    <w:rsid w:val="006A3475"/>
    <w:rsid w:val="006A6342"/>
    <w:rsid w:val="006B6C9C"/>
    <w:rsid w:val="006C7AE3"/>
    <w:rsid w:val="006D55E8"/>
    <w:rsid w:val="006E1921"/>
    <w:rsid w:val="006F1383"/>
    <w:rsid w:val="006F2690"/>
    <w:rsid w:val="006F36F9"/>
    <w:rsid w:val="0070576B"/>
    <w:rsid w:val="00706EC9"/>
    <w:rsid w:val="00713335"/>
    <w:rsid w:val="007252C6"/>
    <w:rsid w:val="00725FD4"/>
    <w:rsid w:val="00727C2F"/>
    <w:rsid w:val="00735F13"/>
    <w:rsid w:val="007575CC"/>
    <w:rsid w:val="007634C7"/>
    <w:rsid w:val="007717F2"/>
    <w:rsid w:val="00772E3B"/>
    <w:rsid w:val="0078134C"/>
    <w:rsid w:val="00787EDA"/>
    <w:rsid w:val="007A47E9"/>
    <w:rsid w:val="007A5830"/>
    <w:rsid w:val="007D21FB"/>
    <w:rsid w:val="00801154"/>
    <w:rsid w:val="00801256"/>
    <w:rsid w:val="008264FC"/>
    <w:rsid w:val="008407A7"/>
    <w:rsid w:val="008703CB"/>
    <w:rsid w:val="008A26C5"/>
    <w:rsid w:val="008B61AF"/>
    <w:rsid w:val="008C1BFB"/>
    <w:rsid w:val="008C33C2"/>
    <w:rsid w:val="008C6137"/>
    <w:rsid w:val="008E2DB4"/>
    <w:rsid w:val="008E7FAC"/>
    <w:rsid w:val="00901DD5"/>
    <w:rsid w:val="00901E77"/>
    <w:rsid w:val="0090735B"/>
    <w:rsid w:val="00912D5E"/>
    <w:rsid w:val="009310C7"/>
    <w:rsid w:val="00934340"/>
    <w:rsid w:val="009449CD"/>
    <w:rsid w:val="009509DA"/>
    <w:rsid w:val="00956DC7"/>
    <w:rsid w:val="00966CD3"/>
    <w:rsid w:val="00987A20"/>
    <w:rsid w:val="009A0E15"/>
    <w:rsid w:val="009A78CD"/>
    <w:rsid w:val="009D4037"/>
    <w:rsid w:val="009F0592"/>
    <w:rsid w:val="00A20E72"/>
    <w:rsid w:val="00A227D3"/>
    <w:rsid w:val="00A246DC"/>
    <w:rsid w:val="00A47BAF"/>
    <w:rsid w:val="00A542D3"/>
    <w:rsid w:val="00A5784F"/>
    <w:rsid w:val="00A62004"/>
    <w:rsid w:val="00A65CF5"/>
    <w:rsid w:val="00A8436E"/>
    <w:rsid w:val="00A93A26"/>
    <w:rsid w:val="00A95B66"/>
    <w:rsid w:val="00AA699E"/>
    <w:rsid w:val="00AB190D"/>
    <w:rsid w:val="00AB1E67"/>
    <w:rsid w:val="00AC1E01"/>
    <w:rsid w:val="00AC7137"/>
    <w:rsid w:val="00AE0667"/>
    <w:rsid w:val="00AF16C4"/>
    <w:rsid w:val="00B10609"/>
    <w:rsid w:val="00B14BB0"/>
    <w:rsid w:val="00B15C64"/>
    <w:rsid w:val="00B23CD4"/>
    <w:rsid w:val="00B41E0A"/>
    <w:rsid w:val="00B56DE0"/>
    <w:rsid w:val="00B71F12"/>
    <w:rsid w:val="00B76FEC"/>
    <w:rsid w:val="00B80BD5"/>
    <w:rsid w:val="00B96B1E"/>
    <w:rsid w:val="00BB2A6F"/>
    <w:rsid w:val="00BC5A92"/>
    <w:rsid w:val="00BD1614"/>
    <w:rsid w:val="00BD382C"/>
    <w:rsid w:val="00BD5C12"/>
    <w:rsid w:val="00BD5DA6"/>
    <w:rsid w:val="00BF7D25"/>
    <w:rsid w:val="00C010C0"/>
    <w:rsid w:val="00C0405F"/>
    <w:rsid w:val="00C05822"/>
    <w:rsid w:val="00C40CB5"/>
    <w:rsid w:val="00C54CE6"/>
    <w:rsid w:val="00C575E2"/>
    <w:rsid w:val="00C7368B"/>
    <w:rsid w:val="00C7511B"/>
    <w:rsid w:val="00C874D5"/>
    <w:rsid w:val="00C92746"/>
    <w:rsid w:val="00C93295"/>
    <w:rsid w:val="00CC4DC5"/>
    <w:rsid w:val="00CE0DBF"/>
    <w:rsid w:val="00CE1A7C"/>
    <w:rsid w:val="00CE496F"/>
    <w:rsid w:val="00D04472"/>
    <w:rsid w:val="00D0464B"/>
    <w:rsid w:val="00D12C74"/>
    <w:rsid w:val="00D2263F"/>
    <w:rsid w:val="00D56483"/>
    <w:rsid w:val="00D5658F"/>
    <w:rsid w:val="00D56AD6"/>
    <w:rsid w:val="00D70019"/>
    <w:rsid w:val="00D74B58"/>
    <w:rsid w:val="00D82ABE"/>
    <w:rsid w:val="00D8378E"/>
    <w:rsid w:val="00DA4ABA"/>
    <w:rsid w:val="00DA685B"/>
    <w:rsid w:val="00DA742B"/>
    <w:rsid w:val="00DD5E30"/>
    <w:rsid w:val="00DE4771"/>
    <w:rsid w:val="00DE4AFD"/>
    <w:rsid w:val="00DF25C1"/>
    <w:rsid w:val="00DF48F7"/>
    <w:rsid w:val="00DF4964"/>
    <w:rsid w:val="00DF4D73"/>
    <w:rsid w:val="00DF79B0"/>
    <w:rsid w:val="00E1047D"/>
    <w:rsid w:val="00E14D0C"/>
    <w:rsid w:val="00E4050B"/>
    <w:rsid w:val="00E408BF"/>
    <w:rsid w:val="00E443FA"/>
    <w:rsid w:val="00E54FCE"/>
    <w:rsid w:val="00E56E50"/>
    <w:rsid w:val="00E60DA1"/>
    <w:rsid w:val="00E921A2"/>
    <w:rsid w:val="00E93D35"/>
    <w:rsid w:val="00EA45DB"/>
    <w:rsid w:val="00EC1877"/>
    <w:rsid w:val="00EC33C5"/>
    <w:rsid w:val="00EC767A"/>
    <w:rsid w:val="00ED2CD9"/>
    <w:rsid w:val="00ED5897"/>
    <w:rsid w:val="00EF59C3"/>
    <w:rsid w:val="00F0552F"/>
    <w:rsid w:val="00F07DA7"/>
    <w:rsid w:val="00F127DF"/>
    <w:rsid w:val="00F22E6E"/>
    <w:rsid w:val="00F3254F"/>
    <w:rsid w:val="00F34534"/>
    <w:rsid w:val="00F3555B"/>
    <w:rsid w:val="00F564C1"/>
    <w:rsid w:val="00F62A48"/>
    <w:rsid w:val="00F77FA2"/>
    <w:rsid w:val="00F8357A"/>
    <w:rsid w:val="00F8541A"/>
    <w:rsid w:val="00FA03A4"/>
    <w:rsid w:val="00FA1B77"/>
    <w:rsid w:val="00FA5184"/>
    <w:rsid w:val="00FB4B65"/>
    <w:rsid w:val="00FB74B8"/>
    <w:rsid w:val="00FC49E0"/>
    <w:rsid w:val="00FD282C"/>
    <w:rsid w:val="00FE2C1D"/>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16E3F"/>
    <w:pPr>
      <w:keepNext/>
      <w:keepLines/>
      <w:tabs>
        <w:tab w:val="clear" w:pos="567"/>
      </w:tabs>
      <w:spacing w:before="360"/>
      <w:ind w:left="709" w:hanging="709"/>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516E3F"/>
    <w:rPr>
      <w:rFonts w:ascii="Calibri" w:hAnsi="Calibri"/>
      <w:color w:val="0070C0"/>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styleId="NoSpacing">
    <w:name w:val="No Spacing"/>
    <w:uiPriority w:val="1"/>
    <w:qFormat/>
    <w:rsid w:val="00AF16C4"/>
    <w:rPr>
      <w:rFonts w:asciiTheme="minorHAnsi" w:eastAsiaTheme="minorHAnsi" w:hAnsiTheme="minorHAnsi" w:cstheme="minorBidi"/>
      <w:sz w:val="22"/>
      <w:szCs w:val="22"/>
      <w:lang w:eastAsia="en-US"/>
    </w:rPr>
  </w:style>
  <w:style w:type="table" w:styleId="TableGrid">
    <w:name w:val="Table Grid"/>
    <w:basedOn w:val="TableNormal"/>
    <w:uiPriority w:val="39"/>
    <w:rsid w:val="00AF1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B49FD"/>
    <w:pPr>
      <w:widowControl w:val="0"/>
      <w:autoSpaceDE w:val="0"/>
      <w:autoSpaceDN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fin">
    <w:name w:val="Table_fin"/>
    <w:basedOn w:val="Tabletext"/>
    <w:rsid w:val="001B49FD"/>
    <w:pPr>
      <w:tabs>
        <w:tab w:val="left" w:pos="567"/>
        <w:tab w:val="left" w:pos="851"/>
        <w:tab w:val="left" w:pos="1134"/>
      </w:tabs>
      <w:spacing w:before="0" w:after="0"/>
    </w:pPr>
    <w:rPr>
      <w:lang w:val="en-GB"/>
    </w:rPr>
  </w:style>
  <w:style w:type="paragraph" w:customStyle="1" w:styleId="Subtitle">
    <w:name w:val="Sub_title"/>
    <w:basedOn w:val="Normal"/>
    <w:qFormat/>
    <w:rsid w:val="00F3555B"/>
    <w:pPr>
      <w:framePr w:hSpace="180" w:wrap="around" w:hAnchor="page" w:x="1821" w:y="2317"/>
      <w:spacing w:after="160"/>
    </w:pPr>
    <w:rPr>
      <w:sz w:val="34"/>
      <w:lang w:val="en-GB"/>
    </w:rPr>
  </w:style>
  <w:style w:type="paragraph" w:customStyle="1" w:styleId="Referencetext">
    <w:name w:val="Reference_text"/>
    <w:basedOn w:val="Normal"/>
    <w:rsid w:val="00F3555B"/>
    <w:pPr>
      <w:framePr w:hSpace="181" w:wrap="around" w:vAnchor="page" w:hAnchor="page" w:x="1589" w:y="2314"/>
      <w:spacing w:after="160"/>
    </w:pPr>
    <w:rPr>
      <w:i/>
      <w:iCs/>
      <w:sz w:val="22"/>
      <w:szCs w:val="22"/>
    </w:rPr>
  </w:style>
  <w:style w:type="paragraph" w:styleId="IntenseQuote">
    <w:name w:val="Intense Quote"/>
    <w:basedOn w:val="Normal"/>
    <w:next w:val="Normal"/>
    <w:link w:val="IntenseQuoteChar"/>
    <w:uiPriority w:val="30"/>
    <w:qFormat/>
    <w:rsid w:val="00D0447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04472"/>
    <w:rPr>
      <w:rFonts w:ascii="Calibri" w:hAnsi="Calibri"/>
      <w:i/>
      <w:iCs/>
      <w:color w:val="4F81BD" w:themeColor="accent1"/>
      <w:sz w:val="24"/>
      <w:lang w:val="fr-FR" w:eastAsia="en-US"/>
    </w:rPr>
  </w:style>
  <w:style w:type="character" w:styleId="IntenseReference">
    <w:name w:val="Intense Reference"/>
    <w:basedOn w:val="DefaultParagraphFont"/>
    <w:uiPriority w:val="32"/>
    <w:qFormat/>
    <w:rsid w:val="00D04472"/>
    <w:rPr>
      <w:b/>
      <w:bCs/>
      <w:smallCaps/>
      <w:color w:val="4F81BD" w:themeColor="accent1"/>
      <w:spacing w:val="5"/>
    </w:rPr>
  </w:style>
  <w:style w:type="character" w:styleId="Mention">
    <w:name w:val="Mention"/>
    <w:basedOn w:val="DefaultParagraphFont"/>
    <w:uiPriority w:val="99"/>
    <w:unhideWhenUsed/>
    <w:rsid w:val="00D04472"/>
    <w:rPr>
      <w:color w:val="2B579A"/>
      <w:shd w:val="clear" w:color="auto" w:fill="E1DFDD"/>
    </w:rPr>
  </w:style>
  <w:style w:type="paragraph" w:customStyle="1" w:styleId="Source-Council">
    <w:name w:val="Source-Council"/>
    <w:basedOn w:val="Source"/>
    <w:rsid w:val="00516E3F"/>
    <w:pPr>
      <w:jc w:val="left"/>
    </w:pPr>
    <w:rPr>
      <w:rFonts w:cstheme="minorHAnsi"/>
      <w:color w:val="000000"/>
      <w:sz w:val="32"/>
      <w:szCs w:val="32"/>
    </w:rPr>
  </w:style>
  <w:style w:type="paragraph" w:styleId="ListNumber5">
    <w:name w:val="List Number 5"/>
    <w:basedOn w:val="Normal"/>
    <w:unhideWhenUsed/>
    <w:rsid w:val="009310C7"/>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26" Type="http://schemas.openxmlformats.org/officeDocument/2006/relationships/hyperlink" Target="https://www.itu.int/en/council/Documents/basic-texts-2023/RES-025-F.pdf" TargetMode="External"/><Relationship Id="rId21" Type="http://schemas.openxmlformats.org/officeDocument/2006/relationships/hyperlink" Target="https://www.itu.int/md/D26-TDAG33-C-0019/fr" TargetMode="External"/><Relationship Id="rId42" Type="http://schemas.openxmlformats.org/officeDocument/2006/relationships/hyperlink" Target="https://www.itu.int/itu-d/meetings/rdf/eur/home/" TargetMode="External"/><Relationship Id="rId47" Type="http://schemas.openxmlformats.org/officeDocument/2006/relationships/hyperlink" Target="https://www.itu.int/itu-d/meetings/rdf/ams/home/" TargetMode="External"/><Relationship Id="rId63" Type="http://schemas.openxmlformats.org/officeDocument/2006/relationships/hyperlink" Target="https://www.itu.int/md/D26-TDAG33-C-0008/fr" TargetMode="External"/><Relationship Id="rId68" Type="http://schemas.openxmlformats.org/officeDocument/2006/relationships/hyperlink" Target="https://www.itu.int/en/ITU-R/seminars/rrs/rrs-25-asia&amp;pacific/Pages/default.aspx" TargetMode="External"/><Relationship Id="rId16" Type="http://schemas.openxmlformats.org/officeDocument/2006/relationships/hyperlink" Target="https://www.itu.int/pub/D-TDC-WTDC-2025/fr" TargetMode="External"/><Relationship Id="rId11" Type="http://schemas.openxmlformats.org/officeDocument/2006/relationships/hyperlink" Target="https://www.itu.int/en/council/Documents/basic-texts-2023/RES-135-F.pdf" TargetMode="External"/><Relationship Id="rId32" Type="http://schemas.openxmlformats.org/officeDocument/2006/relationships/hyperlink" Target="https://www.itu.int/pub/D-TDC-WTDC-2025/fr" TargetMode="External"/><Relationship Id="rId37" Type="http://schemas.openxmlformats.org/officeDocument/2006/relationships/hyperlink" Target="https://www.itu.int/md/D26-TDAG33-C-0016/fr" TargetMode="External"/><Relationship Id="rId53" Type="http://schemas.openxmlformats.org/officeDocument/2006/relationships/hyperlink" Target="https://www.itu.int/md/S25-CL-C-0105/fr" TargetMode="External"/><Relationship Id="rId58" Type="http://schemas.openxmlformats.org/officeDocument/2006/relationships/hyperlink" Target="https://www.itu.int/md/R23-RAG-C-0066/fr" TargetMode="External"/><Relationship Id="rId74" Type="http://schemas.openxmlformats.org/officeDocument/2006/relationships/hyperlink" Target="https://www.itu.int/en/ITU-D/Regional-Presence/Europe/Pages/Events/2025/09.23_EMF%20Harmony/National-Workshop.aspx" TargetMode="External"/><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s://www.itu.int/md/D26-TDAG33-C-0019/fr" TargetMode="External"/><Relationship Id="rId19" Type="http://schemas.openxmlformats.org/officeDocument/2006/relationships/hyperlink" Target="https://www.itu.int/md/D22-TDAG32-C-0024/fr" TargetMode="External"/><Relationship Id="rId14" Type="http://schemas.openxmlformats.org/officeDocument/2006/relationships/hyperlink" Target="https://www.itu.int/en/ITU-D/Documents/BAP/D22-WTDC25-C-0090%21%21PDF-F.pdf" TargetMode="External"/><Relationship Id="rId22" Type="http://schemas.openxmlformats.org/officeDocument/2006/relationships/hyperlink" Target="https://www.itu.int/md/D26-TDAG33-C-0016/fr" TargetMode="External"/><Relationship Id="rId27" Type="http://schemas.openxmlformats.org/officeDocument/2006/relationships/hyperlink" Target="https://www.itu.int/en/council/Documents/basic-texts-2023/RES-135-F.pdf" TargetMode="External"/><Relationship Id="rId30" Type="http://schemas.openxmlformats.org/officeDocument/2006/relationships/hyperlink" Target="https://www.itu.int/en/ITU-D/Documents/BAP/D22-WTDC25-C-0090%21%21PDF-F.pdf" TargetMode="External"/><Relationship Id="rId35" Type="http://schemas.openxmlformats.org/officeDocument/2006/relationships/hyperlink" Target="https://www.itu.int/md/D22-WTDC25-C-0002/fr" TargetMode="External"/><Relationship Id="rId43" Type="http://schemas.openxmlformats.org/officeDocument/2006/relationships/hyperlink" Target="https://www.itu.int/itu-d/meetings/rdf/eur/home/" TargetMode="External"/><Relationship Id="rId48" Type="http://schemas.openxmlformats.org/officeDocument/2006/relationships/hyperlink" Target="https://www.itu.int/itu-d/meetings/rdf/afr/home/" TargetMode="External"/><Relationship Id="rId56" Type="http://schemas.openxmlformats.org/officeDocument/2006/relationships/hyperlink" Target="https://www.itu.int/md/T25-TSAG-260126-TD-GEN-0313/en" TargetMode="External"/><Relationship Id="rId64" Type="http://schemas.openxmlformats.org/officeDocument/2006/relationships/hyperlink" Target="https://www.itu.int/en/ITU-R/seminars/rrs/rrs-25-africa/Pages/default.aspx" TargetMode="External"/><Relationship Id="rId69" Type="http://schemas.openxmlformats.org/officeDocument/2006/relationships/hyperlink" Target="https://www.itu.int/en/ITU-D/Regional-Presence/AsiaPacific/Pages/Events/2025/ITTLLDC%202025/main.aspx" TargetMode="External"/><Relationship Id="rId77" Type="http://schemas.openxmlformats.org/officeDocument/2006/relationships/hyperlink" Target="https://www.itu.int/md/S26-CL-C-0025/fr" TargetMode="External"/><Relationship Id="rId8" Type="http://schemas.openxmlformats.org/officeDocument/2006/relationships/endnotes" Target="endnotes.xml"/><Relationship Id="rId51" Type="http://schemas.openxmlformats.org/officeDocument/2006/relationships/hyperlink" Target="https://www.itu.int/itu-d/meetings/rdf/cis/home/" TargetMode="External"/><Relationship Id="rId72" Type="http://schemas.openxmlformats.org/officeDocument/2006/relationships/hyperlink" Target="https://www.itu.int/en/ITU-D/Regional-Presence/CIS/Pages/EVENTS/2025/FoCForum.aspx" TargetMode="External"/><Relationship Id="rId80"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www.itu.int/en/council/Documents/basic-texts-2023/RES-157-F.pdf" TargetMode="External"/><Relationship Id="rId17" Type="http://schemas.openxmlformats.org/officeDocument/2006/relationships/hyperlink" Target="https://www.itu.int/md/S25-CL-C-0025/fr" TargetMode="External"/><Relationship Id="rId25" Type="http://schemas.openxmlformats.org/officeDocument/2006/relationships/hyperlink" Target="https://www.itu.int/md/S26-CL-C-0025/fr" TargetMode="External"/><Relationship Id="rId33" Type="http://schemas.openxmlformats.org/officeDocument/2006/relationships/hyperlink" Target="https://www.itu.int/md/S25-CL-C-0025/fr" TargetMode="External"/><Relationship Id="rId38" Type="http://schemas.openxmlformats.org/officeDocument/2006/relationships/hyperlink" Target="https://www.itu.int/md/D26-TDAG33-C-0008/fr" TargetMode="External"/><Relationship Id="rId46" Type="http://schemas.openxmlformats.org/officeDocument/2006/relationships/hyperlink" Target="https://www.itu.int/itu-d/meetings/rdf/ams/home/" TargetMode="External"/><Relationship Id="rId59" Type="http://schemas.openxmlformats.org/officeDocument/2006/relationships/hyperlink" Target="https://www.itu.int/md/D22-TDAG32-INF-0004/fr" TargetMode="External"/><Relationship Id="rId67" Type="http://schemas.openxmlformats.org/officeDocument/2006/relationships/hyperlink" Target="https://www.itu.int/en/ITU-R/seminars/rrs/rrs-25-asia&amp;pacific/Pages/default.aspx" TargetMode="External"/><Relationship Id="rId20" Type="http://schemas.openxmlformats.org/officeDocument/2006/relationships/hyperlink" Target="https://www.itu.int/md/D22-WTDC25-C-0002/fr" TargetMode="External"/><Relationship Id="rId41" Type="http://schemas.openxmlformats.org/officeDocument/2006/relationships/hyperlink" Target="https://www.itu.int/itu-d/meetings/rdf/arb/home/" TargetMode="External"/><Relationship Id="rId54" Type="http://schemas.openxmlformats.org/officeDocument/2006/relationships/hyperlink" Target="https://www.itu.int/md/S26-CWGFHR22-INF-0001/fr" TargetMode="External"/><Relationship Id="rId62" Type="http://schemas.openxmlformats.org/officeDocument/2006/relationships/hyperlink" Target="https://www.itu.int/md/D22-TDAG32-C-0005/fr" TargetMode="External"/><Relationship Id="rId70" Type="http://schemas.openxmlformats.org/officeDocument/2006/relationships/hyperlink" Target="https://www.itu.int/en/ITU-D/Regional-Presence/AsiaPacific/Pages/Projects/EW4All/EW4ALL.aspx" TargetMode="External"/><Relationship Id="rId75" Type="http://schemas.openxmlformats.org/officeDocument/2006/relationships/hyperlink" Target="https://digitalregulation.org/category/spectrum-management/" TargetMode="Externa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hyperlink" Target="https://www.itu.int/pub/D-TDC-WTDC-2025/fr" TargetMode="External"/><Relationship Id="rId23" Type="http://schemas.openxmlformats.org/officeDocument/2006/relationships/hyperlink" Target="https://www.itu.int/md/D26-TDAG33-C-0008/fr" TargetMode="External"/><Relationship Id="rId28" Type="http://schemas.openxmlformats.org/officeDocument/2006/relationships/hyperlink" Target="https://www.itu.int/en/council/Documents/basic-texts-2023/RES-157-F.pdf" TargetMode="External"/><Relationship Id="rId36" Type="http://schemas.openxmlformats.org/officeDocument/2006/relationships/hyperlink" Target="https://www.itu.int/md/D26-TDAG33-C-0019/fr" TargetMode="External"/><Relationship Id="rId49" Type="http://schemas.openxmlformats.org/officeDocument/2006/relationships/hyperlink" Target="https://www.itu.int/itu-d/meetings/rdf/afr/home/" TargetMode="External"/><Relationship Id="rId57" Type="http://schemas.openxmlformats.org/officeDocument/2006/relationships/hyperlink" Target="https://www.itu.int/md/D26-TDAG33-C-0016/fr" TargetMode="External"/><Relationship Id="rId10" Type="http://schemas.openxmlformats.org/officeDocument/2006/relationships/hyperlink" Target="https://www.itu.int/en/council/Documents/basic-texts-2023/RES-025-F.pdf" TargetMode="External"/><Relationship Id="rId31" Type="http://schemas.openxmlformats.org/officeDocument/2006/relationships/hyperlink" Target="https://www.itu.int/pub/D-TDC-WTDC-2025/fr" TargetMode="External"/><Relationship Id="rId44" Type="http://schemas.openxmlformats.org/officeDocument/2006/relationships/hyperlink" Target="https://www.itu.int/itu-d/meetings/rdf/asp/home/" TargetMode="External"/><Relationship Id="rId52" Type="http://schemas.openxmlformats.org/officeDocument/2006/relationships/hyperlink" Target="https://www.itu.int/md/D22-TDAG32-C-0024/fr" TargetMode="External"/><Relationship Id="rId60" Type="http://schemas.openxmlformats.org/officeDocument/2006/relationships/hyperlink" Target="https://www.itu.int/md/D26-TDAG33-C-0004/fr" TargetMode="External"/><Relationship Id="rId65" Type="http://schemas.openxmlformats.org/officeDocument/2006/relationships/hyperlink" Target="https://www.itu.int/en/ITU-D/Regional-Presence/Africa/Pages/EVENTS/2025/GSMA-.aspx" TargetMode="External"/><Relationship Id="rId73" Type="http://schemas.openxmlformats.org/officeDocument/2006/relationships/hyperlink" Target="https://www.itu.int/en/ITU-R/seminars/rrs/RRS-26-Europe/Pages/default.aspx" TargetMode="External"/><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www.itu.int/fr/publications/ITU-D/Pages/publications.aspx?parent=D-TDC-WTDC-2022&amp;media=electronic" TargetMode="External"/><Relationship Id="rId18" Type="http://schemas.openxmlformats.org/officeDocument/2006/relationships/hyperlink" Target="https://www.itu.int/md/S26-CL-C-0025/fr" TargetMode="External"/><Relationship Id="rId39" Type="http://schemas.openxmlformats.org/officeDocument/2006/relationships/hyperlink" Target="https://www.itu.int/md/D26-TDAG33-C-0004/fr" TargetMode="External"/><Relationship Id="rId34" Type="http://schemas.openxmlformats.org/officeDocument/2006/relationships/hyperlink" Target="https://www.itu.int/md/D22-TDAG32-C-0024/fr" TargetMode="External"/><Relationship Id="rId50" Type="http://schemas.openxmlformats.org/officeDocument/2006/relationships/hyperlink" Target="https://www.itu.int/itu-d/meetings/rdf/cis/home/" TargetMode="External"/><Relationship Id="rId55" Type="http://schemas.openxmlformats.org/officeDocument/2006/relationships/hyperlink" Target="https://www.itu.int/md/S26-CWGFHR22-C-0004/fr" TargetMode="External"/><Relationship Id="rId76" Type="http://schemas.openxmlformats.org/officeDocument/2006/relationships/hyperlink" Target="https://www.itu.int/md/S26-CL-C-0119/fr" TargetMode="External"/><Relationship Id="rId7" Type="http://schemas.openxmlformats.org/officeDocument/2006/relationships/footnotes" Target="footnotes.xml"/><Relationship Id="rId71" Type="http://schemas.openxmlformats.org/officeDocument/2006/relationships/hyperlink" Target="https://u4ssc.itu.int/" TargetMode="External"/><Relationship Id="rId2" Type="http://schemas.openxmlformats.org/officeDocument/2006/relationships/customXml" Target="../customXml/item1.xml"/><Relationship Id="rId29" Type="http://schemas.openxmlformats.org/officeDocument/2006/relationships/hyperlink" Target="https://www.itu.int/fr/publications/ITU-D/Pages/publications.aspx?parent=D-TDC-WTDC-2022&amp;media=electronic" TargetMode="External"/><Relationship Id="rId24" Type="http://schemas.openxmlformats.org/officeDocument/2006/relationships/hyperlink" Target="https://www.itu.int/md/D26-TDAG33-C-0004/fr" TargetMode="External"/><Relationship Id="rId40" Type="http://schemas.openxmlformats.org/officeDocument/2006/relationships/hyperlink" Target="https://www.itu.int/itu-d/meetings/rdf/arb/home/" TargetMode="External"/><Relationship Id="rId45" Type="http://schemas.openxmlformats.org/officeDocument/2006/relationships/hyperlink" Target="https://www.itu.int/itu-d/meetings/rdf/asp/home/" TargetMode="External"/><Relationship Id="rId66" Type="http://schemas.openxmlformats.org/officeDocument/2006/relationships/hyperlink" Target="https://www.itu.int/en/ITU-R/seminars/rrs/RRS-25-Americas/Pages/default.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md/S25-CL-C-0105/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CA0B0-6583-47C4-AD7B-20CF407EA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8601</Words>
  <Characters>47224</Characters>
  <Application>Microsoft Office Word</Application>
  <DocSecurity>0</DocSecurity>
  <Lines>774</Lines>
  <Paragraphs>283</Paragraphs>
  <ScaleCrop>false</ScaleCrop>
  <HeadingPairs>
    <vt:vector size="2" baseType="variant">
      <vt:variant>
        <vt:lpstr>Title</vt:lpstr>
      </vt:variant>
      <vt:variant>
        <vt:i4>1</vt:i4>
      </vt:variant>
    </vt:vector>
  </HeadingPairs>
  <TitlesOfParts>
    <vt:vector size="1" baseType="lpstr">
      <vt:lpstr>Renforcer la présence régionale de l'UIT</vt:lpstr>
    </vt:vector>
  </TitlesOfParts>
  <Manager/>
  <Company/>
  <LinksUpToDate>false</LinksUpToDate>
  <CharactersWithSpaces>55542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Renforcer la présence régionale de l'UIT</dc:title>
  <dc:subject>ITU Plenipotentiary Conference (PP-26)</dc:subject>
  <cp:keywords>PP-26, PP26, ITU</cp:keywords>
  <dc:description/>
  <cp:lastPrinted>2026-10-05T13:45:00Z</cp:lastPrinted>
  <dcterms:created xsi:type="dcterms:W3CDTF">2026-10-13T09:12:00Z</dcterms:created>
  <dcterms:modified xsi:type="dcterms:W3CDTF">2026-10-13T09:12:00Z</dcterms:modified>
  <cp:category>Conference document</cp:category>
</cp:coreProperties>
</file>