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709615C2" w14:textId="77777777" w:rsidTr="005A329F">
        <w:trPr>
          <w:cantSplit/>
          <w:jc w:val="center"/>
        </w:trPr>
        <w:tc>
          <w:tcPr>
            <w:tcW w:w="10031" w:type="dxa"/>
            <w:gridSpan w:val="2"/>
            <w:tcMar>
              <w:left w:w="0" w:type="dxa"/>
              <w:right w:w="0" w:type="dxa"/>
            </w:tcMar>
            <w:vAlign w:val="center"/>
          </w:tcPr>
          <w:p w14:paraId="03C32604"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1228DD5D" w14:textId="77777777" w:rsidTr="005A329F">
        <w:trPr>
          <w:cantSplit/>
          <w:trHeight w:val="283"/>
          <w:jc w:val="center"/>
        </w:trPr>
        <w:tc>
          <w:tcPr>
            <w:tcW w:w="10031" w:type="dxa"/>
            <w:gridSpan w:val="2"/>
            <w:tcBorders>
              <w:bottom w:val="single" w:sz="12" w:space="0" w:color="71716F"/>
            </w:tcBorders>
          </w:tcPr>
          <w:p w14:paraId="48CD970E"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0F99F301" w14:textId="77777777" w:rsidTr="005A329F">
        <w:trPr>
          <w:cantSplit/>
          <w:trHeight w:val="255"/>
          <w:jc w:val="center"/>
        </w:trPr>
        <w:tc>
          <w:tcPr>
            <w:tcW w:w="7229" w:type="dxa"/>
            <w:tcBorders>
              <w:top w:val="single" w:sz="12" w:space="0" w:color="71716F"/>
            </w:tcBorders>
          </w:tcPr>
          <w:p w14:paraId="44C0F421"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39626A6F" w14:textId="77777777" w:rsidR="00255FA1" w:rsidRPr="00DE3E41" w:rsidRDefault="00255FA1" w:rsidP="00BF32F2">
            <w:pPr>
              <w:spacing w:before="0"/>
              <w:rPr>
                <w:rFonts w:cstheme="minorHAnsi"/>
                <w:szCs w:val="24"/>
                <w:lang w:val="fr-CH"/>
              </w:rPr>
            </w:pPr>
          </w:p>
        </w:tc>
      </w:tr>
      <w:bookmarkEnd w:id="1"/>
      <w:tr w:rsidR="00075113" w:rsidRPr="0002785D" w14:paraId="7BF35434" w14:textId="77777777" w:rsidTr="005A329F">
        <w:trPr>
          <w:cantSplit/>
          <w:jc w:val="center"/>
        </w:trPr>
        <w:tc>
          <w:tcPr>
            <w:tcW w:w="7229" w:type="dxa"/>
          </w:tcPr>
          <w:p w14:paraId="200C1634" w14:textId="77777777" w:rsidR="00075113" w:rsidRPr="004C22ED" w:rsidRDefault="00075113" w:rsidP="00075113">
            <w:pPr>
              <w:pStyle w:val="Committee"/>
              <w:framePr w:hSpace="0" w:wrap="auto" w:hAnchor="text" w:yAlign="inline"/>
              <w:spacing w:after="0" w:line="240" w:lineRule="auto"/>
            </w:pPr>
            <w:r w:rsidRPr="00075113">
              <w:rPr>
                <w:lang w:val="es-ES_tradnl"/>
              </w:rPr>
              <w:t>SESIÓN PLENARIA</w:t>
            </w:r>
          </w:p>
        </w:tc>
        <w:tc>
          <w:tcPr>
            <w:tcW w:w="2802" w:type="dxa"/>
          </w:tcPr>
          <w:p w14:paraId="0ABC7C25" w14:textId="58F9ADFF" w:rsidR="00075113" w:rsidRPr="004C22ED" w:rsidRDefault="00075113" w:rsidP="00075113">
            <w:pPr>
              <w:spacing w:before="0"/>
              <w:rPr>
                <w:rFonts w:cstheme="minorHAnsi"/>
                <w:szCs w:val="24"/>
                <w:lang w:val="en-US"/>
              </w:rPr>
            </w:pPr>
            <w:r>
              <w:rPr>
                <w:rFonts w:cstheme="minorHAnsi"/>
                <w:b/>
                <w:szCs w:val="24"/>
                <w:lang w:val="en-US"/>
              </w:rPr>
              <w:t xml:space="preserve">Documento </w:t>
            </w:r>
            <w:r w:rsidR="00AE7107">
              <w:rPr>
                <w:rFonts w:cstheme="minorHAnsi"/>
                <w:b/>
                <w:szCs w:val="24"/>
                <w:lang w:val="en-US"/>
              </w:rPr>
              <w:t>64</w:t>
            </w:r>
            <w:r>
              <w:rPr>
                <w:rFonts w:cstheme="minorHAnsi"/>
                <w:b/>
                <w:szCs w:val="24"/>
                <w:lang w:val="en-US"/>
              </w:rPr>
              <w:t>-S</w:t>
            </w:r>
          </w:p>
        </w:tc>
      </w:tr>
      <w:tr w:rsidR="00AE7107" w:rsidRPr="0002785D" w14:paraId="3122E313" w14:textId="77777777" w:rsidTr="005A329F">
        <w:trPr>
          <w:cantSplit/>
          <w:jc w:val="center"/>
        </w:trPr>
        <w:tc>
          <w:tcPr>
            <w:tcW w:w="7229" w:type="dxa"/>
          </w:tcPr>
          <w:p w14:paraId="40F25B02" w14:textId="77777777" w:rsidR="00AE7107" w:rsidRPr="00BF5475" w:rsidRDefault="00AE7107" w:rsidP="00AE7107">
            <w:pPr>
              <w:spacing w:before="0"/>
              <w:rPr>
                <w:rFonts w:cstheme="minorHAnsi"/>
                <w:b/>
                <w:szCs w:val="24"/>
                <w:lang w:val="en-US"/>
              </w:rPr>
            </w:pPr>
          </w:p>
        </w:tc>
        <w:tc>
          <w:tcPr>
            <w:tcW w:w="2802" w:type="dxa"/>
          </w:tcPr>
          <w:p w14:paraId="2C9A28FB" w14:textId="6E963306" w:rsidR="00AE7107" w:rsidRPr="004C22ED" w:rsidRDefault="00AE7107" w:rsidP="00AE7107">
            <w:pPr>
              <w:spacing w:before="0"/>
              <w:rPr>
                <w:rFonts w:cstheme="minorHAnsi"/>
                <w:b/>
                <w:szCs w:val="24"/>
                <w:lang w:val="en-US"/>
              </w:rPr>
            </w:pPr>
            <w:r w:rsidRPr="00AE7107">
              <w:rPr>
                <w:rFonts w:cstheme="minorHAnsi"/>
                <w:b/>
                <w:szCs w:val="24"/>
                <w:lang w:val="en-US"/>
              </w:rPr>
              <w:t>5 de octubre de 2026</w:t>
            </w:r>
          </w:p>
        </w:tc>
      </w:tr>
      <w:tr w:rsidR="00AE7107" w:rsidRPr="0002785D" w14:paraId="4EDA0B16" w14:textId="77777777" w:rsidTr="005A329F">
        <w:trPr>
          <w:cantSplit/>
          <w:jc w:val="center"/>
        </w:trPr>
        <w:tc>
          <w:tcPr>
            <w:tcW w:w="7229" w:type="dxa"/>
          </w:tcPr>
          <w:p w14:paraId="226E2B18" w14:textId="77777777" w:rsidR="00AE7107" w:rsidRPr="004C22ED" w:rsidRDefault="00AE7107" w:rsidP="00AE7107">
            <w:pPr>
              <w:spacing w:before="0"/>
              <w:rPr>
                <w:rFonts w:cstheme="minorHAnsi"/>
                <w:b/>
                <w:smallCaps/>
                <w:szCs w:val="24"/>
                <w:lang w:val="en-US"/>
              </w:rPr>
            </w:pPr>
          </w:p>
        </w:tc>
        <w:tc>
          <w:tcPr>
            <w:tcW w:w="2802" w:type="dxa"/>
          </w:tcPr>
          <w:p w14:paraId="7777ED5D" w14:textId="77777777" w:rsidR="00AE7107" w:rsidRPr="004C22ED" w:rsidRDefault="00AE7107" w:rsidP="00AE7107">
            <w:pPr>
              <w:spacing w:before="0"/>
              <w:rPr>
                <w:rFonts w:cstheme="minorHAnsi"/>
                <w:b/>
                <w:szCs w:val="24"/>
                <w:lang w:val="en-US"/>
              </w:rPr>
            </w:pPr>
            <w:r w:rsidRPr="00075113">
              <w:rPr>
                <w:rFonts w:cstheme="minorHAnsi"/>
                <w:b/>
                <w:szCs w:val="24"/>
                <w:lang w:val="en-US"/>
              </w:rPr>
              <w:t>Original: inglés</w:t>
            </w:r>
          </w:p>
        </w:tc>
      </w:tr>
      <w:tr w:rsidR="00AE7107" w:rsidRPr="0002785D" w14:paraId="6D21D953" w14:textId="77777777" w:rsidTr="005A329F">
        <w:trPr>
          <w:cantSplit/>
          <w:jc w:val="center"/>
        </w:trPr>
        <w:tc>
          <w:tcPr>
            <w:tcW w:w="10031" w:type="dxa"/>
            <w:gridSpan w:val="2"/>
          </w:tcPr>
          <w:p w14:paraId="1DE8200A" w14:textId="77777777" w:rsidR="00AE7107" w:rsidRPr="004C22ED" w:rsidRDefault="00AE7107" w:rsidP="00AE7107">
            <w:pPr>
              <w:spacing w:before="0" w:line="240" w:lineRule="atLeast"/>
              <w:rPr>
                <w:rFonts w:cstheme="minorHAnsi"/>
                <w:b/>
                <w:szCs w:val="24"/>
                <w:lang w:val="en-US"/>
              </w:rPr>
            </w:pPr>
          </w:p>
        </w:tc>
      </w:tr>
      <w:tr w:rsidR="00AE7107" w:rsidRPr="0002785D" w14:paraId="4CF74EDC" w14:textId="77777777" w:rsidTr="005A329F">
        <w:trPr>
          <w:cantSplit/>
          <w:jc w:val="center"/>
        </w:trPr>
        <w:tc>
          <w:tcPr>
            <w:tcW w:w="10031" w:type="dxa"/>
            <w:gridSpan w:val="2"/>
          </w:tcPr>
          <w:p w14:paraId="469B401C" w14:textId="33075F4D" w:rsidR="00AE7107" w:rsidRPr="006C214C" w:rsidRDefault="00AE7107" w:rsidP="00AE7107">
            <w:pPr>
              <w:pStyle w:val="Source"/>
              <w:rPr>
                <w:lang w:val="es-ES"/>
              </w:rPr>
            </w:pPr>
            <w:bookmarkStart w:id="2" w:name="dsource" w:colFirst="0" w:colLast="0"/>
            <w:r>
              <w:rPr>
                <w:bCs/>
                <w:color w:val="000000"/>
                <w:lang w:val="es-ES"/>
              </w:rPr>
              <w:t>Informe de la Secretaria General</w:t>
            </w:r>
          </w:p>
        </w:tc>
      </w:tr>
      <w:tr w:rsidR="00AE7107" w:rsidRPr="0002785D" w14:paraId="7ACE2A12" w14:textId="77777777" w:rsidTr="005A329F">
        <w:trPr>
          <w:cantSplit/>
          <w:jc w:val="center"/>
        </w:trPr>
        <w:tc>
          <w:tcPr>
            <w:tcW w:w="10031" w:type="dxa"/>
            <w:gridSpan w:val="2"/>
          </w:tcPr>
          <w:p w14:paraId="46991BD9" w14:textId="65CD6597" w:rsidR="00AE7107" w:rsidRPr="00AE7107" w:rsidRDefault="002D1120" w:rsidP="002D1120">
            <w:pPr>
              <w:pStyle w:val="Title1"/>
              <w:rPr>
                <w:lang w:val="es-ES"/>
              </w:rPr>
            </w:pPr>
            <w:bookmarkStart w:id="3" w:name="dtitle1" w:colFirst="0" w:colLast="0"/>
            <w:bookmarkEnd w:id="2"/>
            <w:r>
              <w:rPr>
                <w:caps w:val="0"/>
                <w:color w:val="000000"/>
                <w:lang w:val="es-ES"/>
              </w:rPr>
              <w:t>INFORME SOBRE EL EXAMEN DE LA PRESENCIA REGIONAL DE LA UIT</w:t>
            </w:r>
          </w:p>
        </w:tc>
      </w:tr>
      <w:tr w:rsidR="00AE7107" w:rsidRPr="0002785D" w14:paraId="3B8E8A52" w14:textId="77777777" w:rsidTr="005A329F">
        <w:trPr>
          <w:cantSplit/>
          <w:jc w:val="center"/>
        </w:trPr>
        <w:tc>
          <w:tcPr>
            <w:tcW w:w="10031" w:type="dxa"/>
            <w:gridSpan w:val="2"/>
          </w:tcPr>
          <w:p w14:paraId="5230F75D" w14:textId="4618053A" w:rsidR="00AE7107" w:rsidRPr="006C214C" w:rsidRDefault="00AE7107" w:rsidP="00AE7107">
            <w:pPr>
              <w:pStyle w:val="Title2"/>
              <w:rPr>
                <w:lang w:val="es-ES"/>
              </w:rPr>
            </w:pPr>
            <w:bookmarkStart w:id="4" w:name="dtitle2" w:colFirst="0" w:colLast="0"/>
            <w:bookmarkEnd w:id="3"/>
          </w:p>
        </w:tc>
      </w:tr>
      <w:tr w:rsidR="00AE7107" w14:paraId="20EC3E31" w14:textId="77777777" w:rsidTr="005A329F">
        <w:trPr>
          <w:cantSplit/>
          <w:jc w:val="center"/>
        </w:trPr>
        <w:tc>
          <w:tcPr>
            <w:tcW w:w="10031" w:type="dxa"/>
            <w:gridSpan w:val="2"/>
          </w:tcPr>
          <w:p w14:paraId="665D35F7" w14:textId="77777777" w:rsidR="00AE7107" w:rsidRDefault="00AE7107" w:rsidP="00AE7107">
            <w:pPr>
              <w:pStyle w:val="Agendaitem"/>
            </w:pPr>
            <w:bookmarkStart w:id="5" w:name="dtitle3" w:colFirst="0" w:colLast="0"/>
            <w:bookmarkEnd w:id="4"/>
          </w:p>
        </w:tc>
      </w:tr>
      <w:bookmarkEnd w:id="5"/>
    </w:tbl>
    <w:p w14:paraId="1D79AF59" w14:textId="77777777" w:rsidR="00AE7107" w:rsidRPr="005D5C10" w:rsidRDefault="00AE7107" w:rsidP="00AE7107">
      <w:pPr>
        <w:rPr>
          <w:lang w:val="es-ES"/>
        </w:rPr>
      </w:pPr>
    </w:p>
    <w:tbl>
      <w:tblPr>
        <w:tblStyle w:val="TableGrid"/>
        <w:tblW w:w="0" w:type="auto"/>
        <w:jc w:val="center"/>
        <w:tblLayout w:type="fixed"/>
        <w:tblLook w:val="04A0" w:firstRow="1" w:lastRow="0" w:firstColumn="1" w:lastColumn="0" w:noHBand="0" w:noVBand="1"/>
      </w:tblPr>
      <w:tblGrid>
        <w:gridCol w:w="7937"/>
      </w:tblGrid>
      <w:tr w:rsidR="00AE7107" w:rsidRPr="008663BD" w14:paraId="327314C0" w14:textId="77777777" w:rsidTr="009354D8">
        <w:trPr>
          <w:trHeight w:val="3402"/>
          <w:jc w:val="center"/>
        </w:trPr>
        <w:tc>
          <w:tcPr>
            <w:tcW w:w="7937" w:type="dxa"/>
          </w:tcPr>
          <w:p w14:paraId="6048983C" w14:textId="77777777" w:rsidR="00AE7107" w:rsidRDefault="00AE7107" w:rsidP="006F3DDE">
            <w:pPr>
              <w:pStyle w:val="Headingb"/>
            </w:pPr>
            <w:r>
              <w:rPr>
                <w:lang w:val="es-ES"/>
              </w:rPr>
              <w:t>Resumen</w:t>
            </w:r>
          </w:p>
          <w:p w14:paraId="5C052AC2" w14:textId="258B1544" w:rsidR="00AE7107" w:rsidRPr="00C255AC" w:rsidRDefault="00AE7107" w:rsidP="002D1120">
            <w:pPr>
              <w:jc w:val="both"/>
              <w:rPr>
                <w:lang w:val="es-ES"/>
              </w:rPr>
            </w:pPr>
            <w:r w:rsidRPr="00C255AC">
              <w:rPr>
                <w:lang w:val="es-ES"/>
              </w:rPr>
              <w:t xml:space="preserve">En el documento se proporciona información actualizada sobre el examen de la presencia regional de la UIT, realizado de conformidad con la decisión del Consejo de 2026 tras la presentación del Documento </w:t>
            </w:r>
            <w:hyperlink r:id="rId8" w:history="1">
              <w:r w:rsidR="003162BF" w:rsidRPr="00C255AC">
                <w:rPr>
                  <w:rStyle w:val="Hyperlink"/>
                </w:rPr>
                <w:t>C26/24</w:t>
              </w:r>
            </w:hyperlink>
            <w:r w:rsidR="003162BF" w:rsidRPr="00C255AC">
              <w:t xml:space="preserve"> </w:t>
            </w:r>
            <w:r w:rsidRPr="00C255AC">
              <w:rPr>
                <w:lang w:val="es-ES"/>
              </w:rPr>
              <w:t xml:space="preserve">del Consejo, en el que se exponían las principales conclusiones del examen, respaldadas por el Documento de información </w:t>
            </w:r>
            <w:hyperlink r:id="rId9" w:history="1">
              <w:r w:rsidR="003162BF" w:rsidRPr="00C255AC">
                <w:rPr>
                  <w:rStyle w:val="Hyperlink"/>
                </w:rPr>
                <w:t>C26/INF/10</w:t>
              </w:r>
            </w:hyperlink>
            <w:r w:rsidRPr="00C255AC">
              <w:rPr>
                <w:lang w:val="es-ES"/>
              </w:rPr>
              <w:t xml:space="preserve">, que contenía el informe detallado del examen. La información actualizada da respuesta a las observaciones recibidas de los consejeros y del Comité Asesor Independiente sobre la Gestión (CAIG). </w:t>
            </w:r>
            <w:hyperlink r:id="rId10" w:history="1"/>
            <w:hyperlink r:id="rId11"/>
          </w:p>
          <w:p w14:paraId="4D464312" w14:textId="77777777" w:rsidR="00AE7107" w:rsidRPr="005D5C10" w:rsidRDefault="00AE7107" w:rsidP="006F3DDE">
            <w:pPr>
              <w:pStyle w:val="Headingb"/>
              <w:rPr>
                <w:lang w:val="es-ES"/>
              </w:rPr>
            </w:pPr>
            <w:r>
              <w:rPr>
                <w:lang w:val="es-ES"/>
              </w:rPr>
              <w:t>Acción solicitada</w:t>
            </w:r>
          </w:p>
          <w:p w14:paraId="1B87E747" w14:textId="77777777" w:rsidR="00AE7107" w:rsidRPr="00C255AC" w:rsidRDefault="00AE7107" w:rsidP="00941B2D">
            <w:pPr>
              <w:rPr>
                <w:lang w:val="es-ES"/>
              </w:rPr>
            </w:pPr>
            <w:r w:rsidRPr="00C255AC">
              <w:rPr>
                <w:lang w:val="es-ES"/>
              </w:rPr>
              <w:t xml:space="preserve">Se invita a la Conferencia de Plenipotenciarios a </w:t>
            </w:r>
            <w:r w:rsidRPr="00C255AC">
              <w:rPr>
                <w:b/>
                <w:bCs/>
                <w:lang w:val="es-ES"/>
              </w:rPr>
              <w:t>examinar</w:t>
            </w:r>
            <w:r w:rsidRPr="00C255AC">
              <w:rPr>
                <w:lang w:val="es-ES"/>
              </w:rPr>
              <w:t xml:space="preserve"> el presente informe.</w:t>
            </w:r>
          </w:p>
          <w:p w14:paraId="47C04B2F" w14:textId="77777777" w:rsidR="00AE7107" w:rsidRPr="005D5C10" w:rsidRDefault="00AE7107" w:rsidP="006F3DDE">
            <w:pPr>
              <w:pStyle w:val="Headingb"/>
              <w:rPr>
                <w:lang w:val="es-ES"/>
              </w:rPr>
            </w:pPr>
            <w:r>
              <w:rPr>
                <w:lang w:val="es-ES"/>
              </w:rPr>
              <w:t>Consecuencias financieras</w:t>
            </w:r>
          </w:p>
          <w:p w14:paraId="37113359" w14:textId="77777777" w:rsidR="00AE7107" w:rsidRPr="00941B2D" w:rsidRDefault="00AE7107" w:rsidP="00941B2D">
            <w:pPr>
              <w:rPr>
                <w:lang w:val="es-ES"/>
              </w:rPr>
            </w:pPr>
            <w:r w:rsidRPr="00941B2D">
              <w:rPr>
                <w:lang w:val="es-ES"/>
              </w:rPr>
              <w:t>Con cargo al presupuesto asignado.</w:t>
            </w:r>
          </w:p>
          <w:p w14:paraId="29EBBF0A" w14:textId="77777777" w:rsidR="00AE7107" w:rsidRPr="00C255AC" w:rsidRDefault="00AE7107" w:rsidP="009354D8">
            <w:pPr>
              <w:jc w:val="center"/>
              <w:rPr>
                <w:lang w:val="es-ES"/>
              </w:rPr>
            </w:pPr>
            <w:r w:rsidRPr="00C255AC">
              <w:rPr>
                <w:lang w:val="es-ES"/>
              </w:rPr>
              <w:t>______________</w:t>
            </w:r>
          </w:p>
          <w:p w14:paraId="540CB713" w14:textId="77777777" w:rsidR="00AE7107" w:rsidRPr="00173340" w:rsidRDefault="00AE7107" w:rsidP="006F3DDE">
            <w:pPr>
              <w:pStyle w:val="Headingb"/>
            </w:pPr>
            <w:r w:rsidRPr="006F3DDE">
              <w:t>Referencias</w:t>
            </w:r>
          </w:p>
          <w:p w14:paraId="06D848F2" w14:textId="7AE2FB12" w:rsidR="00AE7107" w:rsidRPr="00941B2D" w:rsidRDefault="00AE7107" w:rsidP="006C214C">
            <w:pPr>
              <w:spacing w:after="120"/>
              <w:rPr>
                <w:i/>
                <w:iCs/>
                <w:sz w:val="22"/>
                <w:szCs w:val="22"/>
                <w:lang w:val="es-ES"/>
              </w:rPr>
            </w:pPr>
            <w:r w:rsidRPr="00941B2D">
              <w:rPr>
                <w:i/>
                <w:iCs/>
                <w:sz w:val="22"/>
                <w:szCs w:val="22"/>
                <w:lang w:val="es-ES"/>
              </w:rPr>
              <w:t xml:space="preserve">Resolución </w:t>
            </w:r>
            <w:hyperlink r:id="rId12" w:history="1">
              <w:r w:rsidR="003162BF" w:rsidRPr="00941B2D">
                <w:rPr>
                  <w:rStyle w:val="Hyperlink"/>
                  <w:i/>
                  <w:iCs/>
                  <w:sz w:val="22"/>
                  <w:szCs w:val="22"/>
                  <w:lang w:val="es-ES"/>
                </w:rPr>
                <w:t>25 (Rev. Bucharest, 2022)</w:t>
              </w:r>
            </w:hyperlink>
            <w:r w:rsidR="003162BF" w:rsidRPr="00941B2D">
              <w:rPr>
                <w:i/>
                <w:iCs/>
                <w:sz w:val="22"/>
                <w:szCs w:val="22"/>
                <w:lang w:val="es-ES"/>
              </w:rPr>
              <w:t xml:space="preserve"> </w:t>
            </w:r>
            <w:r w:rsidRPr="00941B2D">
              <w:rPr>
                <w:i/>
                <w:iCs/>
                <w:sz w:val="22"/>
                <w:szCs w:val="22"/>
                <w:lang w:val="es-ES"/>
              </w:rPr>
              <w:t>de la Conferencia de Plenipotenciarios</w:t>
            </w:r>
            <w:hyperlink r:id="rId13" w:history="1"/>
          </w:p>
        </w:tc>
      </w:tr>
    </w:tbl>
    <w:p w14:paraId="221AA223" w14:textId="2F488B99" w:rsidR="00AE7107" w:rsidRDefault="00AE7107" w:rsidP="00930E84">
      <w:pPr>
        <w:rPr>
          <w:lang w:val="es-ES"/>
        </w:rPr>
      </w:pPr>
    </w:p>
    <w:p w14:paraId="0D203C62" w14:textId="28B9403D" w:rsidR="00AE7107" w:rsidRDefault="00AE7107">
      <w:pPr>
        <w:tabs>
          <w:tab w:val="clear" w:pos="567"/>
          <w:tab w:val="clear" w:pos="1134"/>
          <w:tab w:val="clear" w:pos="1701"/>
          <w:tab w:val="clear" w:pos="2268"/>
          <w:tab w:val="clear" w:pos="2835"/>
        </w:tabs>
        <w:overflowPunct/>
        <w:autoSpaceDE/>
        <w:autoSpaceDN/>
        <w:adjustRightInd/>
        <w:spacing w:before="0"/>
        <w:textAlignment w:val="auto"/>
        <w:rPr>
          <w:lang w:val="es-ES"/>
        </w:rPr>
      </w:pPr>
    </w:p>
    <w:p w14:paraId="17FF1154" w14:textId="65E22652" w:rsidR="00AE7107" w:rsidRDefault="00AE7107">
      <w:pPr>
        <w:tabs>
          <w:tab w:val="clear" w:pos="567"/>
          <w:tab w:val="clear" w:pos="1134"/>
          <w:tab w:val="clear" w:pos="1701"/>
          <w:tab w:val="clear" w:pos="2268"/>
          <w:tab w:val="clear" w:pos="2835"/>
        </w:tabs>
        <w:overflowPunct/>
        <w:autoSpaceDE/>
        <w:autoSpaceDN/>
        <w:adjustRightInd/>
        <w:spacing w:before="0"/>
        <w:textAlignment w:val="auto"/>
        <w:rPr>
          <w:lang w:val="es-ES"/>
        </w:rPr>
      </w:pPr>
      <w:r>
        <w:rPr>
          <w:lang w:val="es-ES"/>
        </w:rPr>
        <w:br w:type="page"/>
      </w:r>
    </w:p>
    <w:p w14:paraId="2B7483C1" w14:textId="48183AF4" w:rsidR="00AE7107" w:rsidRPr="005D5C10" w:rsidRDefault="00AE7107" w:rsidP="00AE7107">
      <w:pPr>
        <w:pStyle w:val="Headingb"/>
        <w:rPr>
          <w:lang w:val="es-ES"/>
        </w:rPr>
      </w:pPr>
      <w:r>
        <w:rPr>
          <w:bCs/>
          <w:lang w:val="es-ES"/>
        </w:rPr>
        <w:lastRenderedPageBreak/>
        <w:t>Finalidad</w:t>
      </w:r>
      <w:r>
        <w:rPr>
          <w:lang w:val="es-ES"/>
        </w:rPr>
        <w:t xml:space="preserve"> </w:t>
      </w:r>
    </w:p>
    <w:p w14:paraId="2FEF5828" w14:textId="50FDE61A" w:rsidR="00AE7107" w:rsidRPr="005C5CDE" w:rsidRDefault="00AE7107" w:rsidP="002D1120">
      <w:pPr>
        <w:jc w:val="both"/>
        <w:rPr>
          <w:spacing w:val="-2"/>
          <w:sz w:val="18"/>
          <w:szCs w:val="18"/>
          <w:lang w:val="es-ES"/>
        </w:rPr>
      </w:pPr>
      <w:r w:rsidRPr="005C5CDE">
        <w:rPr>
          <w:spacing w:val="-2"/>
          <w:lang w:val="es-ES"/>
        </w:rPr>
        <w:t>En el documento se proporciona información actualizada sobre el examen de la presencia regional de la UIT, realizado de conformidad con las recomendaciones del Consejo de 2025 y la Resolución</w:t>
      </w:r>
      <w:r w:rsidR="002D1120" w:rsidRPr="005C5CDE">
        <w:rPr>
          <w:spacing w:val="-2"/>
          <w:lang w:val="es-ES"/>
        </w:rPr>
        <w:t> </w:t>
      </w:r>
      <w:hyperlink r:id="rId14">
        <w:r w:rsidR="003162BF" w:rsidRPr="005C5CDE">
          <w:rPr>
            <w:rStyle w:val="Hyperlink"/>
            <w:rFonts w:asciiTheme="minorHAnsi" w:hAnsiTheme="minorHAnsi" w:cstheme="minorHAnsi"/>
            <w:spacing w:val="-2"/>
          </w:rPr>
          <w:t>25 (Rev. </w:t>
        </w:r>
        <w:proofErr w:type="spellStart"/>
        <w:r w:rsidR="003162BF" w:rsidRPr="005C5CDE">
          <w:rPr>
            <w:rStyle w:val="Hyperlink"/>
            <w:rFonts w:asciiTheme="minorHAnsi" w:hAnsiTheme="minorHAnsi" w:cstheme="minorHAnsi"/>
            <w:spacing w:val="-2"/>
          </w:rPr>
          <w:t>Bucharest</w:t>
        </w:r>
        <w:proofErr w:type="spellEnd"/>
        <w:r w:rsidR="003162BF" w:rsidRPr="005C5CDE">
          <w:rPr>
            <w:rStyle w:val="Hyperlink"/>
            <w:rFonts w:asciiTheme="minorHAnsi" w:hAnsiTheme="minorHAnsi" w:cstheme="minorHAnsi"/>
            <w:spacing w:val="-2"/>
          </w:rPr>
          <w:t>, 2022)</w:t>
        </w:r>
      </w:hyperlink>
      <w:r w:rsidRPr="005C5CDE">
        <w:rPr>
          <w:spacing w:val="-2"/>
          <w:lang w:val="es-ES"/>
        </w:rPr>
        <w:t xml:space="preserve">, que requiere una encuesta de satisfacción de los Estados Miembros, Miembros de Sector y organizaciones regionales de telecomunicaciones antes de cada Conferencia de Plenipotenciarios. El examen de la presencia regional de la UIT se llevó a cabo de conformidad con el mandato contenido en las recomendaciones del Consejo de 2025 (Informe de la Presidenta de la Comisión Permanente sobre Administración y Gestión, Documento </w:t>
      </w:r>
      <w:hyperlink r:id="rId15">
        <w:r w:rsidR="003162BF" w:rsidRPr="005C5CDE">
          <w:rPr>
            <w:rStyle w:val="Hyperlink"/>
            <w:rFonts w:asciiTheme="minorHAnsi" w:hAnsiTheme="minorHAnsi" w:cstheme="minorHAnsi"/>
            <w:spacing w:val="-2"/>
          </w:rPr>
          <w:t>C25/105</w:t>
        </w:r>
      </w:hyperlink>
      <w:r w:rsidRPr="005C5CDE">
        <w:rPr>
          <w:spacing w:val="-2"/>
          <w:lang w:val="es-ES"/>
        </w:rPr>
        <w:t xml:space="preserve"> (sección 26 y Anexos H y A (Anexo 1)). Las principales conclusiones del examen se presentaron al Consejo de 2026 en el Documento </w:t>
      </w:r>
      <w:hyperlink r:id="rId16">
        <w:r w:rsidR="003162BF" w:rsidRPr="005C5CDE">
          <w:rPr>
            <w:rStyle w:val="Hyperlink"/>
            <w:rFonts w:asciiTheme="minorHAnsi" w:hAnsiTheme="minorHAnsi" w:cstheme="minorHAnsi"/>
            <w:spacing w:val="-2"/>
          </w:rPr>
          <w:t>C26/24</w:t>
        </w:r>
      </w:hyperlink>
      <w:r w:rsidRPr="005C5CDE">
        <w:rPr>
          <w:spacing w:val="-2"/>
          <w:lang w:val="es-ES"/>
        </w:rPr>
        <w:t xml:space="preserve">, respaldadas por el Documento de información </w:t>
      </w:r>
      <w:hyperlink r:id="rId17">
        <w:r w:rsidR="003162BF" w:rsidRPr="005C5CDE">
          <w:rPr>
            <w:rStyle w:val="Hyperlink"/>
            <w:rFonts w:asciiTheme="minorHAnsi" w:hAnsiTheme="minorHAnsi" w:cstheme="minorHAnsi"/>
            <w:spacing w:val="-2"/>
          </w:rPr>
          <w:t>C26/INF/10</w:t>
        </w:r>
      </w:hyperlink>
      <w:r w:rsidRPr="005C5CDE">
        <w:rPr>
          <w:spacing w:val="-2"/>
          <w:lang w:val="es-ES"/>
        </w:rPr>
        <w:t xml:space="preserve"> que contiene el informe detallado. En el presente documento se proporciona información actualizada en respuesta a las observaciones de los consejeros y del Comité Asesor Independiente sobre la Gestión (CAIG). </w:t>
      </w:r>
      <w:hyperlink r:id="rId18"/>
      <w:hyperlink r:id="rId19"/>
      <w:hyperlink r:id="rId20"/>
      <w:hyperlink r:id="rId21"/>
    </w:p>
    <w:p w14:paraId="0C15D698" w14:textId="77777777" w:rsidR="00AE7107" w:rsidRPr="00124698" w:rsidRDefault="00AE7107" w:rsidP="00AE7107">
      <w:pPr>
        <w:pStyle w:val="Headingb"/>
        <w:rPr>
          <w:rStyle w:val="eop"/>
          <w:rFonts w:ascii="Aptos" w:hAnsi="Aptos" w:cs="Segoe UI"/>
          <w:color w:val="000000"/>
          <w:bdr w:val="none" w:sz="0" w:space="0" w:color="auto" w:frame="1"/>
          <w:shd w:val="clear" w:color="auto" w:fill="C6C6C6"/>
        </w:rPr>
      </w:pPr>
      <w:r>
        <w:rPr>
          <w:bCs/>
          <w:lang w:val="es-ES"/>
        </w:rPr>
        <w:t>Antecedentes</w:t>
      </w:r>
    </w:p>
    <w:p w14:paraId="3CD63373" w14:textId="399DECBA" w:rsidR="00AE7107" w:rsidRPr="00DA112F" w:rsidRDefault="00AE7107" w:rsidP="002D1120">
      <w:pPr>
        <w:jc w:val="both"/>
        <w:rPr>
          <w:lang w:val="es-ES"/>
        </w:rPr>
      </w:pPr>
      <w:r w:rsidRPr="00DA112F">
        <w:rPr>
          <w:lang w:val="es-ES"/>
        </w:rPr>
        <w:t>En su 19</w:t>
      </w:r>
      <w:r w:rsidR="003162BF" w:rsidRPr="00DA112F">
        <w:rPr>
          <w:lang w:val="es-ES"/>
        </w:rPr>
        <w:t>.</w:t>
      </w:r>
      <w:r w:rsidRPr="00DA112F">
        <w:rPr>
          <w:lang w:val="es-ES"/>
        </w:rPr>
        <w:t xml:space="preserve">ª reunión (30 de septiembre – 11 de octubre de 2024), el Grupo de Trabajo del Consejo sobre Recursos Humanos y Financieros (GTC-RHF) decidió crear un Grupo por Correspondencia en Línea (GCL) encargado de elaborar un mandato para el examen de la presencia regional, conforme a lo estipulado en la Resolución </w:t>
      </w:r>
      <w:hyperlink r:id="rId22" w:tgtFrame="_blank" w:history="1">
        <w:r w:rsidR="00DA112F" w:rsidRPr="00DA112F">
          <w:rPr>
            <w:rStyle w:val="Hyperlink"/>
          </w:rPr>
          <w:t>25 (Rev. Bucharest, 2022)</w:t>
        </w:r>
      </w:hyperlink>
      <w:r w:rsidRPr="00DA112F">
        <w:rPr>
          <w:lang w:val="es-ES"/>
        </w:rPr>
        <w:t xml:space="preserve"> de la Conferencia de Plenipotenciarios sobre el fortalecimiento de la presencia regional de la UIT. De conformidad con el </w:t>
      </w:r>
      <w:r w:rsidRPr="00941B2D">
        <w:rPr>
          <w:i/>
          <w:iCs/>
          <w:lang w:val="es-ES"/>
        </w:rPr>
        <w:t>encarga</w:t>
      </w:r>
      <w:r w:rsidRPr="00DA112F">
        <w:rPr>
          <w:lang w:val="es-ES"/>
        </w:rPr>
        <w:t xml:space="preserve"> 4 de dicha Resolución, se exige al Secretario General "que, con sujeción a los recursos financieros existentes, realice cada cuatro años una encuesta sobre el nivel de satisfacción de los Estados Miembros, Miembros de Sector y organizaciones regionales de telecomunicaciones respecto de la presencia regional de la UIT y que presente los resultados en un informe a la Sesión del Consejo anterior a cada Conferencia de Plenipotenciarios".</w:t>
      </w:r>
      <w:hyperlink r:id="rId23" w:tgtFrame="_blank" w:history="1"/>
    </w:p>
    <w:p w14:paraId="00809F65" w14:textId="2CBFD664" w:rsidR="00AE7107" w:rsidRPr="00DA112F" w:rsidRDefault="00AE7107" w:rsidP="002D1120">
      <w:pPr>
        <w:jc w:val="both"/>
        <w:rPr>
          <w:lang w:val="es-ES"/>
        </w:rPr>
      </w:pPr>
      <w:r w:rsidRPr="00DA112F">
        <w:rPr>
          <w:lang w:val="es-ES"/>
        </w:rPr>
        <w:t>En su 20</w:t>
      </w:r>
      <w:r w:rsidR="00DA112F" w:rsidRPr="00DA112F">
        <w:rPr>
          <w:lang w:val="es-ES"/>
        </w:rPr>
        <w:t>.</w:t>
      </w:r>
      <w:r w:rsidRPr="00DA112F">
        <w:rPr>
          <w:lang w:val="es-ES"/>
        </w:rPr>
        <w:t xml:space="preserve">ª reunión (10-21 de febrero de 2025), el GTC-RHF examinó el mandato revisado. Los informes de las reuniones pueden consultarse en los Documentos </w:t>
      </w:r>
      <w:hyperlink r:id="rId24">
        <w:r w:rsidR="00DA112F" w:rsidRPr="00DA112F">
          <w:rPr>
            <w:rStyle w:val="Hyperlink"/>
          </w:rPr>
          <w:t>CWG-FHR-19/15</w:t>
        </w:r>
      </w:hyperlink>
      <w:r w:rsidRPr="00DA112F">
        <w:rPr>
          <w:lang w:val="es-ES"/>
        </w:rPr>
        <w:t xml:space="preserve"> y </w:t>
      </w:r>
      <w:hyperlink r:id="rId25">
        <w:r w:rsidR="00DA112F" w:rsidRPr="00DA112F">
          <w:rPr>
            <w:rStyle w:val="Hyperlink"/>
          </w:rPr>
          <w:t>CWG</w:t>
        </w:r>
        <w:r w:rsidR="00DA112F" w:rsidRPr="00DA112F">
          <w:rPr>
            <w:rStyle w:val="Hyperlink"/>
          </w:rPr>
          <w:noBreakHyphen/>
          <w:t>FHR</w:t>
        </w:r>
        <w:r w:rsidR="00DA112F" w:rsidRPr="00DA112F">
          <w:rPr>
            <w:rStyle w:val="Hyperlink"/>
          </w:rPr>
          <w:noBreakHyphen/>
          <w:t>20/32</w:t>
        </w:r>
      </w:hyperlink>
      <w:r w:rsidRPr="00DA112F">
        <w:rPr>
          <w:lang w:val="es-ES"/>
        </w:rPr>
        <w:t>. Tras algunas deliberaciones, el Consejo de 2025 proporcionó las siguientes instrucciones:</w:t>
      </w:r>
      <w:hyperlink r:id="rId26"/>
      <w:hyperlink r:id="rId27"/>
    </w:p>
    <w:p w14:paraId="616F8649" w14:textId="77777777" w:rsidR="00AE7107" w:rsidRPr="005D5C10" w:rsidRDefault="00AE7107" w:rsidP="002D1120">
      <w:pPr>
        <w:pStyle w:val="enumlev1"/>
        <w:jc w:val="both"/>
        <w:rPr>
          <w:lang w:val="es-ES"/>
        </w:rPr>
      </w:pPr>
      <w:r>
        <w:rPr>
          <w:lang w:val="es-ES"/>
        </w:rPr>
        <w:t>a)</w:t>
      </w:r>
      <w:r>
        <w:rPr>
          <w:lang w:val="es-ES"/>
        </w:rPr>
        <w:tab/>
        <w:t>El examen de la presencia regional de la UIT será realizado por la Secretaria General, con el apoyo del Grupo de Tareas Intersectorial formado por los Directores de las tres Oficinas y las personas que estos designen, así como los Directores Regionales, y estará presidido por el Vicesecretario General de la UIT.</w:t>
      </w:r>
    </w:p>
    <w:p w14:paraId="0E7F78E3" w14:textId="77777777" w:rsidR="00AE7107" w:rsidRPr="005D5C10" w:rsidRDefault="00AE7107" w:rsidP="002D1120">
      <w:pPr>
        <w:pStyle w:val="enumlev1"/>
        <w:jc w:val="both"/>
        <w:rPr>
          <w:lang w:val="es-ES"/>
        </w:rPr>
      </w:pPr>
      <w:r>
        <w:rPr>
          <w:lang w:val="es-ES"/>
        </w:rPr>
        <w:t>b)</w:t>
      </w:r>
      <w:r>
        <w:rPr>
          <w:lang w:val="es-ES"/>
        </w:rPr>
        <w:tab/>
        <w:t>El examen se realizará respetando el presupuesto aprobado por la UIT y los recursos humanos existentes de la Unión. No se recurrirá a consultores externos.</w:t>
      </w:r>
    </w:p>
    <w:p w14:paraId="4B4D5DA7" w14:textId="77777777" w:rsidR="00AE7107" w:rsidRPr="005D5C10" w:rsidRDefault="00AE7107" w:rsidP="002D1120">
      <w:pPr>
        <w:pStyle w:val="enumlev1"/>
        <w:jc w:val="both"/>
        <w:rPr>
          <w:lang w:val="es-ES"/>
        </w:rPr>
      </w:pPr>
      <w:r>
        <w:rPr>
          <w:lang w:val="es-ES"/>
        </w:rPr>
        <w:t>c)</w:t>
      </w:r>
      <w:r>
        <w:rPr>
          <w:lang w:val="es-ES"/>
        </w:rPr>
        <w:tab/>
        <w:t>El Grupo de Tareas Intersectorial dependerá principalmente de las aportaciones de la BDT a lo largo de todo el examen. La BDT se encargará de llevar a cabo la Fase 2 (recopilación de datos y análisis inicial) del examen.</w:t>
      </w:r>
    </w:p>
    <w:p w14:paraId="720EAA8E" w14:textId="77777777" w:rsidR="00AE7107" w:rsidRPr="005D5C10" w:rsidRDefault="00AE7107" w:rsidP="002D1120">
      <w:pPr>
        <w:pStyle w:val="enumlev1"/>
        <w:jc w:val="both"/>
        <w:rPr>
          <w:lang w:val="es-ES"/>
        </w:rPr>
      </w:pPr>
      <w:r>
        <w:rPr>
          <w:lang w:val="es-ES"/>
        </w:rPr>
        <w:t>d)</w:t>
      </w:r>
      <w:r>
        <w:rPr>
          <w:lang w:val="es-ES"/>
        </w:rPr>
        <w:tab/>
        <w:t>Se acuerda que la participación de los Estados Miembros es un componente fundamental del examen. La Secretaria General informará sobre la ejecución del examen al GTC-RHF y al Consejo de la UIT según proceda.</w:t>
      </w:r>
    </w:p>
    <w:p w14:paraId="37B1F017" w14:textId="77777777" w:rsidR="00AE7107" w:rsidRPr="00DA112F" w:rsidRDefault="00AE7107" w:rsidP="002D1120">
      <w:pPr>
        <w:jc w:val="both"/>
        <w:rPr>
          <w:lang w:val="es-ES"/>
        </w:rPr>
      </w:pPr>
      <w:r w:rsidRPr="00DA112F">
        <w:rPr>
          <w:lang w:val="es-ES"/>
        </w:rPr>
        <w:t xml:space="preserve">Se creó el Grupo de Tareas Intersectorial a efectos del examen de la presencia regional, presidido por el Vicesecretario General. Está integrado por los Directores de las tres Oficinas, los Directores Regionales y otros representantes de la Oficina de Desarrollo, la Oficina de Radiocomunicaciones y la Oficina de Normalización, así como de la Secretaría General. </w:t>
      </w:r>
    </w:p>
    <w:p w14:paraId="4054686A" w14:textId="77777777" w:rsidR="00AE7107" w:rsidRPr="00124698" w:rsidRDefault="00AE7107" w:rsidP="00AE7107">
      <w:pPr>
        <w:pStyle w:val="Headingb"/>
      </w:pPr>
      <w:r>
        <w:rPr>
          <w:bCs/>
          <w:lang w:val="es-ES"/>
        </w:rPr>
        <w:lastRenderedPageBreak/>
        <w:t>Proceso</w:t>
      </w:r>
    </w:p>
    <w:p w14:paraId="01367DFB" w14:textId="372FF30E" w:rsidR="00AE7107" w:rsidRPr="00DA112F" w:rsidRDefault="00AE7107" w:rsidP="002D1120">
      <w:pPr>
        <w:jc w:val="both"/>
        <w:rPr>
          <w:lang w:val="es-ES"/>
        </w:rPr>
      </w:pPr>
      <w:r w:rsidRPr="00DA112F">
        <w:rPr>
          <w:lang w:val="es-ES"/>
        </w:rPr>
        <w:t xml:space="preserve">La BDT inició su labor tras la primera reunión del Grupo de Tareas Intersectorial sobre la presencia regional, celebrada el 17 de julio de 2025, y analizó los 12 puntos del alcance de la labor enumerados en el Anexo A y los 27 indicadores fundamentales de rendimiento (IFR) enumerados en el Anexo 1 al Documento </w:t>
      </w:r>
      <w:hyperlink r:id="rId28">
        <w:r w:rsidR="00B36D33" w:rsidRPr="00124698">
          <w:rPr>
            <w:rStyle w:val="Hyperlink"/>
            <w:rFonts w:asciiTheme="minorHAnsi" w:hAnsiTheme="minorHAnsi" w:cstheme="minorHAnsi"/>
          </w:rPr>
          <w:t>C25/105</w:t>
        </w:r>
      </w:hyperlink>
      <w:r w:rsidRPr="00DA112F">
        <w:rPr>
          <w:lang w:val="es-ES"/>
        </w:rPr>
        <w:t>. El primer paso consistió en establecer correspondencias entre los IFR y los puntos del alcance de la labor. Se analizaron los 27 IFR y los 12 puntos con el fin de evaluar las fuentes de datos primarias y secundarias adecuadas, es decir, determinar si la información podía obtenerse de la encuesta a los Miembros o de consultas con partes interesadas —incluida la encuesta de evaluación interna— o de la investigación documental/el análisis de documentos. Algunos IFR se asociaron a dos o más fuentes de datos.</w:t>
      </w:r>
      <w:hyperlink r:id="rId29"/>
    </w:p>
    <w:p w14:paraId="228BC700" w14:textId="458C3774" w:rsidR="00AE7107" w:rsidRPr="00DA112F" w:rsidRDefault="00AE7107" w:rsidP="002D1120">
      <w:pPr>
        <w:jc w:val="both"/>
        <w:rPr>
          <w:lang w:val="es-ES"/>
        </w:rPr>
      </w:pPr>
      <w:r w:rsidRPr="00DA112F">
        <w:rPr>
          <w:lang w:val="es-ES"/>
        </w:rPr>
        <w:t>Posteriormente, la BDT diseñó y puso en marcha la encuesta a los Miembros, que se inició el 24 de septiembre de 2025. La tasa de respuesta de los Miembros fue muy elevada, del 69</w:t>
      </w:r>
      <w:r w:rsidR="00B36D33">
        <w:rPr>
          <w:lang w:val="es-ES"/>
        </w:rPr>
        <w:t> </w:t>
      </w:r>
      <w:r w:rsidRPr="00DA112F">
        <w:rPr>
          <w:lang w:val="es-ES"/>
        </w:rPr>
        <w:t>%. La BDT también realizó una investigación documental en la que identificó fuentes documentales y recopiló datos de fuentes fiables y pertinentes. El análisis de documentos incluyó asimismo una evaluación comparativa con otras organizaciones del sistema de las Naciones Unidas que se hallaban en situaciones similares. Los resultados de la encuesta a los Miembros y del examen documental se complementaron con datos procedentes de consultas a las partes interesadas, incluidas entrevistas a ORT (a fin de ampliar la información obtenida en la encuesta a los Miembros), los resultados de la encuesta de evaluación interna, así como todas las demás aportaciones de las partes interesadas. A lo largo del proceso de examen, los avances y las conclusiones del examen se presentaron periódicamente, en distintas fases, al Consejo, a los órganos asesores sectoriales, en una sesión especial de la CMDT-25 el 24 de noviembre de 2026 y en la sesión informativa del 5 de marzo de 2026, previa al Consejo-26; asimismo se consultó al CAIG, a los auditores interno y externo y a la Oficina de Ética.</w:t>
      </w:r>
    </w:p>
    <w:p w14:paraId="675E030C" w14:textId="629A531A" w:rsidR="00AE7107" w:rsidRPr="00DA112F" w:rsidRDefault="00AE7107" w:rsidP="002D1120">
      <w:pPr>
        <w:jc w:val="both"/>
        <w:rPr>
          <w:lang w:val="es-ES"/>
        </w:rPr>
      </w:pPr>
      <w:r w:rsidRPr="00DA112F">
        <w:rPr>
          <w:lang w:val="es-ES"/>
        </w:rPr>
        <w:t xml:space="preserve">Una vez recopilados y cotejados los datos procedentes de todas las fuentes mencionadas anteriormente, se llevó a cabo un análisis por IFR con miras a obtener conclusiones consolidadas para los 12 puntos del alcance de la labor. Las conclusiones del examen se pueden consultar en el Documento </w:t>
      </w:r>
      <w:hyperlink r:id="rId30">
        <w:r w:rsidR="00B36D33" w:rsidRPr="00116E4B">
          <w:rPr>
            <w:rStyle w:val="Hyperlink"/>
            <w:rFonts w:asciiTheme="minorHAnsi" w:hAnsiTheme="minorHAnsi" w:cstheme="minorHAnsi"/>
            <w:spacing w:val="-2"/>
          </w:rPr>
          <w:t>C26/24</w:t>
        </w:r>
      </w:hyperlink>
      <w:r w:rsidRPr="00DA112F">
        <w:rPr>
          <w:lang w:val="es-ES"/>
        </w:rPr>
        <w:t xml:space="preserve"> del Consejo, respaldadas por el Documento </w:t>
      </w:r>
      <w:hyperlink r:id="rId31">
        <w:r w:rsidR="00B36D33" w:rsidRPr="00116E4B">
          <w:rPr>
            <w:rStyle w:val="Hyperlink"/>
            <w:rFonts w:asciiTheme="minorHAnsi" w:hAnsiTheme="minorHAnsi" w:cstheme="minorHAnsi"/>
            <w:spacing w:val="-2"/>
          </w:rPr>
          <w:t>C26/INF/10</w:t>
        </w:r>
      </w:hyperlink>
      <w:r w:rsidRPr="00DA112F">
        <w:rPr>
          <w:lang w:val="es-ES"/>
        </w:rPr>
        <w:t>, que contiene el informe detallado.</w:t>
      </w:r>
      <w:hyperlink r:id="rId32"/>
      <w:hyperlink r:id="rId33"/>
    </w:p>
    <w:p w14:paraId="1CA7C39B" w14:textId="77777777" w:rsidR="00AE7107" w:rsidRPr="005D5C10" w:rsidRDefault="00AE7107" w:rsidP="00AE7107">
      <w:pPr>
        <w:pStyle w:val="Headingb"/>
        <w:rPr>
          <w:lang w:val="es-ES"/>
        </w:rPr>
      </w:pPr>
      <w:r>
        <w:rPr>
          <w:bCs/>
          <w:lang w:val="es-ES"/>
        </w:rPr>
        <w:t>Conclusiones</w:t>
      </w:r>
    </w:p>
    <w:p w14:paraId="6B07E42D" w14:textId="77777777" w:rsidR="00AE7107" w:rsidRPr="002D1120" w:rsidRDefault="00AE7107" w:rsidP="002D1120">
      <w:pPr>
        <w:jc w:val="both"/>
        <w:rPr>
          <w:spacing w:val="-2"/>
          <w:lang w:val="es-ES"/>
        </w:rPr>
      </w:pPr>
      <w:r w:rsidRPr="002D1120">
        <w:rPr>
          <w:spacing w:val="-2"/>
          <w:lang w:val="es-ES"/>
        </w:rPr>
        <w:t xml:space="preserve">El examen proporciona una evaluación exhaustiva de la eficacia, pertinencia y armonización estratégica de la presencia regional de la UIT. A partir de una amplia base empírica, que abarcó investigación documental, encuestas, consultas a las partes interesadas y entrevistas estructuradas con organizaciones regionales de telecomunicaciones, el examen comprendió las respuestas obtenidas mediante las evaluaciones de 27 IFR y el análisis de los 12 elementos del alcance de la labor. </w:t>
      </w:r>
    </w:p>
    <w:p w14:paraId="28C98E81" w14:textId="77777777" w:rsidR="00AE7107" w:rsidRPr="00B36D33" w:rsidRDefault="00AE7107" w:rsidP="002D1120">
      <w:pPr>
        <w:jc w:val="both"/>
        <w:rPr>
          <w:lang w:val="es-ES"/>
        </w:rPr>
      </w:pPr>
      <w:r w:rsidRPr="00B36D33">
        <w:rPr>
          <w:lang w:val="es-ES"/>
        </w:rPr>
        <w:t xml:space="preserve">Las conclusiones presentan una imagen detallada de un sistema regional muy valorado, que goza de gran confianza y que resulta vital desde el punto de vista operativo. En el informe se recogen los antecedentes y el contexto del examen, la metodología especificada por el Consejo, así como los patrones detallados identificados en las conclusiones del examen. Las conclusiones del informe se resumen en el análisis de debilidades, amenazas, fortalezas y oportunidades que figura a continuación: </w:t>
      </w:r>
    </w:p>
    <w:p w14:paraId="576CC3F4" w14:textId="77777777" w:rsidR="00AE7107" w:rsidRPr="005D5C10" w:rsidRDefault="00AE7107" w:rsidP="00AE7107">
      <w:pPr>
        <w:pStyle w:val="Headingi"/>
        <w:rPr>
          <w:rFonts w:cs="Segoe UI"/>
          <w:sz w:val="28"/>
          <w:lang w:val="es-ES"/>
        </w:rPr>
      </w:pPr>
      <w:r>
        <w:rPr>
          <w:iCs/>
          <w:lang w:val="es-ES"/>
        </w:rPr>
        <w:lastRenderedPageBreak/>
        <w:t>Fortalezas</w:t>
      </w:r>
    </w:p>
    <w:p w14:paraId="02A6405C" w14:textId="4A817274" w:rsidR="00AE7107" w:rsidRPr="005D5C10" w:rsidRDefault="00AE7107" w:rsidP="002D1120">
      <w:pPr>
        <w:pStyle w:val="enumlev1"/>
        <w:jc w:val="both"/>
        <w:rPr>
          <w:lang w:val="es-ES"/>
        </w:rPr>
      </w:pPr>
      <w:r>
        <w:rPr>
          <w:lang w:val="es-ES"/>
        </w:rPr>
        <w:t>–</w:t>
      </w:r>
      <w:r>
        <w:rPr>
          <w:lang w:val="es-ES"/>
        </w:rPr>
        <w:tab/>
        <w:t>La presencia regional cuenta con un fuerte apoyo por parte de los Miembros, ya que el 71</w:t>
      </w:r>
      <w:r w:rsidR="00B36D33">
        <w:rPr>
          <w:lang w:val="es-ES"/>
        </w:rPr>
        <w:t> </w:t>
      </w:r>
      <w:r>
        <w:rPr>
          <w:lang w:val="es-ES"/>
        </w:rPr>
        <w:t xml:space="preserve">% está de acuerdo en que las Oficinas Regionales contribuyen de manera eficaz al cumplimiento del mandato de la UIT sobre el terreno. </w:t>
      </w:r>
    </w:p>
    <w:p w14:paraId="3EFFBF4C" w14:textId="0A3C687E" w:rsidR="00AE7107" w:rsidRPr="005D5C10" w:rsidRDefault="00AE7107" w:rsidP="002D1120">
      <w:pPr>
        <w:pStyle w:val="enumlev1"/>
        <w:jc w:val="both"/>
        <w:rPr>
          <w:lang w:val="es-ES"/>
        </w:rPr>
      </w:pPr>
      <w:r>
        <w:rPr>
          <w:lang w:val="es-ES"/>
        </w:rPr>
        <w:t>–</w:t>
      </w:r>
      <w:r>
        <w:rPr>
          <w:lang w:val="es-ES"/>
        </w:rPr>
        <w:tab/>
        <w:t>Las Oficinas Regionales mantienen una colaboración activa con los Estados Miembros, y el 74</w:t>
      </w:r>
      <w:r w:rsidR="00B36D33">
        <w:rPr>
          <w:lang w:val="es-ES"/>
        </w:rPr>
        <w:t> </w:t>
      </w:r>
      <w:r>
        <w:rPr>
          <w:lang w:val="es-ES"/>
        </w:rPr>
        <w:t xml:space="preserve">% de los encuestados declaró haber consultado con las Oficinas Regionales durante el periodo de la encuesta. </w:t>
      </w:r>
    </w:p>
    <w:p w14:paraId="745A9116" w14:textId="6310B8D3" w:rsidR="00AE7107" w:rsidRPr="005D5C10" w:rsidRDefault="00AE7107" w:rsidP="002D1120">
      <w:pPr>
        <w:pStyle w:val="enumlev1"/>
        <w:jc w:val="both"/>
        <w:rPr>
          <w:lang w:val="es-ES"/>
        </w:rPr>
      </w:pPr>
      <w:r>
        <w:rPr>
          <w:lang w:val="es-ES"/>
        </w:rPr>
        <w:t>–</w:t>
      </w:r>
      <w:r>
        <w:rPr>
          <w:lang w:val="es-ES"/>
        </w:rPr>
        <w:tab/>
        <w:t>La difusión de información y conocimientos goza de un gran reconocimiento, ya que el 73</w:t>
      </w:r>
      <w:r w:rsidR="00B36D33">
        <w:rPr>
          <w:lang w:val="es-ES"/>
        </w:rPr>
        <w:t> </w:t>
      </w:r>
      <w:r>
        <w:rPr>
          <w:lang w:val="es-ES"/>
        </w:rPr>
        <w:t>% está de acuerdo en que las Oficinas Regionales comparten de manera eficaz información y datos con las partes interesadas.</w:t>
      </w:r>
    </w:p>
    <w:p w14:paraId="517CFEF7" w14:textId="00C7C0CF" w:rsidR="00AE7107" w:rsidRPr="005D5C10" w:rsidRDefault="00AE7107" w:rsidP="002D1120">
      <w:pPr>
        <w:pStyle w:val="enumlev1"/>
        <w:jc w:val="both"/>
        <w:rPr>
          <w:lang w:val="es-ES"/>
        </w:rPr>
      </w:pPr>
      <w:r>
        <w:rPr>
          <w:lang w:val="es-ES"/>
        </w:rPr>
        <w:t>–</w:t>
      </w:r>
      <w:r>
        <w:rPr>
          <w:lang w:val="es-ES"/>
        </w:rPr>
        <w:tab/>
        <w:t>La presencia regional facilita una amplia participación de las partes interesadas, como se refleja en más de 1</w:t>
      </w:r>
      <w:r w:rsidR="00B36D33">
        <w:rPr>
          <w:lang w:val="es-ES"/>
        </w:rPr>
        <w:t> </w:t>
      </w:r>
      <w:r>
        <w:rPr>
          <w:lang w:val="es-ES"/>
        </w:rPr>
        <w:t>000 eventos y 1</w:t>
      </w:r>
      <w:r w:rsidR="00B36D33">
        <w:rPr>
          <w:lang w:val="es-ES"/>
        </w:rPr>
        <w:t> </w:t>
      </w:r>
      <w:r>
        <w:rPr>
          <w:lang w:val="es-ES"/>
        </w:rPr>
        <w:t>500 reuniones organizadas en 109 países anfitriones entre 2022 y 2025.</w:t>
      </w:r>
    </w:p>
    <w:p w14:paraId="434E1AE1" w14:textId="4FC4901A" w:rsidR="00AE7107" w:rsidRPr="005D5C10" w:rsidRDefault="00AE7107" w:rsidP="002D1120">
      <w:pPr>
        <w:pStyle w:val="enumlev1"/>
        <w:jc w:val="both"/>
        <w:rPr>
          <w:lang w:val="es-ES"/>
        </w:rPr>
      </w:pPr>
      <w:r>
        <w:rPr>
          <w:lang w:val="es-ES"/>
        </w:rPr>
        <w:t>–</w:t>
      </w:r>
      <w:r>
        <w:rPr>
          <w:lang w:val="es-ES"/>
        </w:rPr>
        <w:tab/>
        <w:t>Existen sólidas bases de colaboración entre los Miembros, y el 82</w:t>
      </w:r>
      <w:r w:rsidR="00312F89">
        <w:rPr>
          <w:lang w:val="es-ES"/>
        </w:rPr>
        <w:t> </w:t>
      </w:r>
      <w:r>
        <w:rPr>
          <w:lang w:val="es-ES"/>
        </w:rPr>
        <w:t>% de los encuestados expresó su disposición a colaborar con las Oficinas Regionales y Zonales.</w:t>
      </w:r>
    </w:p>
    <w:p w14:paraId="2669F8B7" w14:textId="77777777" w:rsidR="00AE7107" w:rsidRPr="005D5C10" w:rsidRDefault="00AE7107" w:rsidP="00AE7107">
      <w:pPr>
        <w:pStyle w:val="Headingi"/>
        <w:rPr>
          <w:lang w:val="es-ES"/>
        </w:rPr>
      </w:pPr>
      <w:r>
        <w:rPr>
          <w:iCs/>
          <w:lang w:val="es-ES"/>
        </w:rPr>
        <w:t>Debilidades</w:t>
      </w:r>
    </w:p>
    <w:p w14:paraId="4A774930" w14:textId="77777777" w:rsidR="00AE7107" w:rsidRPr="005D5C10" w:rsidRDefault="00AE7107" w:rsidP="002D1120">
      <w:pPr>
        <w:pStyle w:val="enumlev1"/>
        <w:jc w:val="both"/>
        <w:rPr>
          <w:lang w:val="es-ES"/>
        </w:rPr>
      </w:pPr>
      <w:r>
        <w:rPr>
          <w:lang w:val="es-ES"/>
        </w:rPr>
        <w:t>–</w:t>
      </w:r>
      <w:r>
        <w:rPr>
          <w:lang w:val="es-ES"/>
        </w:rPr>
        <w:tab/>
        <w:t xml:space="preserve">Las expectativas operativas a veces superan los recursos disponibles, y las respuestas a la encuesta ponen de relieve la necesidad de contar con más personal y mayor capacidad financiera para fortalecer la presencia regional. </w:t>
      </w:r>
    </w:p>
    <w:p w14:paraId="5D3FA5EE" w14:textId="77777777" w:rsidR="00AE7107" w:rsidRPr="005D5C10" w:rsidRDefault="00AE7107" w:rsidP="002D1120">
      <w:pPr>
        <w:pStyle w:val="enumlev1"/>
        <w:jc w:val="both"/>
        <w:rPr>
          <w:lang w:val="es-ES"/>
        </w:rPr>
      </w:pPr>
      <w:r>
        <w:rPr>
          <w:lang w:val="es-ES"/>
        </w:rPr>
        <w:t>–</w:t>
      </w:r>
      <w:r>
        <w:rPr>
          <w:lang w:val="es-ES"/>
        </w:rPr>
        <w:tab/>
        <w:t xml:space="preserve">Los plazos de contratación y las vacantes recurrentes afectan a la capacidad de las Oficinas Regionales para desplegar plenamente los recursos de personal. </w:t>
      </w:r>
    </w:p>
    <w:p w14:paraId="6DCD8016" w14:textId="77777777" w:rsidR="00AE7107" w:rsidRPr="005D5C10" w:rsidRDefault="00AE7107" w:rsidP="002D1120">
      <w:pPr>
        <w:pStyle w:val="enumlev1"/>
        <w:jc w:val="both"/>
        <w:rPr>
          <w:lang w:val="es-ES"/>
        </w:rPr>
      </w:pPr>
      <w:r>
        <w:rPr>
          <w:lang w:val="es-ES"/>
        </w:rPr>
        <w:t>–</w:t>
      </w:r>
      <w:r>
        <w:rPr>
          <w:lang w:val="es-ES"/>
        </w:rPr>
        <w:tab/>
        <w:t xml:space="preserve">La percepción de la eficacia de las asociaciones y la movilización de recursos sigue siendo moderada en comparación con otras funciones de apoyo. </w:t>
      </w:r>
    </w:p>
    <w:p w14:paraId="7FB7CA05" w14:textId="77777777" w:rsidR="00AE7107" w:rsidRPr="005D5C10" w:rsidRDefault="00AE7107" w:rsidP="002D1120">
      <w:pPr>
        <w:pStyle w:val="enumlev1"/>
        <w:jc w:val="both"/>
        <w:rPr>
          <w:lang w:val="es-ES"/>
        </w:rPr>
      </w:pPr>
      <w:r>
        <w:rPr>
          <w:lang w:val="es-ES"/>
        </w:rPr>
        <w:t>–</w:t>
      </w:r>
      <w:r>
        <w:rPr>
          <w:lang w:val="es-ES"/>
        </w:rPr>
        <w:tab/>
        <w:t>Las partes interesadas destacan la necesidad de contar con mejores datos sobre la dotación de personal, los recursos financieros y la ejecución de proyectos para reforzar la supervisión de las operaciones regionales.</w:t>
      </w:r>
    </w:p>
    <w:p w14:paraId="48CE0FBC" w14:textId="77777777" w:rsidR="00AE7107" w:rsidRPr="005D5C10" w:rsidRDefault="00AE7107" w:rsidP="00AE7107">
      <w:pPr>
        <w:pStyle w:val="Headingi"/>
        <w:rPr>
          <w:lang w:val="es-ES"/>
        </w:rPr>
      </w:pPr>
      <w:r>
        <w:rPr>
          <w:iCs/>
          <w:lang w:val="es-ES"/>
        </w:rPr>
        <w:t>Oportunidades</w:t>
      </w:r>
    </w:p>
    <w:p w14:paraId="243E8B1F" w14:textId="77777777" w:rsidR="00AE7107" w:rsidRPr="005D5C10" w:rsidRDefault="00AE7107" w:rsidP="002D1120">
      <w:pPr>
        <w:pStyle w:val="enumlev1"/>
        <w:jc w:val="both"/>
        <w:rPr>
          <w:lang w:val="es-ES"/>
        </w:rPr>
      </w:pPr>
      <w:r>
        <w:rPr>
          <w:lang w:val="es-ES"/>
        </w:rPr>
        <w:t>–</w:t>
      </w:r>
      <w:r>
        <w:rPr>
          <w:lang w:val="es-ES"/>
        </w:rPr>
        <w:tab/>
        <w:t xml:space="preserve">La alta disposición de los Miembros a colaborar ofrece oportunidades para ampliar las iniciativas basadas en la colaboración y los proyectos conjuntos. </w:t>
      </w:r>
    </w:p>
    <w:p w14:paraId="0E6BE65A" w14:textId="77777777" w:rsidR="00AE7107" w:rsidRPr="005D5C10" w:rsidRDefault="00AE7107" w:rsidP="002D1120">
      <w:pPr>
        <w:pStyle w:val="enumlev1"/>
        <w:jc w:val="both"/>
        <w:rPr>
          <w:lang w:val="es-ES"/>
        </w:rPr>
      </w:pPr>
      <w:r>
        <w:rPr>
          <w:lang w:val="es-ES"/>
        </w:rPr>
        <w:t>–</w:t>
      </w:r>
      <w:r>
        <w:rPr>
          <w:lang w:val="es-ES"/>
        </w:rPr>
        <w:tab/>
        <w:t xml:space="preserve">Las Oficinas Regionales ya prestan apoyo a numerosas actividades de colaboración, constituyendo así una plataforma para ampliar el alcance de los programas e iniciativas regionales. </w:t>
      </w:r>
    </w:p>
    <w:p w14:paraId="5C70C61D" w14:textId="77777777" w:rsidR="00AE7107" w:rsidRPr="005D5C10" w:rsidRDefault="00AE7107" w:rsidP="002D1120">
      <w:pPr>
        <w:pStyle w:val="enumlev1"/>
        <w:jc w:val="both"/>
        <w:rPr>
          <w:lang w:val="es-ES"/>
        </w:rPr>
      </w:pPr>
      <w:r>
        <w:rPr>
          <w:lang w:val="es-ES"/>
        </w:rPr>
        <w:t>–</w:t>
      </w:r>
      <w:r>
        <w:rPr>
          <w:lang w:val="es-ES"/>
        </w:rPr>
        <w:tab/>
        <w:t xml:space="preserve">El fortalecimiento de los marcos de colaboración con organizaciones regionales y entidades de las Naciones Unidas podría facilitar las iniciativas cofinanciadas y la ejecución de proyectos. </w:t>
      </w:r>
    </w:p>
    <w:p w14:paraId="6D6D21F2" w14:textId="77777777" w:rsidR="00AE7107" w:rsidRPr="005D5C10" w:rsidRDefault="00AE7107" w:rsidP="002D1120">
      <w:pPr>
        <w:pStyle w:val="enumlev1"/>
        <w:jc w:val="both"/>
        <w:rPr>
          <w:lang w:val="es-ES"/>
        </w:rPr>
      </w:pPr>
      <w:r>
        <w:rPr>
          <w:lang w:val="es-ES"/>
        </w:rPr>
        <w:t>–</w:t>
      </w:r>
      <w:r>
        <w:rPr>
          <w:lang w:val="es-ES"/>
        </w:rPr>
        <w:tab/>
        <w:t>Una mayor movilización de recursos podría permitir aumentar el personal y los conocimientos técnicos y podría mejorar aún más la capacidad de las Oficinas Regionales para ejecutar proyectos.</w:t>
      </w:r>
    </w:p>
    <w:p w14:paraId="0EBC31D6" w14:textId="77777777" w:rsidR="00AE7107" w:rsidRPr="005D5C10" w:rsidRDefault="00AE7107" w:rsidP="00AE7107">
      <w:pPr>
        <w:pStyle w:val="Headingi"/>
        <w:rPr>
          <w:lang w:val="es-ES"/>
        </w:rPr>
      </w:pPr>
      <w:r>
        <w:rPr>
          <w:iCs/>
          <w:lang w:val="es-ES"/>
        </w:rPr>
        <w:t>Amenazas</w:t>
      </w:r>
    </w:p>
    <w:p w14:paraId="64D08807" w14:textId="77777777" w:rsidR="00AE7107" w:rsidRPr="005D5C10" w:rsidRDefault="00AE7107" w:rsidP="002D1120">
      <w:pPr>
        <w:pStyle w:val="enumlev1"/>
        <w:jc w:val="both"/>
        <w:rPr>
          <w:lang w:val="es-ES"/>
        </w:rPr>
      </w:pPr>
      <w:r>
        <w:rPr>
          <w:lang w:val="es-ES"/>
        </w:rPr>
        <w:t>–</w:t>
      </w:r>
      <w:r>
        <w:rPr>
          <w:lang w:val="es-ES"/>
        </w:rPr>
        <w:tab/>
        <w:t xml:space="preserve">Las elevadas cifras de consultas con las Oficinas Regionales reflejan una creciente demanda de apoyo, con el consiguiente riesgo de que aumente la presión sobre los limitados recursos de personal. </w:t>
      </w:r>
    </w:p>
    <w:p w14:paraId="2EFF519B" w14:textId="77777777" w:rsidR="00AE7107" w:rsidRPr="005D5C10" w:rsidRDefault="00AE7107" w:rsidP="002D1120">
      <w:pPr>
        <w:pStyle w:val="enumlev1"/>
        <w:jc w:val="both"/>
        <w:rPr>
          <w:lang w:val="es-ES"/>
        </w:rPr>
      </w:pPr>
      <w:r>
        <w:rPr>
          <w:lang w:val="es-ES"/>
        </w:rPr>
        <w:lastRenderedPageBreak/>
        <w:t>–</w:t>
      </w:r>
      <w:r>
        <w:rPr>
          <w:lang w:val="es-ES"/>
        </w:rPr>
        <w:tab/>
        <w:t xml:space="preserve">La implementación de las iniciativas regionales podría depender de acuerdos financieros previsibles y mecanismos de colaboración que no siempre están garantizados prontamente en los ciclos de los proyectos. </w:t>
      </w:r>
    </w:p>
    <w:p w14:paraId="13EA71B7" w14:textId="77777777" w:rsidR="00AE7107" w:rsidRPr="005D5C10" w:rsidRDefault="00AE7107" w:rsidP="002D1120">
      <w:pPr>
        <w:pStyle w:val="enumlev1"/>
        <w:jc w:val="both"/>
        <w:rPr>
          <w:lang w:val="es-ES"/>
        </w:rPr>
      </w:pPr>
      <w:r>
        <w:rPr>
          <w:lang w:val="es-ES"/>
        </w:rPr>
        <w:t>–</w:t>
      </w:r>
      <w:r>
        <w:rPr>
          <w:lang w:val="es-ES"/>
        </w:rPr>
        <w:tab/>
        <w:t>La ampliación de los programas y alianzas regionales podría requerir conocimientos técnicos adicionales y una capacidad de coordinación entre los sectores de la UIT.</w:t>
      </w:r>
    </w:p>
    <w:p w14:paraId="24193B1F" w14:textId="77777777" w:rsidR="00AE7107" w:rsidRPr="005D5C10" w:rsidRDefault="00AE7107" w:rsidP="00AE7107">
      <w:pPr>
        <w:pStyle w:val="Headingb"/>
        <w:rPr>
          <w:lang w:val="es-ES"/>
        </w:rPr>
      </w:pPr>
      <w:r>
        <w:rPr>
          <w:bCs/>
          <w:lang w:val="es-ES"/>
        </w:rPr>
        <w:t>Respuesta a los comentarios de los consejeros</w:t>
      </w:r>
      <w:r>
        <w:rPr>
          <w:lang w:val="es-ES"/>
        </w:rPr>
        <w:t xml:space="preserve"> </w:t>
      </w:r>
    </w:p>
    <w:p w14:paraId="76FDCC3B" w14:textId="7AD02E30" w:rsidR="00AE7107" w:rsidRPr="00312F89" w:rsidRDefault="00AE7107" w:rsidP="002D1120">
      <w:pPr>
        <w:jc w:val="both"/>
        <w:rPr>
          <w:lang w:val="es-ES"/>
        </w:rPr>
      </w:pPr>
      <w:r w:rsidRPr="00312F89">
        <w:rPr>
          <w:lang w:val="es-ES"/>
        </w:rPr>
        <w:t xml:space="preserve">El resumen de los debates del Consejo-26, que recoge las deliberaciones, se puede consultar en el Documento </w:t>
      </w:r>
      <w:hyperlink r:id="rId34" w:history="1">
        <w:r w:rsidR="00312F89" w:rsidRPr="00176C1D">
          <w:rPr>
            <w:rStyle w:val="Hyperlink"/>
            <w:rFonts w:asciiTheme="minorHAnsi" w:hAnsiTheme="minorHAnsi" w:cstheme="minorHAnsi"/>
          </w:rPr>
          <w:t>C26/119</w:t>
        </w:r>
      </w:hyperlink>
      <w:r w:rsidRPr="00312F89">
        <w:rPr>
          <w:lang w:val="es-ES"/>
        </w:rPr>
        <w:t xml:space="preserve">. En respuesta a la presentación del Documento </w:t>
      </w:r>
      <w:hyperlink r:id="rId35">
        <w:r w:rsidR="00312F89" w:rsidRPr="00124698">
          <w:rPr>
            <w:rStyle w:val="Hyperlink"/>
            <w:rFonts w:asciiTheme="minorHAnsi" w:hAnsiTheme="minorHAnsi" w:cstheme="minorHAnsi"/>
          </w:rPr>
          <w:t>C26/24</w:t>
        </w:r>
      </w:hyperlink>
      <w:r w:rsidRPr="00312F89">
        <w:rPr>
          <w:lang w:val="es-ES"/>
        </w:rPr>
        <w:t xml:space="preserve">, y aunque acogieron con satisfacción las conclusiones globalmente positivas del examen, los Estados Miembros pidieron que la Secretaría presentara medidas de seguimiento concretas para abordar las observaciones derivadas del examen, junto con las recomendaciones del CAIG y de los auditores externos. Aparte de las recomendaciones del CAIG, las cuestiones en las que se centraron los Miembros fueron el fortalecimiento de las Oficinas Regionales y Zonales mediante una asignación adecuada de recursos, que incluye la reducción de los retrasos en la dotación de personal, un mayor acceso a los conocimientos técnicos de los tres Sectores a nivel regional, una mejor armonización de la labor de la UIT en las regiones con las prioridades regionales y de los países, así como la atención a las implicaciones de la Iniciativa </w:t>
      </w:r>
      <w:proofErr w:type="spellStart"/>
      <w:r w:rsidRPr="00312F89">
        <w:rPr>
          <w:lang w:val="es-ES"/>
        </w:rPr>
        <w:t>ONU80</w:t>
      </w:r>
      <w:proofErr w:type="spellEnd"/>
      <w:r w:rsidRPr="00312F89">
        <w:rPr>
          <w:lang w:val="es-ES"/>
        </w:rPr>
        <w:t>.</w:t>
      </w:r>
      <w:hyperlink r:id="rId36" w:history="1"/>
      <w:hyperlink r:id="rId37"/>
    </w:p>
    <w:p w14:paraId="0190E794" w14:textId="77777777" w:rsidR="00AE7107" w:rsidRPr="00154BE6" w:rsidRDefault="00AE7107" w:rsidP="00AE7107">
      <w:pPr>
        <w:pStyle w:val="Headingb"/>
        <w:rPr>
          <w:lang w:val="es-ES"/>
        </w:rPr>
      </w:pPr>
      <w:r>
        <w:rPr>
          <w:bCs/>
          <w:lang w:val="es-ES"/>
        </w:rPr>
        <w:t>Recomendaciones del CAIG</w:t>
      </w:r>
    </w:p>
    <w:p w14:paraId="2F10BADC" w14:textId="7FB1D93A" w:rsidR="00AE7107" w:rsidRPr="00312F89" w:rsidRDefault="00AE7107" w:rsidP="002D1120">
      <w:pPr>
        <w:jc w:val="both"/>
        <w:rPr>
          <w:lang w:val="es-ES"/>
        </w:rPr>
      </w:pPr>
      <w:r w:rsidRPr="00312F89">
        <w:rPr>
          <w:lang w:val="es-ES"/>
        </w:rPr>
        <w:t xml:space="preserve">En su informe, recogido en el Documento </w:t>
      </w:r>
      <w:hyperlink r:id="rId38">
        <w:r w:rsidR="00312F89" w:rsidRPr="00312F89">
          <w:rPr>
            <w:rStyle w:val="Hyperlink"/>
          </w:rPr>
          <w:t>C26/22</w:t>
        </w:r>
      </w:hyperlink>
      <w:r w:rsidRPr="00312F89">
        <w:rPr>
          <w:lang w:val="es-ES"/>
        </w:rPr>
        <w:t xml:space="preserve"> del Consejo y titulado "Decimoquinto Informe del Comité Asesor Independiente sobre la Gestión (CAIG) – Informe anual para 2025-2026", el CAIG valoró positivamente la presentación del informe final que la BDT había realizado ante el CAIG (§§</w:t>
      </w:r>
      <w:r w:rsidR="00312F89" w:rsidRPr="00312F89">
        <w:rPr>
          <w:lang w:val="es-ES"/>
        </w:rPr>
        <w:t> </w:t>
      </w:r>
      <w:r w:rsidRPr="00312F89">
        <w:rPr>
          <w:lang w:val="es-ES"/>
        </w:rPr>
        <w:t xml:space="preserve">40-41). El CAIG elogió los esfuerzos en curso en favor de una visión más clara y una mayor coherencia de la presencia regional. Entre las recomendaciones del CAIG figura la sugerencia de calcular una estimación del coste total de la encuesta realizada internamente y compararla con el coste de subcontratarla, así como de seguir documentando las lecciones extraídas de la metodología y la ejecución del examen. Esta información se facilita a continuación. </w:t>
      </w:r>
      <w:hyperlink r:id="rId39"/>
    </w:p>
    <w:p w14:paraId="2FDD5634" w14:textId="77777777" w:rsidR="00AE7107" w:rsidRPr="005D5C10" w:rsidRDefault="00AE7107" w:rsidP="00AE7107">
      <w:pPr>
        <w:pStyle w:val="Heading3"/>
        <w:rPr>
          <w:lang w:val="es-ES"/>
        </w:rPr>
      </w:pPr>
      <w:r>
        <w:rPr>
          <w:bCs/>
          <w:lang w:val="es-ES"/>
        </w:rPr>
        <w:t>Cálculo del ahorro de costes</w:t>
      </w:r>
    </w:p>
    <w:p w14:paraId="5940C46C" w14:textId="77777777" w:rsidR="00AE7107" w:rsidRPr="005D5C10" w:rsidRDefault="00AE7107" w:rsidP="002D1120">
      <w:pPr>
        <w:jc w:val="both"/>
        <w:rPr>
          <w:rFonts w:cs="Segoe UI"/>
          <w:b/>
          <w:lang w:val="es-ES"/>
        </w:rPr>
      </w:pPr>
      <w:r>
        <w:rPr>
          <w:rFonts w:cs="Segoe UI"/>
          <w:lang w:val="es-ES"/>
        </w:rPr>
        <w:t>La BDT llevó a cabo el examen utilizando los recursos internos existentes. Entre julio de 2025 y junio de 2026, el proyecto contó con la participación sostenida de una docena de miembros del personal de toda la secretaría de la BDT, bajo la dirección de la Directora Adjunta de la BDT. El equipo del proyecto estaba integrado por un Jefe de Departamento, Directores de Oficinas Regionales y Jefes de Divisiones y Servicios. El grado de participación de cada miembro del personal varió a lo largo del tiempo: hubo periodos de actividad limitada que se alternaron con otros en los que algunos miembros del personal trabajaron casi a tiempo completo en el examen durante varios días consecutivos. La gestión de estas exigencias junto con otras prioridades contrapuestas planteó dificultades considerables. Los delegados señalaron que la BDT llevó a cabo este examen a pesar de que ese mismo equipo se estaba preparando para la CMDT-25.</w:t>
      </w:r>
    </w:p>
    <w:p w14:paraId="24BC35EB" w14:textId="51CEABE8" w:rsidR="00AE7107" w:rsidRPr="005D5C10" w:rsidRDefault="00AE7107" w:rsidP="002D1120">
      <w:pPr>
        <w:tabs>
          <w:tab w:val="left" w:pos="6237"/>
        </w:tabs>
        <w:jc w:val="both"/>
        <w:rPr>
          <w:rStyle w:val="eop"/>
          <w:rFonts w:cs="Segoe UI"/>
          <w:lang w:val="es-ES"/>
        </w:rPr>
      </w:pPr>
      <w:r>
        <w:rPr>
          <w:lang w:val="es-ES"/>
        </w:rPr>
        <w:t>Si se hubiera contratado el ejercicio, se calcula que habría costado al menos 300</w:t>
      </w:r>
      <w:r w:rsidR="0066695A">
        <w:rPr>
          <w:lang w:val="es-ES"/>
        </w:rPr>
        <w:t> </w:t>
      </w:r>
      <w:r>
        <w:rPr>
          <w:lang w:val="es-ES"/>
        </w:rPr>
        <w:t>000 CHF.</w:t>
      </w:r>
      <w:r w:rsidRPr="00124698">
        <w:rPr>
          <w:rStyle w:val="FootnoteReference"/>
          <w:lang w:val="es-ES"/>
        </w:rPr>
        <w:footnoteReference w:id="1"/>
      </w:r>
      <w:r>
        <w:rPr>
          <w:lang w:val="es-ES"/>
        </w:rPr>
        <w:t xml:space="preserve"> Se trata de una estimación prudente. A modo de comparación, la consultora PwC recibió 418</w:t>
      </w:r>
      <w:r w:rsidR="0066695A">
        <w:rPr>
          <w:lang w:val="es-ES"/>
        </w:rPr>
        <w:t> </w:t>
      </w:r>
      <w:r>
        <w:rPr>
          <w:lang w:val="es-ES"/>
        </w:rPr>
        <w:t xml:space="preserve">040 CHF por un examen anterior sobre la presencia regional cuyo mandato era similar. Incluso en el marco de un </w:t>
      </w:r>
      <w:r>
        <w:rPr>
          <w:lang w:val="es-ES"/>
        </w:rPr>
        <w:lastRenderedPageBreak/>
        <w:t xml:space="preserve">acuerdo de subcontratación de este tipo, se habría necesitado una considerable participación interna. El personal de la BDT habría tenido que apoyar el proceso en múltiples etapas, como la identificación y contratación de un proveedor, la orientación a los consultores, la recopilación y puesta en común de información, la aportación de aclaraciones, la asistencia a reuniones periódicas, la formulación de comentarios y la organización de entrevistas. </w:t>
      </w:r>
    </w:p>
    <w:p w14:paraId="636D4FE3" w14:textId="77777777" w:rsidR="00AE7107" w:rsidRPr="005D5C10" w:rsidRDefault="00AE7107" w:rsidP="002D1120">
      <w:pPr>
        <w:jc w:val="both"/>
        <w:rPr>
          <w:lang w:val="es-ES"/>
        </w:rPr>
      </w:pPr>
      <w:r>
        <w:rPr>
          <w:lang w:val="es-ES"/>
        </w:rPr>
        <w:t>Aunque el examen requirió un esfuerzo interno considerable, su realización interna garantizó una gran implicación institucional en el proceso, facilitó la participación directa de toda la Secretaría y supuso un ahorro considerable de costes para la organización.</w:t>
      </w:r>
    </w:p>
    <w:p w14:paraId="739E974C" w14:textId="77777777" w:rsidR="00AE7107" w:rsidRPr="005D5C10" w:rsidRDefault="00AE7107" w:rsidP="00AE7107">
      <w:pPr>
        <w:pStyle w:val="Heading3"/>
        <w:rPr>
          <w:lang w:val="es-ES"/>
        </w:rPr>
      </w:pPr>
      <w:r>
        <w:rPr>
          <w:bCs/>
          <w:lang w:val="es-ES"/>
        </w:rPr>
        <w:t>Enseñanzas extraídas</w:t>
      </w:r>
    </w:p>
    <w:p w14:paraId="261F24AA" w14:textId="77777777" w:rsidR="00AE7107" w:rsidRPr="005D5C10" w:rsidRDefault="00AE7107" w:rsidP="002D1120">
      <w:pPr>
        <w:jc w:val="both"/>
        <w:rPr>
          <w:lang w:val="es-ES"/>
        </w:rPr>
      </w:pPr>
      <w:r>
        <w:rPr>
          <w:lang w:val="es-ES"/>
        </w:rPr>
        <w:t>Del examen se extrajeron varias enseñanzas que pueden servir de base para la planificación y realización de exámenes similares de manera interna en el futuro.</w:t>
      </w:r>
    </w:p>
    <w:p w14:paraId="13CE5086" w14:textId="77777777" w:rsidR="00AE7107" w:rsidRPr="005D5C10" w:rsidRDefault="00AE7107" w:rsidP="00AE7107">
      <w:pPr>
        <w:pStyle w:val="Headingi"/>
        <w:rPr>
          <w:lang w:val="es-ES"/>
        </w:rPr>
      </w:pPr>
      <w:r>
        <w:rPr>
          <w:iCs/>
          <w:lang w:val="es-ES"/>
        </w:rPr>
        <w:t>Gobernanza</w:t>
      </w:r>
    </w:p>
    <w:p w14:paraId="6CF3D215" w14:textId="77777777" w:rsidR="00AE7107" w:rsidRPr="005D5C10" w:rsidRDefault="00AE7107" w:rsidP="002D1120">
      <w:pPr>
        <w:jc w:val="both"/>
        <w:rPr>
          <w:lang w:val="es-ES"/>
        </w:rPr>
      </w:pPr>
      <w:r>
        <w:rPr>
          <w:lang w:val="es-ES"/>
        </w:rPr>
        <w:t>La realización del examen de conformidad con el mandato aprobado por los Miembros permitió definir claramente el mandato y establecer expectativas comunes desde el principio. Centrar la evaluación en el alcance de la labor acordado y en los indicadores fundamentales de rendimiento, al tiempo que se recurría a múltiples fuentes de información —entre ellas, la encuesta a los Miembros, las entrevistas con organizaciones regionales de telecomunicaciones y las aportaciones estructuradas de los colegas de la Sede y de las Oficinas Regionales—, contribuyó a reforzar la credibilidad y el equilibrio de las conclusiones.</w:t>
      </w:r>
    </w:p>
    <w:p w14:paraId="60CF72AD" w14:textId="77777777" w:rsidR="00AE7107" w:rsidRPr="005D5C10" w:rsidRDefault="00AE7107" w:rsidP="00AE7107">
      <w:pPr>
        <w:pStyle w:val="Headingi"/>
        <w:rPr>
          <w:lang w:val="es-ES"/>
        </w:rPr>
      </w:pPr>
      <w:r>
        <w:rPr>
          <w:iCs/>
          <w:lang w:val="es-ES"/>
        </w:rPr>
        <w:t>Gestión de proyectos</w:t>
      </w:r>
    </w:p>
    <w:p w14:paraId="116F4B37" w14:textId="77777777" w:rsidR="00AE7107" w:rsidRPr="005D5C10" w:rsidRDefault="00AE7107" w:rsidP="002D1120">
      <w:pPr>
        <w:jc w:val="both"/>
        <w:rPr>
          <w:lang w:val="es-ES"/>
        </w:rPr>
      </w:pPr>
      <w:r>
        <w:rPr>
          <w:lang w:val="es-ES"/>
        </w:rPr>
        <w:t>Gestionar el examen como un proyecto específico, con hitos definidos, mecanismos de coordinación y una supervisión periódica, contribuyó a que la labor avanzara según lo previsto. Este enfoque también demostró que un examen complejo puede realizarse de manera satisfactoria internamente mientras el personal sigue desempeñando sus responsabilidades habituales.</w:t>
      </w:r>
    </w:p>
    <w:p w14:paraId="75A533D3" w14:textId="77777777" w:rsidR="00AE7107" w:rsidRPr="005D5C10" w:rsidRDefault="00AE7107" w:rsidP="00AE7107">
      <w:pPr>
        <w:pStyle w:val="Headingi"/>
        <w:rPr>
          <w:lang w:val="es-ES"/>
        </w:rPr>
      </w:pPr>
      <w:r>
        <w:rPr>
          <w:iCs/>
          <w:lang w:val="es-ES"/>
        </w:rPr>
        <w:t>Colaboración</w:t>
      </w:r>
    </w:p>
    <w:p w14:paraId="5DC2245B" w14:textId="77777777" w:rsidR="00AE7107" w:rsidRPr="005D5C10" w:rsidRDefault="00AE7107" w:rsidP="002D1120">
      <w:pPr>
        <w:jc w:val="both"/>
        <w:rPr>
          <w:spacing w:val="-2"/>
          <w:lang w:val="es-ES"/>
        </w:rPr>
      </w:pPr>
      <w:r>
        <w:rPr>
          <w:lang w:val="es-ES"/>
        </w:rPr>
        <w:t>La amplia colaboración de toda la Unión resultó ser un factor fundamental de éxito. Los colegas de la Sede y de las Oficinas Regionales elaboraron conjuntamente la encuesta a los Miembros y la encuesta de evaluación interna, mientras que el personal de toda la UIT aportó información y conocimientos a lo largo del proceso de examen. Este enfoque colaborativo mejoró tanto la calidad de la evaluación como la implicación institucional en sus conclusiones.</w:t>
      </w:r>
    </w:p>
    <w:p w14:paraId="7BF996E3" w14:textId="77777777" w:rsidR="00AE7107" w:rsidRPr="005D5C10" w:rsidRDefault="00AE7107" w:rsidP="00AE7107">
      <w:pPr>
        <w:pStyle w:val="Headingi"/>
        <w:rPr>
          <w:lang w:val="es-ES"/>
        </w:rPr>
      </w:pPr>
      <w:r>
        <w:rPr>
          <w:iCs/>
          <w:lang w:val="es-ES"/>
        </w:rPr>
        <w:t>Análisis</w:t>
      </w:r>
    </w:p>
    <w:p w14:paraId="311E8EE2" w14:textId="77777777" w:rsidR="00AE7107" w:rsidRPr="005D5C10" w:rsidRDefault="00AE7107" w:rsidP="002D1120">
      <w:pPr>
        <w:jc w:val="both"/>
        <w:rPr>
          <w:rStyle w:val="eop"/>
          <w:rFonts w:ascii="Aptos" w:hAnsi="Aptos" w:cs="Segoe UI"/>
          <w:lang w:val="es-ES"/>
        </w:rPr>
      </w:pPr>
      <w:r>
        <w:rPr>
          <w:lang w:val="es-ES"/>
        </w:rPr>
        <w:t>Un enfoque estructurado para consolidar y analizar la información procedente de múltiples fuentes contribuyó a garantizar la coherencia y la solidez. El apoyo técnico de la División de Datos y Análisis de las TIC de la BDT reforzó el análisis de los datos de las encuestas y contribuyó a la credibilidad general de la evaluación.</w:t>
      </w:r>
    </w:p>
    <w:p w14:paraId="7C5C36DC" w14:textId="77777777" w:rsidR="00AE7107" w:rsidRPr="005D5C10" w:rsidRDefault="00AE7107" w:rsidP="00AE7107">
      <w:pPr>
        <w:pStyle w:val="Headingb"/>
        <w:rPr>
          <w:rFonts w:eastAsiaTheme="majorEastAsia"/>
          <w:lang w:val="es-ES"/>
        </w:rPr>
      </w:pPr>
      <w:r>
        <w:rPr>
          <w:rFonts w:eastAsiaTheme="majorEastAsia"/>
          <w:bCs/>
          <w:lang w:val="es-ES"/>
        </w:rPr>
        <w:t>Adecuación de los recursos y eficiencia de los procesos</w:t>
      </w:r>
    </w:p>
    <w:p w14:paraId="78B1900D" w14:textId="77777777" w:rsidR="00AE7107" w:rsidRPr="005D5C10" w:rsidRDefault="00AE7107" w:rsidP="002D1120">
      <w:pPr>
        <w:jc w:val="both"/>
        <w:rPr>
          <w:rFonts w:eastAsia="Segoe UI" w:cs="Segoe UI"/>
          <w:lang w:val="es-ES"/>
        </w:rPr>
      </w:pPr>
      <w:r>
        <w:rPr>
          <w:lang w:val="es-ES"/>
        </w:rPr>
        <w:t xml:space="preserve">El examen confirmó la importancia estratégica de las Oficinas Regionales y Zonales para respaldar la aplicación del mandato de la UIT. Durante los debates del Consejo, los Estados Miembros hicieron hincapié en la importancia de garantizar que esas Oficinas cuenten con recursos adecuados, procesos operativos eficientes y una contratación oportuna. Para abordar las conclusiones del examen, es importante distinguir entre las limitaciones de recursos y las limitaciones de procesos. </w:t>
      </w:r>
      <w:r>
        <w:rPr>
          <w:lang w:val="es-ES"/>
        </w:rPr>
        <w:lastRenderedPageBreak/>
        <w:t xml:space="preserve">Estas últimas pueden afectar a la utilización óptima de los recursos existentes. En lo que respecta a las limitaciones de los procesos, esta labor ya está en marcha. En el contexto de la presencia regional, los cuellos de botella en los procesos repercuten en la ejecución de los proyectos. El ejercicio de reorganización de la BDT de 2024 dio lugar a la creación de la División de Ejecución de Programas de Proyectos (PPI) con el fin de reforzar aún más la eficacia y los efectos de las iniciativas de desarrollo. La División PPI forma parte del Departamento de Coordinación de Operaciones. Esta División, que depende directamente del Director Adjunto, se dedica a mejorar la calidad, la coherencia y la ejecución de proyectos de desarrollo mundiales y regionales. La División PPI está reforzando los procesos de ejecución de proyectos, supervisando los resultados y contribuyendo a racionalizar los marcos de ejecución de proyectos para garantizar la entrega oportuna y resultados medibles. La BDT ya ha reforzado la gestión de proyectos mediante la adopción de matrices RASCI de funciones y responsabilidades a lo largo del ciclo de vida de los proyectos y la integración de requisitos basados en IFR en los procesos de planificación y ejecución de proyectos. Los tres responsables de la División PPI lideran los esfuerzos para resolver los retrasos relacionados con la contratación de personal, las finanzas y las compras en el marco de los proyectos, en colaboración con las funciones de apoyo institucional pertinentes. El objetivo es también mejorar el acceso oportuno a la información financiera y operativa necesaria para la gestión de proyectos y actividades. Esto se llevará a cabo en coordinación con el Equipo de Transformación de la UIT. </w:t>
      </w:r>
    </w:p>
    <w:p w14:paraId="4EF045EC" w14:textId="77777777" w:rsidR="00AE7107" w:rsidRPr="005D5C10" w:rsidRDefault="00AE7107" w:rsidP="002D1120">
      <w:pPr>
        <w:jc w:val="both"/>
        <w:rPr>
          <w:spacing w:val="-2"/>
          <w:lang w:val="es-ES"/>
        </w:rPr>
      </w:pPr>
      <w:r>
        <w:rPr>
          <w:lang w:val="es-ES"/>
        </w:rPr>
        <w:t xml:space="preserve">El Equipo de Transformación de la UIT trabaja de manera activa en la cuestión de la racionalización y el fortalecimiento de los procesos internos, y busca soluciones escalables para los procesos institucionales que puedan utilizarse en toda la organización. Un ejemplo concreto relacionado con la transformación es la aplicación de gestión de viajes desarrollada por la BDT en respuesta a las recomendaciones de auditoría para racionalizar los viajes de la BDT. Como se señaló durante los debates del Consejo, la aplicación de la BDT modernizó y consolidó los procesos de viaje; mejoró la transparencia, la rendición de cuentas y la supervisión; y fue examinada por el Equipo de Transformación de la UIT como posible prototipo para su utilización en otras Oficinas y en la Secretaría General. </w:t>
      </w:r>
    </w:p>
    <w:p w14:paraId="72B74AAB" w14:textId="77777777" w:rsidR="00AE7107" w:rsidRPr="00D038E0" w:rsidDel="002261BA" w:rsidRDefault="00AE7107" w:rsidP="002D1120">
      <w:pPr>
        <w:jc w:val="both"/>
        <w:rPr>
          <w:lang w:val="es-ES"/>
        </w:rPr>
      </w:pPr>
      <w:r w:rsidRPr="00D038E0">
        <w:rPr>
          <w:lang w:val="es-ES"/>
        </w:rPr>
        <w:t>Las iniciativas destinadas a resolver los cuellos de botella operativos detectados en el examen de la presencia regional de la UIT se están reforzando mediante el programa de transformación de sistemas y procesos transversales puesto en marcha recientemente, que constituye un elemento fundamental de la agenda de transformación más amplia de la UIT. El programa tiene por objeto mejorar la eficiencia, la calidad de los servicios y la experiencia de los usuarios mediante la revisión y racionalización de los procesos institucionales en su totalidad.</w:t>
      </w:r>
    </w:p>
    <w:p w14:paraId="7CB87D73" w14:textId="77777777" w:rsidR="00AE7107" w:rsidRPr="00D038E0" w:rsidDel="002261BA" w:rsidRDefault="00AE7107" w:rsidP="002D1120">
      <w:pPr>
        <w:jc w:val="both"/>
        <w:rPr>
          <w:lang w:val="es-ES"/>
        </w:rPr>
      </w:pPr>
      <w:r w:rsidRPr="00D038E0">
        <w:rPr>
          <w:lang w:val="es-ES"/>
        </w:rPr>
        <w:t xml:space="preserve">Las líneas de trabajo iniciales se centran en los procesos de contratación de personal, compras y finanzas, siguiendo un enfoque integral que abarca a las personas, los procesos, los datos y los sistemas. De esta manera, se abordan desafíos importantes como los retrasos, la fragmentación de los flujos de trabajo y los plazos de contratación, que limitan el despliegue oportuno de recursos. El programa también aborda la necesidad de contar con mejores datos sobre la dotación de personal, los recursos financieros y la ejecución de proyectos para reforzar la supervisión y la toma de decisiones. En el marco del programa, se está implantando un nuevo sistema de gestión de las relaciones con los clientes CRM para apoyar la movilización de recursos, mejorar la gestión de las partes interesadas y aumentar la visibilidad de las colaboraciones y las oportunidades de financiación. Las Oficinas Regionales están representadas en el grupo especial encargado de examinar y mejorar los procesos de movilización de recursos para garantizar que se satisfagan sus necesidades. En términos generales, este programa fomenta una mayor transparencia, rendición de cuentas y mejora continua, y entre los resultados previstos figuran la reducción de los plazos de </w:t>
      </w:r>
      <w:r w:rsidRPr="00D038E0">
        <w:rPr>
          <w:lang w:val="es-ES"/>
        </w:rPr>
        <w:lastRenderedPageBreak/>
        <w:t>ejecución, la mejora de la prestación de servicios y un mayor apoyo a las operaciones regionales y la ejecución de proyectos.</w:t>
      </w:r>
    </w:p>
    <w:p w14:paraId="4CB1A461" w14:textId="77777777" w:rsidR="00AE7107" w:rsidRPr="005D5C10" w:rsidRDefault="00AE7107" w:rsidP="002D1120">
      <w:pPr>
        <w:tabs>
          <w:tab w:val="left" w:pos="7230"/>
        </w:tabs>
        <w:jc w:val="both"/>
        <w:rPr>
          <w:rFonts w:cs="Segoe UI"/>
          <w:color w:val="000000" w:themeColor="text1"/>
          <w:lang w:val="es-ES"/>
        </w:rPr>
      </w:pPr>
      <w:r>
        <w:rPr>
          <w:lang w:val="es-ES"/>
        </w:rPr>
        <w:t xml:space="preserve">Paralelamente, el Departamento de Gestión de los Recursos Humanos (HRMD) está llevando a cabo una modernización integral de los procesos de contratación y planificación de la fuerza de trabajo para mejorar la eficiencia, la transparencia y la conformidad en la organización. Esta iniciativa incluye el rediseño de los procesos de contratación, la integración de la planificación de la fuerza de trabajo con los ciclos presupuestarios y el aprovechamiento de las herramientas digitales y de la IA. El HRMD ha examinado y rediseñado el proceso de contratación de consultores, racionalizando los procesos, actualizando las políticas, aclarando las funciones y mejorando la gobernanza, con el fin de reducir los plazos de tramitación y garantizar una contratación ágil y acorde con las necesidades operativas. El marco de contratación actualizado se ampliará a la contratación de duración determinada con cargo al presupuesto ordinario, y se introducirán nuevas herramientas, flujos de trabajo, sistemas de supervisión del rendimiento y mecanismos de gobernanza para facilitar una contratación oportuna y basada en el mérito, respetando al mismo tiempo los principios de diversidad y competencia; dicha ampliación está prevista para principios de 2027. Además, el HRMD está desarrollando herramientas basadas en IA para la redacción de las descripciones de puestos y de los mandatos de los consultores, así como para la captación de talento, con el fin de mejorar la calidad y la rapidez de la contratación. </w:t>
      </w:r>
    </w:p>
    <w:p w14:paraId="55FC03F7" w14:textId="77777777" w:rsidR="00AE7107" w:rsidRPr="005D5C10" w:rsidRDefault="00AE7107" w:rsidP="00AE7107">
      <w:pPr>
        <w:pStyle w:val="Headingb"/>
        <w:rPr>
          <w:lang w:val="es-ES"/>
        </w:rPr>
      </w:pPr>
      <w:r>
        <w:rPr>
          <w:bCs/>
          <w:lang w:val="es-ES"/>
        </w:rPr>
        <w:t>Acceso a los conocimientos técnicos de los tres Sectores</w:t>
      </w:r>
      <w:r>
        <w:rPr>
          <w:lang w:val="es-ES"/>
        </w:rPr>
        <w:t xml:space="preserve"> </w:t>
      </w:r>
    </w:p>
    <w:p w14:paraId="4030F5B2" w14:textId="77777777" w:rsidR="00AE7107" w:rsidRPr="00D038E0" w:rsidRDefault="00AE7107" w:rsidP="002D1120">
      <w:pPr>
        <w:jc w:val="both"/>
        <w:rPr>
          <w:lang w:val="es-ES"/>
        </w:rPr>
      </w:pPr>
      <w:r w:rsidRPr="00D038E0">
        <w:rPr>
          <w:lang w:val="es-ES"/>
        </w:rPr>
        <w:t>En las conclusiones se señaló la importancia de optimizar los mecanismos existentes, evitar la duplicación de recursos y funciones y reforzar la eficacia del modelo operativo actual. En el examen y en las observaciones de los consejeros se observa un apoyo firme y generalizado a la mejora del acceso de los Estados Miembros a los conocimientos técnicos de los tres Sectores de la UIT a nivel regional. Los encuestados, las partes interesadas y los Estados Miembros destacaron la importancia de contar con apoyo integrado y multidisciplinar, así como la necesidad de reforzar la coordinación entre la Sede y las Oficinas Regionales. Así pues, tanto en las conclusiones como en las observaciones de los consejeros, se señala la necesidad de facilitar el acceso oportuno a conocimientos especializados para responder a las prioridades regionales y de los países, al tiempo que se hace un uso eficaz de las capacidades existentes y se evita la duplicación innecesaria de recursos y funciones.</w:t>
      </w:r>
    </w:p>
    <w:p w14:paraId="314E74C6" w14:textId="77777777" w:rsidR="00AE7107" w:rsidRPr="00D038E0" w:rsidRDefault="00AE7107" w:rsidP="002D1120">
      <w:pPr>
        <w:jc w:val="both"/>
        <w:rPr>
          <w:lang w:val="es-ES"/>
        </w:rPr>
      </w:pPr>
      <w:r w:rsidRPr="00D038E0">
        <w:rPr>
          <w:lang w:val="es-ES"/>
        </w:rPr>
        <w:t>La Secretaría seguirá mejorando el acceso a los conocimientos especializados sectoriales mediante mecanismos prácticos de prestación de servicios, incluidos mecanismos de coordinación mejorados, coordinadores sectoriales, desplazamientos temporales, misiones técnicas regionales y puestos de especialistas financiados con cargo a proyectos, siempre que las necesidades operativas y los recursos disponibles lo justifiquen. Estas medidas reforzarán la capacidad de las Oficinas Regionales y Zonales para facilitar el acceso a toda la gama de conocimientos especializados de la UIT, al tiempo que se preservan los mandatos y responsabilidades técnicas específicos de los tres Sectores y se garantiza el uso eficiente de los recursos.</w:t>
      </w:r>
    </w:p>
    <w:p w14:paraId="29E291DE" w14:textId="77777777" w:rsidR="00AE7107" w:rsidRPr="005D5C10" w:rsidRDefault="00AE7107" w:rsidP="00AE7107">
      <w:pPr>
        <w:pStyle w:val="Headingb"/>
        <w:rPr>
          <w:lang w:val="es-ES"/>
        </w:rPr>
      </w:pPr>
      <w:r>
        <w:rPr>
          <w:bCs/>
          <w:lang w:val="es-ES"/>
        </w:rPr>
        <w:t>Mejora de la ejecución y la rendición de cuentas</w:t>
      </w:r>
      <w:r>
        <w:rPr>
          <w:lang w:val="es-ES"/>
        </w:rPr>
        <w:t xml:space="preserve"> </w:t>
      </w:r>
    </w:p>
    <w:p w14:paraId="7402C57E" w14:textId="77777777" w:rsidR="00AE7107" w:rsidRPr="0009193A" w:rsidRDefault="00AE7107" w:rsidP="002D1120">
      <w:pPr>
        <w:jc w:val="both"/>
        <w:rPr>
          <w:lang w:val="es-ES"/>
        </w:rPr>
      </w:pPr>
      <w:r w:rsidRPr="0009193A">
        <w:rPr>
          <w:lang w:val="es-ES"/>
        </w:rPr>
        <w:t xml:space="preserve">Las Oficinas Regionales y Zonales forman parte integrante del marco de planificación y ejecución de la BDT y dependen del apoyo efectivo de la Sede. Si bien se están mejorando los procesos, como se ha descrito anteriormente, en lo que respecta a las medidas de seguimiento concretas, se sigue trabajando para identificar los principales procesos de ejecución, incluida la aprobación de proyectos, las adquisiciones, la contratación de consultores, los acuerdos de asociación y la aprobación de eventos; determinar las fases de aprobación y las unidades responsables; evaluar los plazos de tramitación y determinar las fases que pueden simplificarse o llevarse a cabo en paralelo. </w:t>
      </w:r>
    </w:p>
    <w:p w14:paraId="295F566E" w14:textId="7CAC3F1E" w:rsidR="00AE7107" w:rsidRPr="005D5C10" w:rsidRDefault="00AE7107" w:rsidP="002D1120">
      <w:pPr>
        <w:jc w:val="both"/>
        <w:rPr>
          <w:lang w:val="es-ES"/>
        </w:rPr>
      </w:pPr>
      <w:r>
        <w:rPr>
          <w:lang w:val="es-ES"/>
        </w:rPr>
        <w:lastRenderedPageBreak/>
        <w:t xml:space="preserve">Es importante determinar qué decisiones pueden delegarse adecuadamente, junto con las salvaguardias necesarias para garantizar la rendición de cuentas, el cumplimiento y una supervisión eficaz. Como se indica en el Documento </w:t>
      </w:r>
      <w:hyperlink r:id="rId40">
        <w:r w:rsidR="00D038E0" w:rsidRPr="1C2021A3">
          <w:rPr>
            <w:rStyle w:val="Hyperlink"/>
            <w:rFonts w:asciiTheme="minorHAnsi" w:hAnsiTheme="minorHAnsi" w:cstheme="minorBidi"/>
          </w:rPr>
          <w:t>TDAG-26/2(Add.2)(Rev.2)</w:t>
        </w:r>
      </w:hyperlink>
      <w:r>
        <w:rPr>
          <w:lang w:val="es-ES"/>
        </w:rPr>
        <w:t>, en el marco de los constantes esfuerzos de la BDT por aumentar la eficacia operativa, la transparencia y la responsabilidad, se está llevando a cabo una iniciativa estructurada de cartografía de los procesos internos en las funciones principales de la Oficina. Sobre la base de un enfoque empírico por fases, la iniciativa garantiza que las mejoras propuestas se asientan en una perfecta comprensión de las prácticas actuales. Como complemento de la armonización realizada en 2024, se espera que esta labor mejore la calidad de la ejecución, intensifique la coordinación y permita armonizar mejor las operaciones con los objetivos estratégicos de la BDT. Mayor armonización con las prioridades de los Estados Miembros y las prioridades regionales.</w:t>
      </w:r>
      <w:hyperlink r:id="rId41"/>
    </w:p>
    <w:p w14:paraId="498383EA" w14:textId="77777777" w:rsidR="00AE7107" w:rsidRPr="005D5C10" w:rsidRDefault="00AE7107" w:rsidP="002D1120">
      <w:pPr>
        <w:jc w:val="both"/>
        <w:rPr>
          <w:lang w:val="es-ES"/>
        </w:rPr>
      </w:pPr>
      <w:r>
        <w:rPr>
          <w:lang w:val="es-ES"/>
        </w:rPr>
        <w:t xml:space="preserve">El examen confirmó la importancia de garantizar que todas las actividades regionales respalden los mandatos establecidos por la Conferencia de Plenipotenciarios y las conferencias sectoriales, en particular la CMDT, al tiempo que responden a las prioridades de los Estados Miembros. En consecuencia, la Secretaría seguirá velando por que las actividades incluidas en los Planes Operacionales de los Sectores y de la UIT en su conjunto, así como los proyectos, se ajusten plenamente a los resultados de las conferencias sectoriales y la Conferencia de Plenipotenciarios, así como a las prioridades de los Estados Miembros y las prioridades regionales. La identificación y ejecución de proyectos seguirá centrándose en las actividades que se enmarquen en estos mandatos acordados, con la presentación de informes adecuados a través de los órganos asesores pertinentes para garantizar la coherencia y la transparencia. </w:t>
      </w:r>
    </w:p>
    <w:p w14:paraId="55688C90" w14:textId="77777777" w:rsidR="00AE7107" w:rsidRPr="005D5C10" w:rsidRDefault="00AE7107" w:rsidP="00AE7107">
      <w:pPr>
        <w:pStyle w:val="Headingb"/>
        <w:rPr>
          <w:lang w:val="es-ES"/>
        </w:rPr>
      </w:pPr>
      <w:r>
        <w:rPr>
          <w:bCs/>
          <w:lang w:val="es-ES"/>
        </w:rPr>
        <w:t>Fortalecimiento de las asociaciones y la movilización de recursos</w:t>
      </w:r>
    </w:p>
    <w:p w14:paraId="26E54103" w14:textId="77777777" w:rsidR="00AE7107" w:rsidRPr="005D5C10" w:rsidRDefault="00AE7107" w:rsidP="002D1120">
      <w:pPr>
        <w:jc w:val="both"/>
        <w:rPr>
          <w:rFonts w:eastAsia="Aptos"/>
          <w:lang w:val="es-ES"/>
        </w:rPr>
      </w:pPr>
      <w:r>
        <w:rPr>
          <w:rFonts w:eastAsia="Aptos"/>
          <w:lang w:val="es-ES"/>
        </w:rPr>
        <w:t>La movilización de recursos y la cooperación internacional son prioridades fundamentales de la UIT, y especialmente del UIT-D, y resultan esenciales para el cumplimiento eficaz de su mandato a través de su presencia regional. El examen confirmó la firme voluntad de las partes interesadas de trabajar estrechamente con la presencia regional de la UIT.</w:t>
      </w:r>
    </w:p>
    <w:p w14:paraId="43FBDB9E" w14:textId="77777777" w:rsidR="00AE7107" w:rsidRPr="005D5C10" w:rsidRDefault="00AE7107" w:rsidP="002D1120">
      <w:pPr>
        <w:jc w:val="both"/>
        <w:rPr>
          <w:rFonts w:eastAsia="Aptos"/>
          <w:lang w:val="es-ES"/>
        </w:rPr>
      </w:pPr>
      <w:r>
        <w:rPr>
          <w:rFonts w:eastAsia="Aptos"/>
          <w:lang w:val="es-ES"/>
        </w:rPr>
        <w:t xml:space="preserve">Sobre la base de sus fortalezas demostradas para el establecimiento de asociaciones y la movilización de recursos, la BDT seguirá intensificando sus esfuerzos para maximizar los efectos y apoyar la ejecución de las prioridades establecidas por los Miembros. Esto incluye la consolidación de las relaciones a largo plazo con los socios existentes, el fortalecimiento de la colaboración en todo el sistema de las Naciones Unidas y la ampliación y diversificación proactiva de su cartera de socios mediante actividades específicas encaminadas a establecer relaciones con nuevos socios estratégicos. Se hace especial hincapié en el desarrollo de proyectos financiables que respondan a las prioridades nacionales y regionales, y que sean capaces de atraer financiación de una amplia gama de socios e instituciones de financiación. </w:t>
      </w:r>
    </w:p>
    <w:p w14:paraId="302519D6" w14:textId="77777777" w:rsidR="00AE7107" w:rsidRPr="005D5C10" w:rsidRDefault="00AE7107" w:rsidP="002D1120">
      <w:pPr>
        <w:jc w:val="both"/>
        <w:rPr>
          <w:rFonts w:eastAsia="Aptos"/>
          <w:lang w:val="es-ES"/>
        </w:rPr>
      </w:pPr>
      <w:r>
        <w:rPr>
          <w:rFonts w:eastAsia="Aptos"/>
          <w:lang w:val="es-ES"/>
        </w:rPr>
        <w:t xml:space="preserve">La presencia regional de la UIT es fundamental para este enfoque. Gracias a su proximidad con los beneficiarios, su profundo conocimiento de los contextos regionales y nacionales y sus relaciones de confianza con las partes interesadas, las Oficinas Regionales y Zonales de la UIT desempeñan un papel fundamental para facilitar los esfuerzos de asociación y movilización de recursos de la BDT para apoyar la ejecución de proyectos a nivel nacional y regional, incluidas las Iniciativas Regionales. Aprovechando su consolidada red, desempeñan un papel fundamental a la hora de establecer y mantener la colaboración con gobiernos, bancos de desarrollo, organizaciones regionales, instituciones académicas y el sector privado, al tiempo que establecen relaciones con nuevos socios estratégicos. Las Oficinas Regionales y Zonales contribuyen a la identificación de oportunidades, el desarrollo de conceptos de proyectos, a la colaboración con los socios financieros y a las </w:t>
      </w:r>
      <w:r>
        <w:rPr>
          <w:rFonts w:eastAsia="Aptos"/>
          <w:lang w:val="es-ES"/>
        </w:rPr>
        <w:lastRenderedPageBreak/>
        <w:t xml:space="preserve">negociaciones que permiten convertir las prioridades de desarrollo en proyectos e iniciativas financiados. Además, refuerzan aún más la cooperación en todo el sistema de las Naciones Unidas, incluso a través de los equipos de las Naciones Unidas en los países (ENUP), lo que contribuye a ampliar el acceso a nuevas oportunidades de financiación, incluidos los fondos comunes de las Naciones Unidas. </w:t>
      </w:r>
    </w:p>
    <w:p w14:paraId="1A5CEDA1" w14:textId="77777777" w:rsidR="00AE7107" w:rsidRPr="005D5C10" w:rsidRDefault="00AE7107" w:rsidP="002D1120">
      <w:pPr>
        <w:jc w:val="both"/>
        <w:rPr>
          <w:szCs w:val="24"/>
          <w:lang w:val="es-ES"/>
        </w:rPr>
      </w:pPr>
      <w:r>
        <w:rPr>
          <w:rFonts w:eastAsia="Aptos"/>
          <w:lang w:val="es-ES"/>
        </w:rPr>
        <w:t>Al mejorar la visibilidad y el posicionamiento estratégico de la UIT a nivel nacional y regional, la presencia regional de la UIT refuerza la capacidad de la BDT para establecer asociaciones, movilizar recursos y responder de manera eficaz a las prioridades identificadas por los Miembros. De cara al futuro, la BDT seguirá consolidando su colaboración a largo plazo con los socios existentes, reforzando sus alianzas con el sistema de las Naciones Unidas y diversificará aún más su base de socios para aumentar la sostenibilidad, la previsibilidad y las repercusiones financieras. Este enfoque con miras de futuro afianzará el papel de la BDT como convocador fiable y socio ejecutivo, acelerando el desarrollo digital inclusivo y sostenible a todos los niveles.</w:t>
      </w:r>
    </w:p>
    <w:p w14:paraId="7A14E684" w14:textId="77777777" w:rsidR="00AE7107" w:rsidRPr="005D5C10" w:rsidRDefault="00AE7107" w:rsidP="00AE7107">
      <w:pPr>
        <w:pStyle w:val="Headingb"/>
        <w:rPr>
          <w:lang w:val="es-ES"/>
        </w:rPr>
      </w:pPr>
      <w:r>
        <w:rPr>
          <w:bCs/>
          <w:lang w:val="es-ES"/>
        </w:rPr>
        <w:t>Implicaciones de la Iniciativa ONU80 para el examen de la presencia regional de la UIT</w:t>
      </w:r>
    </w:p>
    <w:p w14:paraId="0EDC5C87" w14:textId="77777777" w:rsidR="00AE7107" w:rsidRPr="005D5C10" w:rsidRDefault="00AE7107" w:rsidP="002D1120">
      <w:pPr>
        <w:jc w:val="both"/>
        <w:rPr>
          <w:rFonts w:eastAsia="Aptos"/>
          <w:lang w:val="es-ES"/>
        </w:rPr>
      </w:pPr>
      <w:r>
        <w:rPr>
          <w:rFonts w:eastAsia="Aptos"/>
          <w:lang w:val="es-ES"/>
        </w:rPr>
        <w:t>Algunos consejeros pidieron que la UIT analizara las implicaciones de la Iniciativa ONU80 en lo que respecta a la presencia regional de la UIT. Los paquetes de trabajo (PT) 5 y 6 de la Iniciativa ONU80 se centran en rediseñar el apoyo de las Naciones Unidas a nivel nacional y regional con el fin de lograr una mayor coherencia y repercusión. El PT5 tiene como objetivo adaptar los equipos de las Naciones Unidas en los países a las prioridades nacionales, lo que permitiría acceder a los conocimientos especializados de la UIT incluso sin presencia física en los países. El PT6 tiene como objetivo reestructurar la arquitectura regional de las Naciones Unidas para mejorar la coordinación. Para ello, las Oficinas Regionales de la UIT tendrían que seguir colaborando estrechamente con las plataformas y comisiones regionales. El mecanismo de conocimientos especializados a demanda (PT8) comienza a funcionar, lo que proporciona a la UIT un canal práctico para prestar apoyo especializado; las pruebas piloto se iniciaron en junio de 2026.</w:t>
      </w:r>
    </w:p>
    <w:p w14:paraId="36D66336" w14:textId="77777777" w:rsidR="00AE7107" w:rsidRPr="005D5C10" w:rsidRDefault="00AE7107" w:rsidP="002D1120">
      <w:pPr>
        <w:jc w:val="both"/>
        <w:rPr>
          <w:rFonts w:eastAsia="Aptos"/>
          <w:lang w:val="es-ES"/>
        </w:rPr>
      </w:pPr>
      <w:r>
        <w:rPr>
          <w:rFonts w:eastAsia="Aptos"/>
          <w:lang w:val="es-ES"/>
        </w:rPr>
        <w:t>Cabe señalar que el examen de la presencia regional es un ejercicio impulsado por los Estados Miembros cuyo objetivo es analizar cómo la presencia regional de la UIT puede contribuir con mayor eficacia al cumplimiento del mandato de la Unión y responder a las necesidades cambiantes de los Estados Miembros. La Iniciativa ONU80, en cambio, es una iniciativa que abarca todo el sistema y tiene por objeto fortalecer la eficacia y la coherencia de las Naciones Unidas mediante una mejor coordinación y un acceso más eficiente a los conocimientos especializados. Aunque se trata de dos procesos independientes, comparten el objetivo común de mejorar la prestación de servicios a los Estados Miembros.</w:t>
      </w:r>
    </w:p>
    <w:p w14:paraId="59A8E2FC" w14:textId="77777777" w:rsidR="00AE7107" w:rsidRPr="00DE4ABA" w:rsidRDefault="00AE7107" w:rsidP="002D1120">
      <w:pPr>
        <w:jc w:val="both"/>
        <w:rPr>
          <w:lang w:val="es-ES"/>
        </w:rPr>
      </w:pPr>
      <w:r w:rsidRPr="00DE4ABA">
        <w:rPr>
          <w:lang w:val="es-ES"/>
        </w:rPr>
        <w:t xml:space="preserve">El principal valor de la Iniciativa ONU80 para la UIT radica en su énfasis en garantizar el acceso a los conocimientos especializados donde y cuando se necesiten. Este objetivo converge con las observaciones formuladas por los Estados Miembros durante la presentación del examen de la presencia regional. A lo largo de esos debates, los Estados Miembros hicieron hincapié en la importancia de permitir que las Oficinas Regionales faciliten el acceso a toda la gama de conocimientos especializados de la UIT, con el fin de responder de manera eficaz a las prioridades regionales y a las necesidades de los países. A medida que se vayan aplicando los resultados del PT5 en todo el sistema de las Naciones Unidas, también será conveniente que la UIT evalúe de forma constante en qué casos los objetivos de la UIT podrían alcanzarse de manera más eficaz y eficiente a través de otros socios del sistema de las Naciones Unidas (incluso mediante la utilización del mecanismo de conocimientos especializados a demanda), en lugar de que la UIT se encargue directamente de la ejecución integral de los proyectos. Esto puede ser especialmente pertinente en </w:t>
      </w:r>
      <w:r w:rsidRPr="00DE4ABA">
        <w:rPr>
          <w:lang w:val="es-ES"/>
        </w:rPr>
        <w:lastRenderedPageBreak/>
        <w:t>aquellos Estados Miembros en los que la UIT no cuenta actualmente con presencia directa. Además, también será conveniente evaluar de forma constante en qué ámbitos la presencia y la actuación regional de la UIT podrían beneficiarse de la integración con plataformas regionales, aprovechando los servicios compartidos u otras iniciativas de eficiencia a nivel de todo el sistema impulsadas por la Iniciativa ONU80.</w:t>
      </w:r>
    </w:p>
    <w:p w14:paraId="3F18CB9E" w14:textId="77777777" w:rsidR="00AE7107" w:rsidRPr="005D5C10" w:rsidRDefault="00AE7107" w:rsidP="002D1120">
      <w:pPr>
        <w:jc w:val="both"/>
        <w:rPr>
          <w:rFonts w:eastAsia="Aptos"/>
          <w:lang w:val="es-ES"/>
        </w:rPr>
      </w:pPr>
      <w:r>
        <w:rPr>
          <w:rFonts w:eastAsia="Aptos"/>
          <w:lang w:val="es-ES"/>
        </w:rPr>
        <w:t>Los consejeros señalaron que las funciones técnicas especializadas de la Oficina de Radiocomunicaciones (BR) y de la Oficina de Normalización de las Telecomunicaciones (TSB) deberían seguir desempeñándose en el marco de sus respectivos mandatos, ya que la duplicación innecesaria de funciones técnicas a nivel regional no sería ni eficiente ni rentable.</w:t>
      </w:r>
    </w:p>
    <w:p w14:paraId="35483FB8" w14:textId="77777777" w:rsidR="00AE7107" w:rsidRPr="005D5C10" w:rsidRDefault="00AE7107" w:rsidP="002D1120">
      <w:pPr>
        <w:jc w:val="both"/>
        <w:rPr>
          <w:rFonts w:eastAsia="Aptos"/>
          <w:lang w:val="es-ES"/>
        </w:rPr>
      </w:pPr>
      <w:r>
        <w:rPr>
          <w:rFonts w:eastAsia="Aptos"/>
          <w:lang w:val="es-ES"/>
        </w:rPr>
        <w:t>En conjunto, estas observaciones apuntan a una mayor colaboración en toda la Unión. El objetivo es garantizar que los Estados Miembros puedan beneficiarse de los conocimientos técnicos colectivos de la UIT, aprovechando las fortalezas complementarias de las tres Oficinas, al tiempo que se preservan sus mandatos y responsabilidades técnicas específicos. A este respecto, el nuevo enfoque de "conocimientos especializados a demanda" en el marco de la Iniciativa ONU80 es pertinente, ya que tiene por objeto mejorar el acceso a conocimientos especializados mediante una mayor coordinación.</w:t>
      </w:r>
    </w:p>
    <w:p w14:paraId="2FC14F16" w14:textId="77777777" w:rsidR="00AE7107" w:rsidRPr="002D1120" w:rsidRDefault="00AE7107" w:rsidP="002D1120">
      <w:pPr>
        <w:jc w:val="both"/>
        <w:rPr>
          <w:spacing w:val="-2"/>
          <w:lang w:val="es-ES"/>
        </w:rPr>
      </w:pPr>
      <w:r w:rsidRPr="002D1120">
        <w:rPr>
          <w:spacing w:val="-2"/>
          <w:lang w:val="es-ES"/>
        </w:rPr>
        <w:t>La Secretaría seguirá supervisando la evolución de la Iniciativa ONU80 y, cuando proceda, incorporará enfoques pertinentes que refuercen la prestación de servicios, sin dejar de ser plenamente coherente con los mandatos de los Estados Miembros y el marco de gobernanza de la UIT.</w:t>
      </w:r>
    </w:p>
    <w:p w14:paraId="102CA733" w14:textId="77777777" w:rsidR="00AE7107" w:rsidRDefault="00AE7107" w:rsidP="002D1120"/>
    <w:p w14:paraId="1C1709D4" w14:textId="77777777" w:rsidR="00AE7107" w:rsidRDefault="00AE7107">
      <w:pPr>
        <w:jc w:val="center"/>
      </w:pPr>
      <w:r>
        <w:t>______________</w:t>
      </w:r>
    </w:p>
    <w:sectPr w:rsidR="00AE7107" w:rsidSect="00A70E95">
      <w:headerReference w:type="default" r:id="rId42"/>
      <w:footerReference w:type="first" r:id="rId43"/>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98E4C" w14:textId="77777777" w:rsidR="00A46B51" w:rsidRDefault="00A46B51">
      <w:r>
        <w:separator/>
      </w:r>
    </w:p>
  </w:endnote>
  <w:endnote w:type="continuationSeparator" w:id="0">
    <w:p w14:paraId="5C7A1B4E" w14:textId="77777777" w:rsidR="00A46B51" w:rsidRDefault="00A4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1ABD" w14:textId="116398B3"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2D1120">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B85FC" w14:textId="77777777" w:rsidR="00A46B51" w:rsidRDefault="00A46B51">
      <w:r>
        <w:t>____________________</w:t>
      </w:r>
    </w:p>
  </w:footnote>
  <w:footnote w:type="continuationSeparator" w:id="0">
    <w:p w14:paraId="7BE7BD4D" w14:textId="77777777" w:rsidR="00A46B51" w:rsidRDefault="00A46B51">
      <w:r>
        <w:continuationSeparator/>
      </w:r>
    </w:p>
  </w:footnote>
  <w:footnote w:id="1">
    <w:p w14:paraId="648F0A9D" w14:textId="4AC635F3" w:rsidR="00AE7107" w:rsidRPr="005D5C10" w:rsidRDefault="00AE7107" w:rsidP="002D1120">
      <w:pPr>
        <w:pStyle w:val="FootnoteText"/>
      </w:pPr>
      <w:r w:rsidRPr="00C32824">
        <w:rPr>
          <w:rStyle w:val="FootnoteReference"/>
        </w:rPr>
        <w:footnoteRef/>
      </w:r>
      <w:r>
        <w:tab/>
        <w:t xml:space="preserve">Partimos de la base de que dos consultores </w:t>
      </w:r>
      <w:r w:rsidRPr="002D1120">
        <w:t>trabajarán</w:t>
      </w:r>
      <w:r>
        <w:t xml:space="preserve"> 150 días laborables, a un coste medio de 1</w:t>
      </w:r>
      <w:r w:rsidR="0009193A">
        <w:t> </w:t>
      </w:r>
      <w:r>
        <w:t>000 CHF al día por consultor.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65E55"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304DA318" w14:textId="009347EC" w:rsidR="00255FA1" w:rsidRDefault="00255FA1" w:rsidP="00C43474">
    <w:pPr>
      <w:pStyle w:val="Header"/>
    </w:pPr>
    <w:proofErr w:type="spellStart"/>
    <w:r>
      <w:rPr>
        <w:lang w:val="en-US"/>
      </w:rPr>
      <w:t>PP</w:t>
    </w:r>
    <w:r w:rsidR="009D1BE0">
      <w:rPr>
        <w:lang w:val="en-US"/>
      </w:rPr>
      <w:t>2</w:t>
    </w:r>
    <w:r w:rsidR="009415B6">
      <w:rPr>
        <w:lang w:val="en-US"/>
      </w:rPr>
      <w:t>6</w:t>
    </w:r>
    <w:proofErr w:type="spellEnd"/>
    <w:r>
      <w:t>/</w:t>
    </w:r>
    <w:r w:rsidR="00AE7107">
      <w:t>64</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63AB"/>
    <w:rsid w:val="0009193A"/>
    <w:rsid w:val="000A1523"/>
    <w:rsid w:val="000B1752"/>
    <w:rsid w:val="0010546D"/>
    <w:rsid w:val="00135F93"/>
    <w:rsid w:val="001632E3"/>
    <w:rsid w:val="001D4983"/>
    <w:rsid w:val="001D6EC3"/>
    <w:rsid w:val="001D787B"/>
    <w:rsid w:val="001E3D06"/>
    <w:rsid w:val="001F0B24"/>
    <w:rsid w:val="001F5B03"/>
    <w:rsid w:val="00225F6B"/>
    <w:rsid w:val="00237C17"/>
    <w:rsid w:val="00242376"/>
    <w:rsid w:val="00255FA1"/>
    <w:rsid w:val="00262FF4"/>
    <w:rsid w:val="00277985"/>
    <w:rsid w:val="002C6527"/>
    <w:rsid w:val="002D1120"/>
    <w:rsid w:val="002E44FC"/>
    <w:rsid w:val="00312F89"/>
    <w:rsid w:val="003162BF"/>
    <w:rsid w:val="003537B5"/>
    <w:rsid w:val="003707E5"/>
    <w:rsid w:val="00375610"/>
    <w:rsid w:val="00391611"/>
    <w:rsid w:val="003B5DC9"/>
    <w:rsid w:val="003D0027"/>
    <w:rsid w:val="003E6E73"/>
    <w:rsid w:val="00466DCB"/>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C5CDE"/>
    <w:rsid w:val="005D1164"/>
    <w:rsid w:val="005D6488"/>
    <w:rsid w:val="005F6278"/>
    <w:rsid w:val="00601280"/>
    <w:rsid w:val="00641DBD"/>
    <w:rsid w:val="006426C0"/>
    <w:rsid w:val="006455D2"/>
    <w:rsid w:val="006537F3"/>
    <w:rsid w:val="0066695A"/>
    <w:rsid w:val="006B5512"/>
    <w:rsid w:val="006C190D"/>
    <w:rsid w:val="006C214C"/>
    <w:rsid w:val="006F3DDE"/>
    <w:rsid w:val="00720686"/>
    <w:rsid w:val="00737EFF"/>
    <w:rsid w:val="00750806"/>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41B2D"/>
    <w:rsid w:val="00956FE6"/>
    <w:rsid w:val="0099270D"/>
    <w:rsid w:val="0099551E"/>
    <w:rsid w:val="009A1A86"/>
    <w:rsid w:val="009D1BE0"/>
    <w:rsid w:val="009E0C42"/>
    <w:rsid w:val="00A46B51"/>
    <w:rsid w:val="00A50BE3"/>
    <w:rsid w:val="00A70E95"/>
    <w:rsid w:val="00AA1F73"/>
    <w:rsid w:val="00AB190D"/>
    <w:rsid w:val="00AB34CA"/>
    <w:rsid w:val="00AD2D27"/>
    <w:rsid w:val="00AD400E"/>
    <w:rsid w:val="00AE7107"/>
    <w:rsid w:val="00AF0DC5"/>
    <w:rsid w:val="00B012B7"/>
    <w:rsid w:val="00B30C52"/>
    <w:rsid w:val="00B36D33"/>
    <w:rsid w:val="00B501AB"/>
    <w:rsid w:val="00B73978"/>
    <w:rsid w:val="00B77C4D"/>
    <w:rsid w:val="00BB13FE"/>
    <w:rsid w:val="00BC7EE2"/>
    <w:rsid w:val="00BF32F2"/>
    <w:rsid w:val="00BF5475"/>
    <w:rsid w:val="00C20ED7"/>
    <w:rsid w:val="00C255AC"/>
    <w:rsid w:val="00C42D2D"/>
    <w:rsid w:val="00C43474"/>
    <w:rsid w:val="00C52130"/>
    <w:rsid w:val="00C61A48"/>
    <w:rsid w:val="00C80F8F"/>
    <w:rsid w:val="00C84355"/>
    <w:rsid w:val="00C84A65"/>
    <w:rsid w:val="00CA3051"/>
    <w:rsid w:val="00CD20D9"/>
    <w:rsid w:val="00CD701A"/>
    <w:rsid w:val="00D038E0"/>
    <w:rsid w:val="00D05AAE"/>
    <w:rsid w:val="00D05E6B"/>
    <w:rsid w:val="00D066F8"/>
    <w:rsid w:val="00D254A6"/>
    <w:rsid w:val="00D42B55"/>
    <w:rsid w:val="00D57D70"/>
    <w:rsid w:val="00DA112F"/>
    <w:rsid w:val="00DE3E41"/>
    <w:rsid w:val="00DE4ABA"/>
    <w:rsid w:val="00E05D81"/>
    <w:rsid w:val="00E53DFC"/>
    <w:rsid w:val="00E66FC3"/>
    <w:rsid w:val="00E677DD"/>
    <w:rsid w:val="00E77F17"/>
    <w:rsid w:val="00E809D8"/>
    <w:rsid w:val="00E921EC"/>
    <w:rsid w:val="00EB23D0"/>
    <w:rsid w:val="00EC395A"/>
    <w:rsid w:val="00F01632"/>
    <w:rsid w:val="00F04858"/>
    <w:rsid w:val="00F13AA4"/>
    <w:rsid w:val="00F3510D"/>
    <w:rsid w:val="00F43C07"/>
    <w:rsid w:val="00F43D44"/>
    <w:rsid w:val="00F80E6E"/>
    <w:rsid w:val="00FD19EF"/>
    <w:rsid w:val="00FD282C"/>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9952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link w:val="Heading3Char"/>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link w:val="FootnoteTextChar"/>
    <w:rsid w:val="002D1120"/>
    <w:pPr>
      <w:keepLines/>
      <w:tabs>
        <w:tab w:val="left" w:pos="256"/>
      </w:tabs>
      <w:ind w:left="256" w:hanging="256"/>
      <w:jc w:val="both"/>
    </w:pPr>
    <w:rPr>
      <w:sz w:val="22"/>
      <w:szCs w:val="22"/>
      <w:lang w:val="es-ES"/>
    </w:r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2D1120"/>
    <w:rPr>
      <w:rFonts w:ascii="Calibri" w:hAnsi="Calibri"/>
      <w:color w:val="0070C0"/>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AE71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E7107"/>
    <w:rPr>
      <w:rFonts w:ascii="Calibri" w:hAnsi="Calibri"/>
      <w:b/>
      <w:sz w:val="24"/>
      <w:lang w:val="es-ES_tradnl" w:eastAsia="en-US"/>
    </w:rPr>
  </w:style>
  <w:style w:type="character" w:customStyle="1" w:styleId="eop">
    <w:name w:val="eop"/>
    <w:basedOn w:val="DefaultParagraphFont"/>
    <w:rsid w:val="00AE7107"/>
  </w:style>
  <w:style w:type="character" w:customStyle="1" w:styleId="FootnoteTextChar">
    <w:name w:val="Footnote Text Char"/>
    <w:basedOn w:val="DefaultParagraphFont"/>
    <w:link w:val="FootnoteText"/>
    <w:rsid w:val="002D1120"/>
    <w:rPr>
      <w:rFonts w:ascii="Calibri" w:hAnsi="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RES-025-E.pdf" TargetMode="External"/><Relationship Id="rId18" Type="http://schemas.openxmlformats.org/officeDocument/2006/relationships/hyperlink" Target="https://www.itu.int/en/council/Documents/basic-texts-2023/RES-025-E.pdf" TargetMode="External"/><Relationship Id="rId26" Type="http://schemas.openxmlformats.org/officeDocument/2006/relationships/hyperlink" Target="https://www.itu.int/md/S24-CWGFHR19-C-0015/en" TargetMode="External"/><Relationship Id="rId39" Type="http://schemas.openxmlformats.org/officeDocument/2006/relationships/hyperlink" Target="https://www.itu.int/md/S26-CL-C-0022/en" TargetMode="External"/><Relationship Id="rId21" Type="http://schemas.openxmlformats.org/officeDocument/2006/relationships/hyperlink" Target="https://www.itu.int/md/S26-CL-INF-0010/en" TargetMode="External"/><Relationship Id="rId34" Type="http://schemas.openxmlformats.org/officeDocument/2006/relationships/hyperlink" Target="https://www.itu.int/md/S26-CL-C-0119/es" TargetMode="External"/><Relationship Id="rId42"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itu.int/md/S26-CL-C-0024/es" TargetMode="External"/><Relationship Id="rId29" Type="http://schemas.openxmlformats.org/officeDocument/2006/relationships/hyperlink" Target="https://www.itu.int/md/S25-CL-C-0105/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md/S26-CL-INF-0010/en" TargetMode="External"/><Relationship Id="rId24" Type="http://schemas.openxmlformats.org/officeDocument/2006/relationships/hyperlink" Target="https://www.itu.int/md/S24-CWGFHR19-C-0015/es" TargetMode="External"/><Relationship Id="rId32" Type="http://schemas.openxmlformats.org/officeDocument/2006/relationships/hyperlink" Target="https://www.itu.int/md/S26-CL-C-0024/en" TargetMode="External"/><Relationship Id="rId37" Type="http://schemas.openxmlformats.org/officeDocument/2006/relationships/hyperlink" Target="https://www.itu.int/md/S26-CL-C-0024/en" TargetMode="External"/><Relationship Id="rId40" Type="http://schemas.openxmlformats.org/officeDocument/2006/relationships/hyperlink" Target="https://www.itu.int/dms_pub/itu-d/md/26/tdag33/c/D26-TDAG33-C-0002!A2-R2!MSW-E.docx"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tu.int/md/S25-CL-C-0105/es" TargetMode="External"/><Relationship Id="rId23" Type="http://schemas.openxmlformats.org/officeDocument/2006/relationships/hyperlink" Target="https://www.itu.int/en/council/Documents/basic-texts-2023/RES-025-E.pdf" TargetMode="External"/><Relationship Id="rId28" Type="http://schemas.openxmlformats.org/officeDocument/2006/relationships/hyperlink" Target="https://www.itu.int/md/S25-CL-C-0105/es" TargetMode="External"/><Relationship Id="rId36" Type="http://schemas.openxmlformats.org/officeDocument/2006/relationships/hyperlink" Target="https://www.itu.int/md/S26-CL-C-0119/en" TargetMode="External"/><Relationship Id="rId10" Type="http://schemas.openxmlformats.org/officeDocument/2006/relationships/hyperlink" Target="https://www.itu.int/md/S26-CL-C-0024/en" TargetMode="External"/><Relationship Id="rId19" Type="http://schemas.openxmlformats.org/officeDocument/2006/relationships/hyperlink" Target="https://www.itu.int/md/S25-CL-C-0105/en" TargetMode="External"/><Relationship Id="rId31" Type="http://schemas.openxmlformats.org/officeDocument/2006/relationships/hyperlink" Target="https://www.itu.int/md/S26-CL-INF-0010/e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tu.int/md/S26-CL-INF-0010/es" TargetMode="External"/><Relationship Id="rId14" Type="http://schemas.openxmlformats.org/officeDocument/2006/relationships/hyperlink" Target="https://www.itu.int/en/council/Documents/basic-texts-2023/RES-025-E.pdf" TargetMode="External"/><Relationship Id="rId22" Type="http://schemas.openxmlformats.org/officeDocument/2006/relationships/hyperlink" Target="https://www.itu.int/en/council/Documents/basic-texts-2023/RES-025-E.pdf" TargetMode="External"/><Relationship Id="rId27" Type="http://schemas.openxmlformats.org/officeDocument/2006/relationships/hyperlink" Target="https://www.itu.int/md/S25-CWGFHR20-C-0032/en" TargetMode="External"/><Relationship Id="rId30" Type="http://schemas.openxmlformats.org/officeDocument/2006/relationships/hyperlink" Target="https://www.itu.int/md/S26-CL-C-0024/es" TargetMode="External"/><Relationship Id="rId35" Type="http://schemas.openxmlformats.org/officeDocument/2006/relationships/hyperlink" Target="https://www.itu.int/md/S26-CL-C-0024/es" TargetMode="External"/><Relationship Id="rId43" Type="http://schemas.openxmlformats.org/officeDocument/2006/relationships/footer" Target="footer1.xml"/><Relationship Id="rId8" Type="http://schemas.openxmlformats.org/officeDocument/2006/relationships/hyperlink" Target="https://www.itu.int/md/S26-CL-C-0024/en" TargetMode="External"/><Relationship Id="rId3" Type="http://schemas.openxmlformats.org/officeDocument/2006/relationships/settings" Target="settings.xml"/><Relationship Id="rId12" Type="http://schemas.openxmlformats.org/officeDocument/2006/relationships/hyperlink" Target="https://www.itu.int/en/council/Documents/basic-texts-2023/RES-025-E.pdf" TargetMode="External"/><Relationship Id="rId17" Type="http://schemas.openxmlformats.org/officeDocument/2006/relationships/hyperlink" Target="https://www.itu.int/md/S26-CL-INF-0010/es" TargetMode="External"/><Relationship Id="rId25" Type="http://schemas.openxmlformats.org/officeDocument/2006/relationships/hyperlink" Target="https://www.itu.int/md/S25-CWGFHR20-C-0032/es" TargetMode="External"/><Relationship Id="rId33" Type="http://schemas.openxmlformats.org/officeDocument/2006/relationships/hyperlink" Target="https://www.itu.int/md/S26-CL-INF-0010/en" TargetMode="External"/><Relationship Id="rId38" Type="http://schemas.openxmlformats.org/officeDocument/2006/relationships/hyperlink" Target="https://www.itu.int/md/S26-CL-C-0022/es" TargetMode="External"/><Relationship Id="rId20" Type="http://schemas.openxmlformats.org/officeDocument/2006/relationships/hyperlink" Target="https://www.itu.int/md/S26-CL-C-0024/en" TargetMode="External"/><Relationship Id="rId41" Type="http://schemas.openxmlformats.org/officeDocument/2006/relationships/hyperlink" Target="https://www.itu.int/dms_pub/itu-d/md/26/tdag33/c/D26-TDAG33-C-0002!A2-R2!MSW-E.doc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4ED38-9447-4C13-8B31-E5A766F54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5878</Words>
  <Characters>32272</Characters>
  <Application>Microsoft Office Word</Application>
  <DocSecurity>0</DocSecurity>
  <Lines>481</Lines>
  <Paragraphs>120</Paragraphs>
  <ScaleCrop>false</ScaleCrop>
  <HeadingPairs>
    <vt:vector size="2" baseType="variant">
      <vt:variant>
        <vt:lpstr>Title</vt:lpstr>
      </vt:variant>
      <vt:variant>
        <vt:i4>1</vt:i4>
      </vt:variant>
    </vt:vector>
  </HeadingPairs>
  <TitlesOfParts>
    <vt:vector size="1" baseType="lpstr">
      <vt:lpstr>Informe sobre el examen de la presencia regional de la UIT</vt:lpstr>
    </vt:vector>
  </TitlesOfParts>
  <Manager/>
  <Company/>
  <LinksUpToDate>false</LinksUpToDate>
  <CharactersWithSpaces>38030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el examen de la presencia regional de la UIT</dc:title>
  <dc:subject>ITU Plenipotentiary Conference (PP-26)</dc:subject>
  <cp:keywords>PP-26, PP26, ITU</cp:keywords>
  <dc:description/>
  <dcterms:created xsi:type="dcterms:W3CDTF">2026-10-12T16:42:00Z</dcterms:created>
  <dcterms:modified xsi:type="dcterms:W3CDTF">2026-10-12T16:45:00Z</dcterms:modified>
  <cp:category>Conference document</cp:category>
</cp:coreProperties>
</file>