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124698" w14:paraId="734C0D7C" w14:textId="77777777" w:rsidTr="004D7CC5">
        <w:trPr>
          <w:cantSplit/>
          <w:trHeight w:hRule="exact" w:val="1417"/>
        </w:trPr>
        <w:tc>
          <w:tcPr>
            <w:tcW w:w="10031" w:type="dxa"/>
            <w:gridSpan w:val="2"/>
            <w:tcMar>
              <w:left w:w="0" w:type="dxa"/>
              <w:right w:w="0" w:type="dxa"/>
            </w:tcMar>
            <w:vAlign w:val="center"/>
          </w:tcPr>
          <w:p w14:paraId="1A9C2534" w14:textId="20499BEE" w:rsidR="00161CDA" w:rsidRPr="00124698" w:rsidRDefault="003038E3" w:rsidP="003038E3">
            <w:pPr>
              <w:spacing w:before="0" w:line="240" w:lineRule="atLeast"/>
              <w:rPr>
                <w:rFonts w:cstheme="minorHAnsi"/>
              </w:rPr>
            </w:pPr>
            <w:r w:rsidRPr="00124698">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r w:rsidR="009A59BC">
              <w:rPr>
                <w:rFonts w:cstheme="minorHAnsi"/>
              </w:rPr>
              <w:t>065</w:t>
            </w:r>
          </w:p>
        </w:tc>
      </w:tr>
      <w:tr w:rsidR="00EF3B7A" w:rsidRPr="00124698" w14:paraId="03E02BBB" w14:textId="77777777" w:rsidTr="004D7CC5">
        <w:trPr>
          <w:cantSplit/>
          <w:trHeight w:val="283"/>
        </w:trPr>
        <w:tc>
          <w:tcPr>
            <w:tcW w:w="10031" w:type="dxa"/>
            <w:gridSpan w:val="2"/>
            <w:tcBorders>
              <w:bottom w:val="single" w:sz="12" w:space="0" w:color="71716F"/>
            </w:tcBorders>
          </w:tcPr>
          <w:p w14:paraId="47AE46D5" w14:textId="77777777" w:rsidR="00EF3B7A" w:rsidRPr="00124698" w:rsidRDefault="00EF3B7A" w:rsidP="003038E3">
            <w:pPr>
              <w:spacing w:before="0"/>
              <w:rPr>
                <w:rFonts w:cstheme="minorHAnsi"/>
                <w:szCs w:val="24"/>
              </w:rPr>
            </w:pPr>
            <w:bookmarkStart w:id="0" w:name="ditulogo"/>
            <w:bookmarkStart w:id="1" w:name="dhead"/>
            <w:bookmarkEnd w:id="0"/>
          </w:p>
        </w:tc>
      </w:tr>
      <w:tr w:rsidR="001A16ED" w:rsidRPr="00124698" w14:paraId="1EEAA76B" w14:textId="77777777" w:rsidTr="004D7CC5">
        <w:trPr>
          <w:cantSplit/>
          <w:trHeight w:val="255"/>
        </w:trPr>
        <w:tc>
          <w:tcPr>
            <w:tcW w:w="7230" w:type="dxa"/>
            <w:tcBorders>
              <w:top w:val="single" w:sz="12" w:space="0" w:color="71716F"/>
            </w:tcBorders>
          </w:tcPr>
          <w:p w14:paraId="49FA49F3" w14:textId="77777777" w:rsidR="001A16ED" w:rsidRPr="00124698"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21F3BEC7" w14:textId="77777777" w:rsidR="001A16ED" w:rsidRPr="00124698" w:rsidRDefault="001A16ED" w:rsidP="003038E3">
            <w:pPr>
              <w:spacing w:before="0"/>
              <w:rPr>
                <w:rFonts w:cstheme="minorHAnsi"/>
                <w:sz w:val="20"/>
              </w:rPr>
            </w:pPr>
          </w:p>
        </w:tc>
      </w:tr>
      <w:tr w:rsidR="001A16ED" w:rsidRPr="00124698" w14:paraId="5E527944" w14:textId="77777777" w:rsidTr="004D7CC5">
        <w:trPr>
          <w:cantSplit/>
          <w:trHeight w:val="23"/>
        </w:trPr>
        <w:tc>
          <w:tcPr>
            <w:tcW w:w="7230" w:type="dxa"/>
          </w:tcPr>
          <w:p w14:paraId="2B258685" w14:textId="77777777" w:rsidR="001A16ED" w:rsidRPr="00124698" w:rsidRDefault="0044665A" w:rsidP="003038E3">
            <w:pPr>
              <w:pStyle w:val="Committee"/>
              <w:spacing w:after="0"/>
              <w:rPr>
                <w:lang w:val="en-GB"/>
              </w:rPr>
            </w:pPr>
            <w:bookmarkStart w:id="2" w:name="dnum" w:colFirst="1" w:colLast="1"/>
            <w:bookmarkStart w:id="3" w:name="dmeeting" w:colFirst="0" w:colLast="0"/>
            <w:bookmarkEnd w:id="1"/>
            <w:r w:rsidRPr="00124698">
              <w:rPr>
                <w:lang w:val="en-GB"/>
              </w:rPr>
              <w:t>PLENARY MEETING</w:t>
            </w:r>
          </w:p>
        </w:tc>
        <w:tc>
          <w:tcPr>
            <w:tcW w:w="2801" w:type="dxa"/>
            <w:tcMar>
              <w:right w:w="0" w:type="dxa"/>
            </w:tcMar>
          </w:tcPr>
          <w:p w14:paraId="59A65D34" w14:textId="7041D793" w:rsidR="001A16ED" w:rsidRPr="00124698" w:rsidRDefault="0044665A" w:rsidP="00AA6D0C">
            <w:pPr>
              <w:pStyle w:val="Data"/>
              <w:framePr w:hSpace="0" w:wrap="auto" w:hAnchor="text" w:xAlign="left" w:yAlign="inline"/>
            </w:pPr>
            <w:r w:rsidRPr="00124698">
              <w:t xml:space="preserve">Document </w:t>
            </w:r>
            <w:r w:rsidR="00EC48DD">
              <w:t>64</w:t>
            </w:r>
            <w:r w:rsidRPr="00124698">
              <w:t>-E</w:t>
            </w:r>
          </w:p>
        </w:tc>
      </w:tr>
      <w:tr w:rsidR="001A16ED" w:rsidRPr="00124698" w14:paraId="448CB77B" w14:textId="77777777" w:rsidTr="004D7CC5">
        <w:trPr>
          <w:cantSplit/>
          <w:trHeight w:val="23"/>
        </w:trPr>
        <w:tc>
          <w:tcPr>
            <w:tcW w:w="7230" w:type="dxa"/>
          </w:tcPr>
          <w:p w14:paraId="1D031CB1" w14:textId="77777777" w:rsidR="001A16ED" w:rsidRPr="00124698"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B7076DD" w14:textId="7DC04A36" w:rsidR="001A16ED" w:rsidRPr="00124698" w:rsidRDefault="00DB4E9A" w:rsidP="005E7454">
            <w:pPr>
              <w:pStyle w:val="Data"/>
              <w:framePr w:hSpace="0" w:wrap="auto" w:hAnchor="text" w:xAlign="left" w:yAlign="inline"/>
            </w:pPr>
            <w:r>
              <w:t>5 October</w:t>
            </w:r>
            <w:r w:rsidR="00116E4B">
              <w:t xml:space="preserve"> 2026</w:t>
            </w:r>
          </w:p>
        </w:tc>
      </w:tr>
      <w:tr w:rsidR="001A16ED" w:rsidRPr="00124698" w14:paraId="6BAA474B" w14:textId="77777777" w:rsidTr="004D7CC5">
        <w:trPr>
          <w:cantSplit/>
          <w:trHeight w:val="23"/>
        </w:trPr>
        <w:tc>
          <w:tcPr>
            <w:tcW w:w="7230" w:type="dxa"/>
          </w:tcPr>
          <w:p w14:paraId="6567B030" w14:textId="77777777" w:rsidR="001A16ED" w:rsidRPr="00124698"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5DF1EB7" w14:textId="77777777" w:rsidR="001A16ED" w:rsidRPr="00124698" w:rsidRDefault="0044665A" w:rsidP="005E7454">
            <w:pPr>
              <w:pStyle w:val="Data"/>
              <w:framePr w:hSpace="0" w:wrap="auto" w:hAnchor="text" w:xAlign="left" w:yAlign="inline"/>
            </w:pPr>
            <w:r w:rsidRPr="00124698">
              <w:t>Original: English</w:t>
            </w:r>
          </w:p>
        </w:tc>
      </w:tr>
      <w:tr w:rsidR="001A16ED" w:rsidRPr="00124698" w14:paraId="3F5CCC0C" w14:textId="77777777" w:rsidTr="004D7CC5">
        <w:trPr>
          <w:cantSplit/>
          <w:trHeight w:val="23"/>
        </w:trPr>
        <w:tc>
          <w:tcPr>
            <w:tcW w:w="10031" w:type="dxa"/>
            <w:gridSpan w:val="2"/>
          </w:tcPr>
          <w:p w14:paraId="7E7DE8E6" w14:textId="77777777" w:rsidR="001A16ED" w:rsidRPr="00124698" w:rsidRDefault="001A16ED" w:rsidP="003038E3">
            <w:pPr>
              <w:tabs>
                <w:tab w:val="left" w:pos="993"/>
              </w:tabs>
              <w:rPr>
                <w:rFonts w:ascii="Verdana" w:hAnsi="Verdana"/>
                <w:b/>
                <w:szCs w:val="24"/>
              </w:rPr>
            </w:pPr>
          </w:p>
        </w:tc>
      </w:tr>
      <w:tr w:rsidR="001A16ED" w:rsidRPr="00124698" w14:paraId="10160C23" w14:textId="77777777" w:rsidTr="004D7CC5">
        <w:trPr>
          <w:cantSplit/>
          <w:trHeight w:val="23"/>
        </w:trPr>
        <w:tc>
          <w:tcPr>
            <w:tcW w:w="10031" w:type="dxa"/>
            <w:gridSpan w:val="2"/>
          </w:tcPr>
          <w:p w14:paraId="660CB203" w14:textId="1D35363A" w:rsidR="001A16ED" w:rsidRPr="00124698" w:rsidRDefault="000608AD" w:rsidP="003038E3">
            <w:pPr>
              <w:pStyle w:val="Source"/>
            </w:pPr>
            <w:r w:rsidRPr="00124698">
              <w:t>Report by the Secretary-General</w:t>
            </w:r>
          </w:p>
        </w:tc>
      </w:tr>
      <w:tr w:rsidR="001A16ED" w:rsidRPr="00124698" w14:paraId="77CA32CC" w14:textId="77777777" w:rsidTr="004D7CC5">
        <w:trPr>
          <w:cantSplit/>
          <w:trHeight w:val="23"/>
        </w:trPr>
        <w:tc>
          <w:tcPr>
            <w:tcW w:w="10031" w:type="dxa"/>
            <w:gridSpan w:val="2"/>
          </w:tcPr>
          <w:p w14:paraId="38DC5589" w14:textId="60FEDCF1" w:rsidR="001A16ED" w:rsidRPr="00124698" w:rsidRDefault="00124698" w:rsidP="003038E3">
            <w:pPr>
              <w:pStyle w:val="Title1"/>
            </w:pPr>
            <w:r w:rsidRPr="00124698">
              <w:rPr>
                <w:caps w:val="0"/>
              </w:rPr>
              <w:t>REPORT ON THE REVIEW OF THE ITU REGIONAL PRESENCE</w:t>
            </w:r>
          </w:p>
        </w:tc>
      </w:tr>
      <w:tr w:rsidR="001A16ED" w:rsidRPr="00124698" w14:paraId="112ABE82" w14:textId="77777777" w:rsidTr="004D7CC5">
        <w:trPr>
          <w:cantSplit/>
          <w:trHeight w:val="23"/>
        </w:trPr>
        <w:tc>
          <w:tcPr>
            <w:tcW w:w="10031" w:type="dxa"/>
            <w:gridSpan w:val="2"/>
          </w:tcPr>
          <w:p w14:paraId="230BA7A2" w14:textId="5529BDCF" w:rsidR="001A16ED" w:rsidRPr="00124698" w:rsidRDefault="001A16ED" w:rsidP="003038E3">
            <w:pPr>
              <w:pStyle w:val="Title2"/>
            </w:pPr>
          </w:p>
        </w:tc>
      </w:tr>
      <w:tr w:rsidR="001A16ED" w:rsidRPr="00124698" w14:paraId="06765B18" w14:textId="77777777" w:rsidTr="004D7CC5">
        <w:trPr>
          <w:cantSplit/>
          <w:trHeight w:val="23"/>
        </w:trPr>
        <w:tc>
          <w:tcPr>
            <w:tcW w:w="10031" w:type="dxa"/>
            <w:gridSpan w:val="2"/>
          </w:tcPr>
          <w:p w14:paraId="2FDB2DBC" w14:textId="77777777" w:rsidR="001A16ED" w:rsidRPr="00124698" w:rsidRDefault="001A16ED" w:rsidP="003038E3">
            <w:pPr>
              <w:pStyle w:val="Agendaitem"/>
              <w:rPr>
                <w:lang w:val="en-GB"/>
              </w:rPr>
            </w:pPr>
          </w:p>
        </w:tc>
      </w:tr>
      <w:bookmarkEnd w:id="6"/>
      <w:bookmarkEnd w:id="7"/>
    </w:tbl>
    <w:p w14:paraId="652942FB" w14:textId="77777777" w:rsidR="00717843" w:rsidRDefault="00717843" w:rsidP="00AB2D04"/>
    <w:tbl>
      <w:tblPr>
        <w:tblStyle w:val="TableGrid"/>
        <w:tblW w:w="0" w:type="auto"/>
        <w:jc w:val="center"/>
        <w:tblLook w:val="04A0" w:firstRow="1" w:lastRow="0" w:firstColumn="1" w:lastColumn="0" w:noHBand="0" w:noVBand="1"/>
      </w:tblPr>
      <w:tblGrid>
        <w:gridCol w:w="7937"/>
      </w:tblGrid>
      <w:tr w:rsidR="00D74A45" w14:paraId="3006CAE4" w14:textId="77777777" w:rsidTr="73249A48">
        <w:trPr>
          <w:trHeight w:val="3402"/>
          <w:jc w:val="center"/>
        </w:trPr>
        <w:tc>
          <w:tcPr>
            <w:tcW w:w="7937" w:type="dxa"/>
          </w:tcPr>
          <w:p w14:paraId="6F16CB0D" w14:textId="77777777" w:rsidR="00D74A45" w:rsidRDefault="00D74A45" w:rsidP="00D74A45">
            <w:pPr>
              <w:pStyle w:val="Headingb"/>
            </w:pPr>
            <w:r w:rsidRPr="00173340">
              <w:t>Summary</w:t>
            </w:r>
          </w:p>
          <w:p w14:paraId="50D3533A" w14:textId="1A2E5E3D" w:rsidR="00A45484" w:rsidRPr="00124698" w:rsidRDefault="003F2EE2" w:rsidP="00A45484">
            <w:pPr>
              <w:jc w:val="both"/>
              <w:rPr>
                <w:rFonts w:asciiTheme="minorHAnsi" w:hAnsiTheme="minorHAnsi" w:cstheme="minorHAnsi"/>
                <w:sz w:val="18"/>
                <w:szCs w:val="18"/>
              </w:rPr>
            </w:pPr>
            <w:r w:rsidRPr="00124698">
              <w:rPr>
                <w:rFonts w:asciiTheme="minorHAnsi" w:hAnsiTheme="minorHAnsi" w:cstheme="minorHAnsi"/>
              </w:rPr>
              <w:t xml:space="preserve">The document provides an update on the review of </w:t>
            </w:r>
            <w:r w:rsidR="00A45484">
              <w:rPr>
                <w:rFonts w:asciiTheme="minorHAnsi" w:hAnsiTheme="minorHAnsi" w:cstheme="minorHAnsi"/>
              </w:rPr>
              <w:t xml:space="preserve">the </w:t>
            </w:r>
            <w:r w:rsidRPr="00124698">
              <w:rPr>
                <w:rFonts w:asciiTheme="minorHAnsi" w:hAnsiTheme="minorHAnsi" w:cstheme="minorHAnsi"/>
              </w:rPr>
              <w:t xml:space="preserve">ITU Regional Presence, undertaken pursuant to </w:t>
            </w:r>
            <w:r w:rsidR="00D8137F">
              <w:rPr>
                <w:rFonts w:asciiTheme="minorHAnsi" w:hAnsiTheme="minorHAnsi" w:cstheme="minorHAnsi"/>
              </w:rPr>
              <w:t xml:space="preserve">the </w:t>
            </w:r>
            <w:r w:rsidRPr="00124698">
              <w:rPr>
                <w:rFonts w:asciiTheme="minorHAnsi" w:hAnsiTheme="minorHAnsi" w:cstheme="minorHAnsi"/>
              </w:rPr>
              <w:t>Council-2</w:t>
            </w:r>
            <w:r>
              <w:rPr>
                <w:rFonts w:asciiTheme="minorHAnsi" w:hAnsiTheme="minorHAnsi" w:cstheme="minorHAnsi"/>
              </w:rPr>
              <w:t xml:space="preserve">6 decision following the presentation of </w:t>
            </w:r>
            <w:r w:rsidR="00D8137F">
              <w:rPr>
                <w:rFonts w:asciiTheme="minorHAnsi" w:hAnsiTheme="minorHAnsi" w:cstheme="minorHAnsi"/>
              </w:rPr>
              <w:t xml:space="preserve">Council </w:t>
            </w:r>
            <w:r w:rsidR="0055663A">
              <w:rPr>
                <w:rFonts w:asciiTheme="minorHAnsi" w:hAnsiTheme="minorHAnsi" w:cstheme="minorHAnsi"/>
              </w:rPr>
              <w:t xml:space="preserve">Document </w:t>
            </w:r>
            <w:hyperlink r:id="rId12" w:history="1">
              <w:r w:rsidRPr="003F2EE2">
                <w:rPr>
                  <w:rStyle w:val="Hyperlink"/>
                  <w:rFonts w:asciiTheme="minorHAnsi" w:hAnsiTheme="minorHAnsi" w:cstheme="minorHAnsi"/>
                </w:rPr>
                <w:t>C26/24</w:t>
              </w:r>
            </w:hyperlink>
            <w:r w:rsidR="00D8137F">
              <w:rPr>
                <w:rFonts w:asciiTheme="minorHAnsi" w:hAnsiTheme="minorHAnsi" w:cstheme="minorHAnsi"/>
              </w:rPr>
              <w:t xml:space="preserve"> that reported the main </w:t>
            </w:r>
            <w:r w:rsidR="00D8137F" w:rsidRPr="00124698">
              <w:rPr>
                <w:rFonts w:asciiTheme="minorHAnsi" w:hAnsiTheme="minorHAnsi" w:cstheme="minorHAnsi"/>
                <w:color w:val="000000" w:themeColor="text1"/>
              </w:rPr>
              <w:t>findings of the review</w:t>
            </w:r>
            <w:r w:rsidR="00D8137F">
              <w:rPr>
                <w:rFonts w:asciiTheme="minorHAnsi" w:hAnsiTheme="minorHAnsi" w:cstheme="minorHAnsi"/>
              </w:rPr>
              <w:t xml:space="preserve"> supported by </w:t>
            </w:r>
            <w:r w:rsidR="00D8137F" w:rsidRPr="00124698">
              <w:rPr>
                <w:rFonts w:asciiTheme="minorHAnsi" w:hAnsiTheme="minorHAnsi" w:cstheme="minorHAnsi"/>
              </w:rPr>
              <w:t>information Document </w:t>
            </w:r>
            <w:hyperlink r:id="rId13">
              <w:r w:rsidR="00D8137F" w:rsidRPr="00124698">
                <w:rPr>
                  <w:rStyle w:val="Hyperlink"/>
                  <w:rFonts w:asciiTheme="minorHAnsi" w:hAnsiTheme="minorHAnsi" w:cstheme="minorHAnsi"/>
                </w:rPr>
                <w:t>C26/INF/10</w:t>
              </w:r>
            </w:hyperlink>
            <w:r w:rsidR="00D8137F">
              <w:t xml:space="preserve"> </w:t>
            </w:r>
            <w:r w:rsidR="00D8137F" w:rsidRPr="00124698">
              <w:rPr>
                <w:rFonts w:asciiTheme="minorHAnsi" w:hAnsiTheme="minorHAnsi" w:cstheme="minorHAnsi"/>
              </w:rPr>
              <w:t>that contain</w:t>
            </w:r>
            <w:r w:rsidR="00D8137F">
              <w:rPr>
                <w:rFonts w:asciiTheme="minorHAnsi" w:hAnsiTheme="minorHAnsi" w:cstheme="minorHAnsi"/>
              </w:rPr>
              <w:t>ed</w:t>
            </w:r>
            <w:r w:rsidR="00D8137F" w:rsidRPr="00124698">
              <w:rPr>
                <w:rFonts w:asciiTheme="minorHAnsi" w:hAnsiTheme="minorHAnsi" w:cstheme="minorHAnsi"/>
              </w:rPr>
              <w:t xml:space="preserve"> the detailed report</w:t>
            </w:r>
            <w:r w:rsidR="00D8137F">
              <w:rPr>
                <w:rFonts w:asciiTheme="minorHAnsi" w:hAnsiTheme="minorHAnsi" w:cstheme="minorHAnsi"/>
              </w:rPr>
              <w:t xml:space="preserve"> on the </w:t>
            </w:r>
            <w:r w:rsidR="00A45484">
              <w:rPr>
                <w:rFonts w:asciiTheme="minorHAnsi" w:hAnsiTheme="minorHAnsi" w:cstheme="minorHAnsi"/>
              </w:rPr>
              <w:t xml:space="preserve">review. The </w:t>
            </w:r>
            <w:r w:rsidR="00A45484" w:rsidRPr="00124698">
              <w:rPr>
                <w:rFonts w:asciiTheme="minorHAnsi" w:hAnsiTheme="minorHAnsi" w:cstheme="minorHAnsi"/>
              </w:rPr>
              <w:t xml:space="preserve">update </w:t>
            </w:r>
            <w:r w:rsidR="00A45484">
              <w:rPr>
                <w:rFonts w:asciiTheme="minorHAnsi" w:hAnsiTheme="minorHAnsi" w:cstheme="minorHAnsi"/>
              </w:rPr>
              <w:t xml:space="preserve">addresses </w:t>
            </w:r>
            <w:r w:rsidR="00A45484" w:rsidRPr="00124698">
              <w:rPr>
                <w:rFonts w:asciiTheme="minorHAnsi" w:hAnsiTheme="minorHAnsi" w:cstheme="minorHAnsi"/>
              </w:rPr>
              <w:t xml:space="preserve">comments </w:t>
            </w:r>
            <w:r w:rsidR="00A45484">
              <w:rPr>
                <w:rFonts w:asciiTheme="minorHAnsi" w:hAnsiTheme="minorHAnsi" w:cstheme="minorHAnsi"/>
              </w:rPr>
              <w:t>received from</w:t>
            </w:r>
            <w:r w:rsidR="00A45484" w:rsidRPr="00124698">
              <w:rPr>
                <w:rFonts w:asciiTheme="minorHAnsi" w:hAnsiTheme="minorHAnsi" w:cstheme="minorHAnsi"/>
              </w:rPr>
              <w:t xml:space="preserve"> councillors and </w:t>
            </w:r>
            <w:r w:rsidR="00A45484">
              <w:rPr>
                <w:rFonts w:asciiTheme="minorHAnsi" w:hAnsiTheme="minorHAnsi" w:cstheme="minorHAnsi"/>
              </w:rPr>
              <w:t xml:space="preserve">the </w:t>
            </w:r>
            <w:r w:rsidR="00A45484" w:rsidRPr="00124698">
              <w:rPr>
                <w:rFonts w:asciiTheme="minorHAnsi" w:hAnsiTheme="minorHAnsi" w:cstheme="minorHAnsi"/>
                <w:color w:val="000000" w:themeColor="text1"/>
              </w:rPr>
              <w:t xml:space="preserve">Independent Management Advisory Committee </w:t>
            </w:r>
            <w:r w:rsidR="00A45484">
              <w:rPr>
                <w:rFonts w:asciiTheme="minorHAnsi" w:hAnsiTheme="minorHAnsi" w:cstheme="minorHAnsi"/>
                <w:color w:val="000000" w:themeColor="text1"/>
              </w:rPr>
              <w:t>(</w:t>
            </w:r>
            <w:r w:rsidR="00A45484" w:rsidRPr="00124698">
              <w:rPr>
                <w:rFonts w:asciiTheme="minorHAnsi" w:hAnsiTheme="minorHAnsi" w:cstheme="minorHAnsi"/>
              </w:rPr>
              <w:t>IMAC</w:t>
            </w:r>
            <w:r w:rsidR="00A45484">
              <w:rPr>
                <w:rFonts w:asciiTheme="minorHAnsi" w:hAnsiTheme="minorHAnsi" w:cstheme="minorHAnsi"/>
              </w:rPr>
              <w:t>)</w:t>
            </w:r>
            <w:r w:rsidR="00A45484" w:rsidRPr="00124698">
              <w:rPr>
                <w:rFonts w:asciiTheme="minorHAnsi" w:hAnsiTheme="minorHAnsi" w:cstheme="minorHAnsi"/>
              </w:rPr>
              <w:t xml:space="preserve">. </w:t>
            </w:r>
          </w:p>
          <w:p w14:paraId="24B42369" w14:textId="77777777" w:rsidR="00D74A45" w:rsidRPr="00B64995" w:rsidRDefault="00D74A45" w:rsidP="00D74A45">
            <w:pPr>
              <w:pStyle w:val="Headingb"/>
            </w:pPr>
            <w:r w:rsidRPr="00B64995">
              <w:t>Action required</w:t>
            </w:r>
          </w:p>
          <w:p w14:paraId="2DBF2DBD" w14:textId="6F6BBF36" w:rsidR="00D74A45" w:rsidRDefault="00D74A45" w:rsidP="00D74A45">
            <w:pPr>
              <w:jc w:val="both"/>
            </w:pPr>
            <w:r>
              <w:t xml:space="preserve">The Plenipotentiary is invited to </w:t>
            </w:r>
            <w:r w:rsidR="00817D5A" w:rsidRPr="0055663A">
              <w:rPr>
                <w:b/>
                <w:bCs/>
              </w:rPr>
              <w:t>consider</w:t>
            </w:r>
            <w:r>
              <w:t xml:space="preserve"> th</w:t>
            </w:r>
            <w:r w:rsidR="00817D5A">
              <w:t>is</w:t>
            </w:r>
            <w:r>
              <w:t xml:space="preserve"> report.</w:t>
            </w:r>
          </w:p>
          <w:p w14:paraId="4BDA91A5" w14:textId="5CE7F574" w:rsidR="00816680" w:rsidRPr="009B4166" w:rsidRDefault="1C2823FB" w:rsidP="00816680">
            <w:pPr>
              <w:spacing w:before="160"/>
              <w:rPr>
                <w:b/>
                <w:bCs/>
              </w:rPr>
            </w:pPr>
            <w:r w:rsidRPr="73249A48">
              <w:rPr>
                <w:b/>
                <w:bCs/>
              </w:rPr>
              <w:t>Financial implications</w:t>
            </w:r>
          </w:p>
          <w:p w14:paraId="1B124B46" w14:textId="3728E90F" w:rsidR="00816680" w:rsidRDefault="76F03D32" w:rsidP="00816680">
            <w:r>
              <w:t>Within the allocated budget</w:t>
            </w:r>
            <w:r w:rsidR="00BB312B">
              <w:t>.</w:t>
            </w:r>
          </w:p>
          <w:p w14:paraId="55DC4FDA" w14:textId="77777777" w:rsidR="00D74A45" w:rsidRDefault="00D74A45">
            <w:pPr>
              <w:jc w:val="center"/>
            </w:pPr>
            <w:r>
              <w:t>______________</w:t>
            </w:r>
          </w:p>
          <w:p w14:paraId="382F8E54" w14:textId="77777777" w:rsidR="00D74A45" w:rsidRPr="00173340" w:rsidRDefault="00D74A45" w:rsidP="00D74A45">
            <w:pPr>
              <w:pStyle w:val="Headingb"/>
            </w:pPr>
            <w:r w:rsidRPr="00173340">
              <w:t>References</w:t>
            </w:r>
          </w:p>
          <w:p w14:paraId="2DFBCD7C" w14:textId="3C467B1E" w:rsidR="00D74A45" w:rsidRPr="0055663A" w:rsidRDefault="00D74A45" w:rsidP="0055663A">
            <w:pPr>
              <w:spacing w:after="120"/>
              <w:rPr>
                <w:sz w:val="22"/>
                <w:szCs w:val="22"/>
              </w:rPr>
            </w:pPr>
            <w:r w:rsidRPr="0055663A">
              <w:rPr>
                <w:i/>
                <w:sz w:val="22"/>
                <w:szCs w:val="22"/>
              </w:rPr>
              <w:t>Resolution</w:t>
            </w:r>
            <w:r w:rsidR="007F5F84" w:rsidRPr="0055663A">
              <w:rPr>
                <w:i/>
                <w:sz w:val="22"/>
                <w:szCs w:val="22"/>
              </w:rPr>
              <w:t xml:space="preserve"> </w:t>
            </w:r>
            <w:hyperlink r:id="rId14" w:history="1">
              <w:r w:rsidR="0055663A" w:rsidRPr="0055663A">
                <w:rPr>
                  <w:rStyle w:val="Hyperlink"/>
                  <w:i/>
                  <w:sz w:val="22"/>
                  <w:szCs w:val="22"/>
                </w:rPr>
                <w:t>25 (Rev. Bucharest, 2022)</w:t>
              </w:r>
            </w:hyperlink>
            <w:r w:rsidR="007F5F84" w:rsidRPr="0055663A">
              <w:rPr>
                <w:i/>
                <w:sz w:val="22"/>
                <w:szCs w:val="22"/>
              </w:rPr>
              <w:t xml:space="preserve"> </w:t>
            </w:r>
            <w:r w:rsidR="00557E05">
              <w:rPr>
                <w:i/>
                <w:sz w:val="22"/>
                <w:szCs w:val="22"/>
              </w:rPr>
              <w:t>of the Plenipotentiary Conference</w:t>
            </w:r>
          </w:p>
        </w:tc>
      </w:tr>
    </w:tbl>
    <w:p w14:paraId="4C53E102" w14:textId="77777777" w:rsidR="00717843" w:rsidRPr="00124698" w:rsidRDefault="00717843" w:rsidP="00D74A45">
      <w:pPr>
        <w:spacing w:before="0"/>
      </w:pPr>
    </w:p>
    <w:p w14:paraId="2A6E812A" w14:textId="77777777" w:rsidR="000608AD" w:rsidRPr="00124698" w:rsidRDefault="001A16ED" w:rsidP="00D74A45">
      <w:pPr>
        <w:spacing w:before="0"/>
      </w:pPr>
      <w:r w:rsidRPr="00124698">
        <w:br w:type="page"/>
      </w:r>
    </w:p>
    <w:p w14:paraId="485CBF5B" w14:textId="0D0C42E2" w:rsidR="000608AD" w:rsidRPr="00124698" w:rsidRDefault="000608AD" w:rsidP="000608AD">
      <w:pPr>
        <w:pStyle w:val="Headingb"/>
      </w:pPr>
      <w:r w:rsidRPr="00124698">
        <w:lastRenderedPageBreak/>
        <w:t xml:space="preserve">Purpose </w:t>
      </w:r>
    </w:p>
    <w:p w14:paraId="2925DB1B" w14:textId="7C8DEBFA" w:rsidR="000608AD" w:rsidRPr="0066303D" w:rsidRDefault="000608AD" w:rsidP="00595628">
      <w:pPr>
        <w:jc w:val="both"/>
        <w:rPr>
          <w:sz w:val="18"/>
          <w:szCs w:val="18"/>
        </w:rPr>
      </w:pPr>
      <w:r w:rsidRPr="0066303D">
        <w:t xml:space="preserve">The document provides an update on the review of ITU’s Regional Presence, undertaken pursuant to Council-25 recommendations and Resolution </w:t>
      </w:r>
      <w:hyperlink r:id="rId15">
        <w:r w:rsidRPr="0066303D">
          <w:rPr>
            <w:rStyle w:val="Hyperlink"/>
            <w:rFonts w:asciiTheme="minorHAnsi" w:hAnsiTheme="minorHAnsi" w:cstheme="minorHAnsi"/>
            <w:spacing w:val="-2"/>
          </w:rPr>
          <w:t>25 (Rev.</w:t>
        </w:r>
        <w:r w:rsidR="00A5191E" w:rsidRPr="0066303D">
          <w:rPr>
            <w:rStyle w:val="Hyperlink"/>
            <w:rFonts w:asciiTheme="minorHAnsi" w:hAnsiTheme="minorHAnsi" w:cstheme="minorHAnsi"/>
            <w:spacing w:val="-2"/>
          </w:rPr>
          <w:t> </w:t>
        </w:r>
        <w:r w:rsidRPr="0066303D">
          <w:rPr>
            <w:rStyle w:val="Hyperlink"/>
            <w:rFonts w:asciiTheme="minorHAnsi" w:hAnsiTheme="minorHAnsi" w:cstheme="minorHAnsi"/>
            <w:spacing w:val="-2"/>
          </w:rPr>
          <w:t>Bucharest, 2022)</w:t>
        </w:r>
      </w:hyperlink>
      <w:r w:rsidRPr="0066303D">
        <w:t>, which requires a satisfaction survey of Member States, Sector Members and regional telecommunication organizations before each Plenipotentiary Conference. The review of the ITU Regional Presence was</w:t>
      </w:r>
      <w:r w:rsidR="0032669E" w:rsidRPr="0066303D">
        <w:t xml:space="preserve"> </w:t>
      </w:r>
      <w:r w:rsidRPr="0066303D">
        <w:t xml:space="preserve">undertaken in accordance with the terms of reference contained in the recommendations of Council-25 (Report by the Chair of the Standing Committee on Administration and Management, </w:t>
      </w:r>
      <w:r w:rsidR="0032669E" w:rsidRPr="0066303D">
        <w:t>Document</w:t>
      </w:r>
      <w:r w:rsidR="00A5191E" w:rsidRPr="0066303D">
        <w:t> </w:t>
      </w:r>
      <w:hyperlink r:id="rId16">
        <w:r w:rsidR="0032669E" w:rsidRPr="0066303D">
          <w:rPr>
            <w:rStyle w:val="Hyperlink"/>
            <w:rFonts w:asciiTheme="minorHAnsi" w:hAnsiTheme="minorHAnsi" w:cstheme="minorHAnsi"/>
            <w:spacing w:val="-2"/>
          </w:rPr>
          <w:t>C25/105</w:t>
        </w:r>
      </w:hyperlink>
      <w:r w:rsidRPr="0066303D">
        <w:t xml:space="preserve"> (section 26 and Annex</w:t>
      </w:r>
      <w:r w:rsidR="0032669E" w:rsidRPr="0066303D">
        <w:t>es</w:t>
      </w:r>
      <w:r w:rsidRPr="0066303D">
        <w:t xml:space="preserve"> H and A (Annex 1)). The main findings of the review</w:t>
      </w:r>
      <w:r w:rsidR="00AA265C" w:rsidRPr="0066303D">
        <w:t xml:space="preserve"> </w:t>
      </w:r>
      <w:r w:rsidRPr="0066303D">
        <w:t xml:space="preserve">were presented to Council-26 in </w:t>
      </w:r>
      <w:r w:rsidR="00AA265C" w:rsidRPr="0066303D">
        <w:t>Document</w:t>
      </w:r>
      <w:r w:rsidR="00A5191E" w:rsidRPr="0066303D">
        <w:t> </w:t>
      </w:r>
      <w:hyperlink r:id="rId17">
        <w:r w:rsidRPr="0066303D">
          <w:rPr>
            <w:rStyle w:val="Hyperlink"/>
            <w:rFonts w:asciiTheme="minorHAnsi" w:hAnsiTheme="minorHAnsi" w:cstheme="minorHAnsi"/>
            <w:spacing w:val="-2"/>
          </w:rPr>
          <w:t>C26/24</w:t>
        </w:r>
      </w:hyperlink>
      <w:r w:rsidRPr="0066303D">
        <w:t xml:space="preserve">, </w:t>
      </w:r>
      <w:r w:rsidRPr="0066303D">
        <w:rPr>
          <w:rFonts w:eastAsia="Aptos"/>
        </w:rPr>
        <w:t xml:space="preserve">supported by </w:t>
      </w:r>
      <w:r w:rsidRPr="0066303D">
        <w:t xml:space="preserve">an information </w:t>
      </w:r>
      <w:r w:rsidR="00AA265C" w:rsidRPr="0066303D">
        <w:t>Document</w:t>
      </w:r>
      <w:r w:rsidR="004E14C1" w:rsidRPr="0066303D">
        <w:t> </w:t>
      </w:r>
      <w:hyperlink r:id="rId18">
        <w:r w:rsidRPr="0066303D">
          <w:rPr>
            <w:rStyle w:val="Hyperlink"/>
            <w:rFonts w:asciiTheme="minorHAnsi" w:hAnsiTheme="minorHAnsi" w:cstheme="minorHAnsi"/>
            <w:spacing w:val="-2"/>
          </w:rPr>
          <w:t>C26/INF/10</w:t>
        </w:r>
      </w:hyperlink>
      <w:r w:rsidR="00AA265C" w:rsidRPr="0066303D">
        <w:t xml:space="preserve"> t</w:t>
      </w:r>
      <w:r w:rsidRPr="0066303D">
        <w:t>hat contains the detailed report.</w:t>
      </w:r>
      <w:r w:rsidR="00AA265C" w:rsidRPr="0066303D">
        <w:t xml:space="preserve"> This document provides an update responding to comments by councillors, and </w:t>
      </w:r>
      <w:r w:rsidR="00D56A7E" w:rsidRPr="0066303D">
        <w:t xml:space="preserve">the </w:t>
      </w:r>
      <w:r w:rsidR="00D56A7E" w:rsidRPr="0066303D">
        <w:rPr>
          <w:color w:val="000000" w:themeColor="text1"/>
        </w:rPr>
        <w:t>Independent Management Advisory Committee (</w:t>
      </w:r>
      <w:r w:rsidR="00AA265C" w:rsidRPr="0066303D">
        <w:t>IMAC</w:t>
      </w:r>
      <w:r w:rsidR="00D56A7E" w:rsidRPr="0066303D">
        <w:t>)</w:t>
      </w:r>
      <w:r w:rsidR="00AA265C" w:rsidRPr="0066303D">
        <w:t>.</w:t>
      </w:r>
      <w:r w:rsidRPr="0066303D">
        <w:t xml:space="preserve"> </w:t>
      </w:r>
    </w:p>
    <w:p w14:paraId="2C535481" w14:textId="77777777" w:rsidR="000608AD" w:rsidRPr="00124698" w:rsidRDefault="000608AD" w:rsidP="000608AD">
      <w:pPr>
        <w:pStyle w:val="Headingb"/>
        <w:rPr>
          <w:rStyle w:val="eop"/>
          <w:rFonts w:ascii="Aptos" w:hAnsi="Aptos" w:cs="Segoe UI"/>
          <w:color w:val="000000"/>
          <w:bdr w:val="none" w:sz="0" w:space="0" w:color="auto" w:frame="1"/>
          <w:shd w:val="clear" w:color="auto" w:fill="C6C6C6"/>
        </w:rPr>
      </w:pPr>
      <w:r w:rsidRPr="00124698">
        <w:t>Background</w:t>
      </w:r>
    </w:p>
    <w:p w14:paraId="13DDAD76" w14:textId="38088C7B" w:rsidR="000608AD" w:rsidRPr="00124698" w:rsidRDefault="000608AD" w:rsidP="004E14C1">
      <w:pPr>
        <w:jc w:val="both"/>
        <w:rPr>
          <w:rStyle w:val="eop"/>
          <w:rFonts w:cs="Segoe UI"/>
          <w:color w:val="000000"/>
          <w:spacing w:val="-2"/>
          <w:bdr w:val="none" w:sz="0" w:space="0" w:color="auto" w:frame="1"/>
          <w:shd w:val="clear" w:color="auto" w:fill="C6C6C6"/>
        </w:rPr>
      </w:pPr>
      <w:r w:rsidRPr="00124698">
        <w:rPr>
          <w:rFonts w:cs="Segoe UI"/>
          <w:color w:val="000000"/>
          <w:spacing w:val="-2"/>
        </w:rPr>
        <w:t>At its 19</w:t>
      </w:r>
      <w:r w:rsidR="00AA265C" w:rsidRPr="00124698">
        <w:rPr>
          <w:rFonts w:cs="Segoe UI"/>
          <w:color w:val="000000"/>
          <w:spacing w:val="-2"/>
          <w:vertAlign w:val="superscript"/>
        </w:rPr>
        <w:t>th</w:t>
      </w:r>
      <w:r w:rsidR="00AA265C" w:rsidRPr="00124698">
        <w:rPr>
          <w:rFonts w:cs="Segoe UI"/>
          <w:color w:val="000000"/>
          <w:spacing w:val="-2"/>
        </w:rPr>
        <w:t xml:space="preserve"> </w:t>
      </w:r>
      <w:r w:rsidRPr="00124698">
        <w:rPr>
          <w:rFonts w:cs="Segoe UI"/>
          <w:color w:val="000000"/>
          <w:spacing w:val="-2"/>
        </w:rPr>
        <w:t xml:space="preserve">meeting (30 September – 11 October 2024), the Council Working Group on </w:t>
      </w:r>
      <w:r w:rsidR="00AA265C" w:rsidRPr="00124698">
        <w:rPr>
          <w:rFonts w:cs="Segoe UI"/>
          <w:color w:val="000000"/>
          <w:spacing w:val="-2"/>
        </w:rPr>
        <w:t xml:space="preserve">financial and human resources </w:t>
      </w:r>
      <w:r w:rsidRPr="00124698">
        <w:rPr>
          <w:rFonts w:cs="Segoe UI"/>
          <w:color w:val="000000"/>
          <w:spacing w:val="-2"/>
        </w:rPr>
        <w:t>(CWG-FHR) established an Online Correspondence Group (OCG) to draft the Terms of Reference (</w:t>
      </w:r>
      <w:proofErr w:type="spellStart"/>
      <w:r w:rsidRPr="00124698">
        <w:rPr>
          <w:rFonts w:cs="Segoe UI"/>
          <w:color w:val="000000"/>
          <w:spacing w:val="-2"/>
        </w:rPr>
        <w:t>ToR</w:t>
      </w:r>
      <w:proofErr w:type="spellEnd"/>
      <w:r w:rsidRPr="00124698">
        <w:rPr>
          <w:rFonts w:cs="Segoe UI"/>
          <w:color w:val="000000"/>
          <w:spacing w:val="-2"/>
        </w:rPr>
        <w:t>) for reviewing the Regional Presence, which is required per</w:t>
      </w:r>
      <w:r w:rsidR="00AA265C" w:rsidRPr="00124698">
        <w:rPr>
          <w:spacing w:val="-2"/>
        </w:rPr>
        <w:t xml:space="preserve"> </w:t>
      </w:r>
      <w:r w:rsidR="00AA265C" w:rsidRPr="00124698">
        <w:rPr>
          <w:rFonts w:cs="Segoe UI"/>
          <w:color w:val="000000"/>
          <w:spacing w:val="-2"/>
        </w:rPr>
        <w:t xml:space="preserve">Resolution </w:t>
      </w:r>
      <w:hyperlink r:id="rId19" w:tgtFrame="_blank" w:history="1">
        <w:r w:rsidRPr="00124698">
          <w:rPr>
            <w:rFonts w:cs="Segoe UI"/>
            <w:color w:val="467886"/>
            <w:spacing w:val="-2"/>
            <w:u w:val="single"/>
          </w:rPr>
          <w:t>25 (Rev.</w:t>
        </w:r>
        <w:r w:rsidR="00124698" w:rsidRPr="00124698">
          <w:rPr>
            <w:rFonts w:cs="Segoe UI"/>
            <w:color w:val="467886"/>
            <w:spacing w:val="-2"/>
            <w:u w:val="single"/>
          </w:rPr>
          <w:t> </w:t>
        </w:r>
        <w:r w:rsidRPr="00124698">
          <w:rPr>
            <w:rFonts w:cs="Segoe UI"/>
            <w:color w:val="467886"/>
            <w:spacing w:val="-2"/>
            <w:u w:val="single"/>
          </w:rPr>
          <w:t>Bucharest, 2022)</w:t>
        </w:r>
      </w:hyperlink>
      <w:r w:rsidR="00AA265C" w:rsidRPr="00124698">
        <w:rPr>
          <w:rFonts w:cs="Segoe UI"/>
          <w:color w:val="000000"/>
          <w:spacing w:val="-2"/>
        </w:rPr>
        <w:t xml:space="preserve"> </w:t>
      </w:r>
      <w:r w:rsidRPr="00124698">
        <w:rPr>
          <w:rFonts w:cs="Segoe UI"/>
          <w:color w:val="000000"/>
          <w:spacing w:val="-2"/>
        </w:rPr>
        <w:t xml:space="preserve">of the Plenipotentiary </w:t>
      </w:r>
      <w:r w:rsidR="00124698">
        <w:rPr>
          <w:rFonts w:cs="Segoe UI"/>
          <w:color w:val="000000"/>
          <w:spacing w:val="-2"/>
        </w:rPr>
        <w:t xml:space="preserve">Conference </w:t>
      </w:r>
      <w:r w:rsidRPr="00124698">
        <w:rPr>
          <w:rFonts w:cs="Segoe UI"/>
          <w:color w:val="000000"/>
          <w:spacing w:val="-2"/>
        </w:rPr>
        <w:t xml:space="preserve">on </w:t>
      </w:r>
      <w:r w:rsidR="00124698" w:rsidRPr="00124698">
        <w:rPr>
          <w:rFonts w:cs="Segoe UI"/>
          <w:color w:val="000000"/>
          <w:spacing w:val="-2"/>
        </w:rPr>
        <w:t xml:space="preserve">strengthening </w:t>
      </w:r>
      <w:r w:rsidRPr="00124698">
        <w:rPr>
          <w:rFonts w:cs="Segoe UI"/>
          <w:color w:val="000000"/>
          <w:spacing w:val="-2"/>
        </w:rPr>
        <w:t xml:space="preserve">the ITU </w:t>
      </w:r>
      <w:r w:rsidR="00124698" w:rsidRPr="00124698">
        <w:rPr>
          <w:rFonts w:cs="Segoe UI"/>
          <w:color w:val="000000"/>
          <w:spacing w:val="-2"/>
        </w:rPr>
        <w:t>regional presence</w:t>
      </w:r>
      <w:r w:rsidRPr="00124698">
        <w:rPr>
          <w:rFonts w:cs="Segoe UI"/>
          <w:color w:val="000000"/>
          <w:spacing w:val="-2"/>
        </w:rPr>
        <w:t>.</w:t>
      </w:r>
      <w:r w:rsidR="00AA265C" w:rsidRPr="00124698">
        <w:rPr>
          <w:rFonts w:cs="Segoe UI"/>
          <w:color w:val="000000"/>
          <w:spacing w:val="-2"/>
        </w:rPr>
        <w:t xml:space="preserve"> </w:t>
      </w:r>
      <w:r w:rsidRPr="00124698">
        <w:rPr>
          <w:rFonts w:cs="Segoe UI"/>
          <w:color w:val="000000"/>
          <w:spacing w:val="-2"/>
        </w:rPr>
        <w:t xml:space="preserve">As per </w:t>
      </w:r>
      <w:r w:rsidR="00AA265C" w:rsidRPr="00124698">
        <w:rPr>
          <w:rFonts w:cs="Segoe UI"/>
          <w:i/>
          <w:iCs/>
          <w:color w:val="000000"/>
          <w:spacing w:val="-2"/>
        </w:rPr>
        <w:t>instructs</w:t>
      </w:r>
      <w:r w:rsidR="00AA265C" w:rsidRPr="00FD0A05">
        <w:rPr>
          <w:rFonts w:cs="Segoe UI"/>
          <w:i/>
          <w:iCs/>
          <w:color w:val="000000"/>
          <w:spacing w:val="-2"/>
        </w:rPr>
        <w:t xml:space="preserve"> </w:t>
      </w:r>
      <w:r w:rsidRPr="00FD0A05">
        <w:rPr>
          <w:rFonts w:cs="Segoe UI"/>
          <w:i/>
          <w:iCs/>
          <w:color w:val="000000"/>
          <w:spacing w:val="-2"/>
        </w:rPr>
        <w:t>4</w:t>
      </w:r>
      <w:r w:rsidRPr="00124698">
        <w:rPr>
          <w:rFonts w:cs="Segoe UI"/>
          <w:color w:val="000000"/>
          <w:spacing w:val="-2"/>
        </w:rPr>
        <w:t xml:space="preserve"> of this Resolution, the Secretary-General is</w:t>
      </w:r>
      <w:r w:rsidR="00AA265C" w:rsidRPr="00124698">
        <w:rPr>
          <w:rFonts w:cs="Segoe UI"/>
          <w:color w:val="000000"/>
          <w:spacing w:val="-2"/>
        </w:rPr>
        <w:t xml:space="preserve"> </w:t>
      </w:r>
      <w:r w:rsidRPr="00124698">
        <w:rPr>
          <w:rFonts w:cs="Segoe UI"/>
          <w:color w:val="000000"/>
          <w:spacing w:val="-2"/>
        </w:rPr>
        <w:t>required “to</w:t>
      </w:r>
      <w:r w:rsidR="00AA265C" w:rsidRPr="00124698">
        <w:rPr>
          <w:rFonts w:cs="Segoe UI"/>
          <w:color w:val="000000"/>
          <w:spacing w:val="-2"/>
        </w:rPr>
        <w:t xml:space="preserve"> </w:t>
      </w:r>
      <w:r w:rsidRPr="00124698">
        <w:rPr>
          <w:rFonts w:cs="Segoe UI"/>
          <w:color w:val="000000"/>
          <w:spacing w:val="-2"/>
        </w:rPr>
        <w:t>conduct, once every four years, within the existing financial resources, a survey of the level of satisfaction of Member States, Sector Members and regional telecommunication organizations with ITU's regional presence, and to present the results in a report to the session of the Council prior to each plenipotentiary conference</w:t>
      </w:r>
      <w:r w:rsidR="00AA265C" w:rsidRPr="00124698">
        <w:rPr>
          <w:rFonts w:cs="Segoe UI"/>
          <w:color w:val="000000"/>
          <w:spacing w:val="-2"/>
        </w:rPr>
        <w:t>”</w:t>
      </w:r>
      <w:r w:rsidRPr="00124698">
        <w:rPr>
          <w:rFonts w:cs="Segoe UI"/>
          <w:color w:val="000000"/>
          <w:spacing w:val="-2"/>
        </w:rPr>
        <w:t>.</w:t>
      </w:r>
    </w:p>
    <w:p w14:paraId="3A543E1E" w14:textId="5EE88231" w:rsidR="000608AD" w:rsidRPr="00124698" w:rsidRDefault="000608AD" w:rsidP="004E14C1">
      <w:pPr>
        <w:jc w:val="both"/>
        <w:rPr>
          <w:rStyle w:val="eop"/>
          <w:rFonts w:cs="Segoe UI"/>
          <w:color w:val="000000"/>
          <w:bdr w:val="none" w:sz="0" w:space="0" w:color="auto" w:frame="1"/>
          <w:shd w:val="clear" w:color="auto" w:fill="C6C6C6"/>
        </w:rPr>
      </w:pPr>
      <w:r w:rsidRPr="00124698">
        <w:rPr>
          <w:rFonts w:cs="Segoe UI"/>
          <w:color w:val="000000"/>
        </w:rPr>
        <w:t>The revised</w:t>
      </w:r>
      <w:r w:rsidR="0032669E" w:rsidRPr="00124698">
        <w:rPr>
          <w:rFonts w:cs="Segoe UI"/>
          <w:color w:val="000000"/>
        </w:rPr>
        <w:t xml:space="preserve"> </w:t>
      </w:r>
      <w:proofErr w:type="spellStart"/>
      <w:r w:rsidRPr="00124698">
        <w:rPr>
          <w:rFonts w:cs="Segoe UI"/>
          <w:color w:val="000000" w:themeColor="text1"/>
        </w:rPr>
        <w:t>ToR</w:t>
      </w:r>
      <w:proofErr w:type="spellEnd"/>
      <w:r w:rsidRPr="00124698">
        <w:rPr>
          <w:rFonts w:cs="Segoe UI"/>
          <w:color w:val="000000" w:themeColor="text1"/>
        </w:rPr>
        <w:t xml:space="preserve"> were reviewed at the 20</w:t>
      </w:r>
      <w:r w:rsidR="00AA265C" w:rsidRPr="00124698">
        <w:rPr>
          <w:rFonts w:cs="Segoe UI"/>
          <w:color w:val="000000" w:themeColor="text1"/>
          <w:vertAlign w:val="superscript"/>
        </w:rPr>
        <w:t>th</w:t>
      </w:r>
      <w:r w:rsidR="00AA265C" w:rsidRPr="00124698">
        <w:rPr>
          <w:rFonts w:cs="Segoe UI"/>
          <w:color w:val="000000" w:themeColor="text1"/>
        </w:rPr>
        <w:t xml:space="preserve"> </w:t>
      </w:r>
      <w:r w:rsidRPr="00124698">
        <w:rPr>
          <w:rFonts w:cs="Segoe UI"/>
          <w:color w:val="000000" w:themeColor="text1"/>
        </w:rPr>
        <w:t>meeting of the CWG-FHR (10-21 February 2025). The meeting reports are available in Documents</w:t>
      </w:r>
      <w:r w:rsidR="0032669E" w:rsidRPr="00124698">
        <w:rPr>
          <w:rFonts w:cs="Segoe UI"/>
          <w:color w:val="000000" w:themeColor="text1"/>
        </w:rPr>
        <w:t xml:space="preserve"> </w:t>
      </w:r>
      <w:hyperlink r:id="rId20">
        <w:r w:rsidRPr="00124698">
          <w:rPr>
            <w:rFonts w:cs="Segoe UI"/>
            <w:color w:val="467886"/>
            <w:u w:val="single"/>
          </w:rPr>
          <w:t>CWG-FHR-19/15</w:t>
        </w:r>
      </w:hyperlink>
      <w:r w:rsidR="00AA265C" w:rsidRPr="00124698">
        <w:rPr>
          <w:rFonts w:cs="Segoe UI"/>
        </w:rPr>
        <w:t xml:space="preserve"> </w:t>
      </w:r>
      <w:r w:rsidRPr="00124698">
        <w:rPr>
          <w:rFonts w:cs="Segoe UI"/>
          <w:color w:val="000000" w:themeColor="text1"/>
        </w:rPr>
        <w:t>and</w:t>
      </w:r>
      <w:r w:rsidR="00AA265C" w:rsidRPr="00124698">
        <w:rPr>
          <w:rFonts w:cs="Segoe UI"/>
        </w:rPr>
        <w:t xml:space="preserve"> </w:t>
      </w:r>
      <w:hyperlink r:id="rId21">
        <w:r w:rsidRPr="00124698">
          <w:rPr>
            <w:rFonts w:cs="Segoe UI"/>
            <w:color w:val="467886"/>
            <w:u w:val="single"/>
          </w:rPr>
          <w:t>CWG-FHR-20/32</w:t>
        </w:r>
      </w:hyperlink>
      <w:r w:rsidRPr="00124698">
        <w:rPr>
          <w:rFonts w:cs="Segoe UI"/>
          <w:color w:val="000000" w:themeColor="text1"/>
        </w:rPr>
        <w:t>.</w:t>
      </w:r>
      <w:r w:rsidRPr="00124698">
        <w:rPr>
          <w:rFonts w:cs="Segoe UI"/>
          <w:color w:val="000000"/>
        </w:rPr>
        <w:t xml:space="preserve"> After some deliberation, Council-25 provided the following instructions:</w:t>
      </w:r>
    </w:p>
    <w:p w14:paraId="409C6AEC" w14:textId="35365137" w:rsidR="000608AD" w:rsidRPr="00124698" w:rsidRDefault="00AA265C" w:rsidP="004E14C1">
      <w:pPr>
        <w:pStyle w:val="enumlev1"/>
        <w:jc w:val="both"/>
      </w:pPr>
      <w:r w:rsidRPr="00124698">
        <w:t>a)</w:t>
      </w:r>
      <w:r w:rsidRPr="00124698">
        <w:tab/>
      </w:r>
      <w:r w:rsidR="000608AD" w:rsidRPr="00124698">
        <w:t xml:space="preserve">The review of </w:t>
      </w:r>
      <w:r w:rsidR="00A45484">
        <w:t xml:space="preserve">the ITU </w:t>
      </w:r>
      <w:r w:rsidR="000608AD" w:rsidRPr="00124698">
        <w:t>Regional Presence will be conducted by the Secretary-General and supported by the Inter-Sectoral Task Force</w:t>
      </w:r>
      <w:r w:rsidRPr="00124698">
        <w:t xml:space="preserve"> </w:t>
      </w:r>
      <w:r w:rsidR="00D971B1" w:rsidRPr="00124698">
        <w:rPr>
          <w:rFonts w:cs="Segoe UI"/>
          <w:color w:val="000000"/>
        </w:rPr>
        <w:t xml:space="preserve">(ISTF) </w:t>
      </w:r>
      <w:r w:rsidR="000608AD" w:rsidRPr="00124698">
        <w:t>comprising</w:t>
      </w:r>
      <w:r w:rsidR="0032669E" w:rsidRPr="00124698">
        <w:t xml:space="preserve"> </w:t>
      </w:r>
      <w:r w:rsidR="000608AD" w:rsidRPr="00124698">
        <w:t>the Directors of three Bureaux and their nominees, and ITU Regional Directors, and will be chaired by the ITU Deputy Secretary General.</w:t>
      </w:r>
    </w:p>
    <w:p w14:paraId="4BBEBBD2" w14:textId="3DF116BD" w:rsidR="000608AD" w:rsidRPr="00124698" w:rsidRDefault="00AA265C" w:rsidP="004E14C1">
      <w:pPr>
        <w:pStyle w:val="enumlev1"/>
        <w:jc w:val="both"/>
      </w:pPr>
      <w:r w:rsidRPr="00124698">
        <w:t>b)</w:t>
      </w:r>
      <w:r w:rsidRPr="00124698">
        <w:tab/>
      </w:r>
      <w:r w:rsidR="000608AD" w:rsidRPr="00124698">
        <w:t>The review will be conducted within the approved ITU budget and existing human resources of the ITU. No external consultancy will be engaged.</w:t>
      </w:r>
    </w:p>
    <w:p w14:paraId="6F384A31" w14:textId="6BB76239" w:rsidR="000608AD" w:rsidRPr="00124698" w:rsidRDefault="00AA265C" w:rsidP="004E14C1">
      <w:pPr>
        <w:pStyle w:val="enumlev1"/>
        <w:jc w:val="both"/>
      </w:pPr>
      <w:r w:rsidRPr="00124698">
        <w:t>c)</w:t>
      </w:r>
      <w:r w:rsidRPr="00124698">
        <w:tab/>
      </w:r>
      <w:r w:rsidR="000608AD" w:rsidRPr="00124698">
        <w:t xml:space="preserve">The </w:t>
      </w:r>
      <w:r w:rsidR="00D971B1" w:rsidRPr="00124698">
        <w:rPr>
          <w:rFonts w:cs="Segoe UI"/>
          <w:color w:val="000000"/>
        </w:rPr>
        <w:t>ISTF</w:t>
      </w:r>
      <w:r w:rsidR="00D971B1" w:rsidRPr="00124698">
        <w:t xml:space="preserve"> </w:t>
      </w:r>
      <w:r w:rsidR="000608AD" w:rsidRPr="00124698">
        <w:t>will</w:t>
      </w:r>
      <w:r w:rsidR="0032669E" w:rsidRPr="00124698">
        <w:t xml:space="preserve"> </w:t>
      </w:r>
      <w:r w:rsidR="000608AD" w:rsidRPr="00124698">
        <w:t>mainly rely</w:t>
      </w:r>
      <w:r w:rsidR="0032669E" w:rsidRPr="00124698">
        <w:t xml:space="preserve"> </w:t>
      </w:r>
      <w:r w:rsidR="000608AD" w:rsidRPr="00124698">
        <w:t>on the input by BDT throughout the review. BDT shall</w:t>
      </w:r>
      <w:r w:rsidR="0032669E" w:rsidRPr="00124698">
        <w:t xml:space="preserve"> </w:t>
      </w:r>
      <w:r w:rsidR="000608AD" w:rsidRPr="00124698">
        <w:t>be responsible for</w:t>
      </w:r>
      <w:r w:rsidR="0032669E" w:rsidRPr="00124698">
        <w:t xml:space="preserve"> </w:t>
      </w:r>
      <w:r w:rsidR="000608AD" w:rsidRPr="00124698">
        <w:t>conducting Phase 2 (Data collection and initial analysis) of the review</w:t>
      </w:r>
      <w:r w:rsidR="00D8137F">
        <w:t>.</w:t>
      </w:r>
    </w:p>
    <w:p w14:paraId="5D833103" w14:textId="37841930" w:rsidR="000608AD" w:rsidRPr="00124698" w:rsidRDefault="00AA265C" w:rsidP="004E14C1">
      <w:pPr>
        <w:pStyle w:val="enumlev1"/>
        <w:jc w:val="both"/>
      </w:pPr>
      <w:r w:rsidRPr="00124698">
        <w:t>d)</w:t>
      </w:r>
      <w:r w:rsidRPr="00124698">
        <w:tab/>
      </w:r>
      <w:r w:rsidR="000608AD" w:rsidRPr="00124698">
        <w:t>Member State engagement is agreed as a critical</w:t>
      </w:r>
      <w:r w:rsidR="0032669E" w:rsidRPr="00124698">
        <w:t xml:space="preserve"> </w:t>
      </w:r>
      <w:r w:rsidR="000608AD" w:rsidRPr="00124698">
        <w:t>component</w:t>
      </w:r>
      <w:r w:rsidR="0032669E" w:rsidRPr="00124698">
        <w:t xml:space="preserve"> </w:t>
      </w:r>
      <w:r w:rsidR="000608AD" w:rsidRPr="00124698">
        <w:t>of the review. The Secretary-General will report on the implementation of the review to CWG-FHR and ITU Council as</w:t>
      </w:r>
      <w:r w:rsidR="0032669E" w:rsidRPr="00124698">
        <w:t xml:space="preserve"> </w:t>
      </w:r>
      <w:r w:rsidR="000608AD" w:rsidRPr="00124698">
        <w:t>required.</w:t>
      </w:r>
    </w:p>
    <w:p w14:paraId="0CFC19A2" w14:textId="34F5CE00" w:rsidR="000608AD" w:rsidRPr="00124698" w:rsidRDefault="000608AD" w:rsidP="004E14C1">
      <w:pPr>
        <w:jc w:val="both"/>
        <w:rPr>
          <w:rStyle w:val="eop"/>
          <w:rFonts w:cs="Segoe UI"/>
          <w:color w:val="000000"/>
          <w:bdr w:val="none" w:sz="0" w:space="0" w:color="auto" w:frame="1"/>
          <w:shd w:val="clear" w:color="auto" w:fill="C6C6C6"/>
        </w:rPr>
      </w:pPr>
      <w:r w:rsidRPr="00124698">
        <w:rPr>
          <w:rFonts w:cs="Segoe UI"/>
          <w:color w:val="000000"/>
        </w:rPr>
        <w:t xml:space="preserve">The </w:t>
      </w:r>
      <w:r w:rsidR="00D971B1" w:rsidRPr="00124698">
        <w:rPr>
          <w:rFonts w:cs="Segoe UI"/>
          <w:color w:val="000000"/>
        </w:rPr>
        <w:t xml:space="preserve">ISTF </w:t>
      </w:r>
      <w:r w:rsidRPr="00124698">
        <w:rPr>
          <w:rFonts w:cs="Segoe UI"/>
          <w:color w:val="000000"/>
        </w:rPr>
        <w:t>on the review of regional presence</w:t>
      </w:r>
      <w:r w:rsidR="0032669E" w:rsidRPr="00124698">
        <w:rPr>
          <w:rFonts w:cs="Segoe UI"/>
          <w:color w:val="000000"/>
        </w:rPr>
        <w:t xml:space="preserve"> </w:t>
      </w:r>
      <w:r w:rsidRPr="00124698">
        <w:rPr>
          <w:rFonts w:cs="Segoe UI"/>
          <w:color w:val="000000"/>
        </w:rPr>
        <w:t>was</w:t>
      </w:r>
      <w:r w:rsidR="0032669E" w:rsidRPr="00124698">
        <w:rPr>
          <w:rFonts w:cs="Segoe UI"/>
          <w:color w:val="000000"/>
        </w:rPr>
        <w:t xml:space="preserve"> </w:t>
      </w:r>
      <w:r w:rsidRPr="00124698">
        <w:rPr>
          <w:rFonts w:cs="Segoe UI"/>
          <w:color w:val="000000" w:themeColor="text1"/>
        </w:rPr>
        <w:t>established, chaired by the Deputy Secretary-General. It</w:t>
      </w:r>
      <w:r w:rsidR="0032669E" w:rsidRPr="00124698">
        <w:rPr>
          <w:rFonts w:cs="Segoe UI"/>
          <w:color w:val="000000" w:themeColor="text1"/>
        </w:rPr>
        <w:t xml:space="preserve"> </w:t>
      </w:r>
      <w:r w:rsidRPr="00124698">
        <w:rPr>
          <w:rFonts w:cs="Segoe UI"/>
          <w:color w:val="000000" w:themeColor="text1"/>
        </w:rPr>
        <w:t>includes Directors of the three</w:t>
      </w:r>
      <w:r w:rsidR="0032669E" w:rsidRPr="00124698">
        <w:rPr>
          <w:rFonts w:cs="Segoe UI"/>
          <w:color w:val="000000" w:themeColor="text1"/>
        </w:rPr>
        <w:t xml:space="preserve"> </w:t>
      </w:r>
      <w:r w:rsidRPr="00124698">
        <w:rPr>
          <w:rFonts w:cs="Segoe UI"/>
          <w:color w:val="000000" w:themeColor="text1"/>
        </w:rPr>
        <w:t>Bureaux, the Regional Directors and other representatives from the Development Bureau, Radiocommunication</w:t>
      </w:r>
      <w:r w:rsidR="0032669E" w:rsidRPr="00124698">
        <w:rPr>
          <w:rFonts w:cs="Segoe UI"/>
          <w:color w:val="000000" w:themeColor="text1"/>
        </w:rPr>
        <w:t xml:space="preserve"> </w:t>
      </w:r>
      <w:r w:rsidRPr="00124698">
        <w:rPr>
          <w:rFonts w:cs="Segoe UI"/>
          <w:color w:val="000000" w:themeColor="text1"/>
        </w:rPr>
        <w:t>Bureau</w:t>
      </w:r>
      <w:r w:rsidR="0032669E" w:rsidRPr="00124698">
        <w:rPr>
          <w:rFonts w:cs="Segoe UI"/>
          <w:color w:val="000000" w:themeColor="text1"/>
        </w:rPr>
        <w:t xml:space="preserve"> </w:t>
      </w:r>
      <w:r w:rsidRPr="00124698">
        <w:rPr>
          <w:rFonts w:cs="Segoe UI"/>
          <w:color w:val="000000" w:themeColor="text1"/>
        </w:rPr>
        <w:t>and Standardization Bureau, as well as the General Secretariat.</w:t>
      </w:r>
      <w:r w:rsidR="0032669E" w:rsidRPr="00124698">
        <w:rPr>
          <w:rStyle w:val="eop"/>
          <w:rFonts w:cs="Segoe UI"/>
          <w:color w:val="000000" w:themeColor="text1"/>
        </w:rPr>
        <w:t xml:space="preserve"> </w:t>
      </w:r>
    </w:p>
    <w:p w14:paraId="3E7011A7" w14:textId="77777777" w:rsidR="000608AD" w:rsidRPr="00124698" w:rsidRDefault="000608AD" w:rsidP="0032669E">
      <w:pPr>
        <w:pStyle w:val="Headingb"/>
      </w:pPr>
      <w:r w:rsidRPr="00124698">
        <w:t>Process</w:t>
      </w:r>
    </w:p>
    <w:p w14:paraId="6C61F72D" w14:textId="7D2B3903" w:rsidR="000608AD" w:rsidRPr="00124698" w:rsidRDefault="000608AD" w:rsidP="004E14C1">
      <w:pPr>
        <w:jc w:val="both"/>
        <w:rPr>
          <w:rFonts w:asciiTheme="minorHAnsi" w:hAnsiTheme="minorHAnsi" w:cstheme="minorHAnsi"/>
        </w:rPr>
      </w:pPr>
      <w:r w:rsidRPr="00124698">
        <w:rPr>
          <w:rFonts w:asciiTheme="minorHAnsi" w:hAnsiTheme="minorHAnsi" w:cstheme="minorHAnsi"/>
          <w:color w:val="000000"/>
        </w:rPr>
        <w:t xml:space="preserve">Commencing its work after the first meeting of the </w:t>
      </w:r>
      <w:r w:rsidR="00D971B1" w:rsidRPr="00124698">
        <w:rPr>
          <w:rFonts w:cs="Segoe UI"/>
          <w:color w:val="000000"/>
        </w:rPr>
        <w:t>ISTF</w:t>
      </w:r>
      <w:r w:rsidR="00D971B1" w:rsidRPr="00124698">
        <w:rPr>
          <w:rFonts w:asciiTheme="minorHAnsi" w:hAnsiTheme="minorHAnsi" w:cstheme="minorHAnsi"/>
          <w:color w:val="000000"/>
        </w:rPr>
        <w:t xml:space="preserve"> </w:t>
      </w:r>
      <w:r w:rsidRPr="00124698">
        <w:rPr>
          <w:rFonts w:asciiTheme="minorHAnsi" w:hAnsiTheme="minorHAnsi" w:cstheme="minorHAnsi"/>
          <w:color w:val="000000"/>
        </w:rPr>
        <w:t>on</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 xml:space="preserve">the </w:t>
      </w:r>
      <w:r w:rsidR="00D971B1" w:rsidRPr="00124698">
        <w:rPr>
          <w:rFonts w:asciiTheme="minorHAnsi" w:hAnsiTheme="minorHAnsi" w:cstheme="minorHAnsi"/>
          <w:color w:val="000000"/>
        </w:rPr>
        <w:t xml:space="preserve">review of regional presence </w:t>
      </w:r>
      <w:r w:rsidRPr="00124698">
        <w:rPr>
          <w:rFonts w:asciiTheme="minorHAnsi" w:hAnsiTheme="minorHAnsi" w:cstheme="minorHAnsi"/>
          <w:color w:val="000000"/>
        </w:rPr>
        <w:t>on 17</w:t>
      </w:r>
      <w:r w:rsidR="00D971B1">
        <w:rPr>
          <w:rFonts w:asciiTheme="minorHAnsi" w:hAnsiTheme="minorHAnsi" w:cstheme="minorHAnsi"/>
          <w:color w:val="000000"/>
        </w:rPr>
        <w:t> </w:t>
      </w:r>
      <w:r w:rsidRPr="00124698">
        <w:rPr>
          <w:rFonts w:asciiTheme="minorHAnsi" w:hAnsiTheme="minorHAnsi" w:cstheme="minorHAnsi"/>
          <w:color w:val="000000"/>
        </w:rPr>
        <w:t xml:space="preserve">July 2025, BDT </w:t>
      </w:r>
      <w:r w:rsidR="00035E62" w:rsidRPr="00124698">
        <w:rPr>
          <w:rFonts w:asciiTheme="minorHAnsi" w:hAnsiTheme="minorHAnsi" w:cstheme="minorHAnsi"/>
          <w:color w:val="000000"/>
        </w:rPr>
        <w:t>analysed</w:t>
      </w:r>
      <w:r w:rsidRPr="00124698">
        <w:rPr>
          <w:rFonts w:asciiTheme="minorHAnsi" w:hAnsiTheme="minorHAnsi" w:cstheme="minorHAnsi"/>
          <w:color w:val="000000"/>
        </w:rPr>
        <w:t xml:space="preserve"> the 12 </w:t>
      </w:r>
      <w:r w:rsidR="00E31EF1">
        <w:rPr>
          <w:rFonts w:asciiTheme="minorHAnsi" w:hAnsiTheme="minorHAnsi" w:cstheme="minorHAnsi"/>
          <w:color w:val="000000"/>
        </w:rPr>
        <w:t>scope of work (SoW)</w:t>
      </w:r>
      <w:r w:rsidRPr="00124698">
        <w:rPr>
          <w:rFonts w:asciiTheme="minorHAnsi" w:hAnsiTheme="minorHAnsi" w:cstheme="minorHAnsi"/>
          <w:color w:val="000000"/>
        </w:rPr>
        <w:t xml:space="preserve"> items listed in Annex A and the 27 </w:t>
      </w:r>
      <w:r w:rsidR="00E31EF1">
        <w:rPr>
          <w:rFonts w:asciiTheme="minorHAnsi" w:hAnsiTheme="minorHAnsi" w:cstheme="minorHAnsi"/>
          <w:color w:val="000000"/>
        </w:rPr>
        <w:t>key performance indicators (</w:t>
      </w:r>
      <w:r w:rsidRPr="00124698">
        <w:rPr>
          <w:rFonts w:asciiTheme="minorHAnsi" w:hAnsiTheme="minorHAnsi" w:cstheme="minorHAnsi"/>
          <w:color w:val="000000"/>
        </w:rPr>
        <w:t>KPI</w:t>
      </w:r>
      <w:r w:rsidR="00E31EF1">
        <w:rPr>
          <w:rFonts w:asciiTheme="minorHAnsi" w:hAnsiTheme="minorHAnsi" w:cstheme="minorHAnsi"/>
          <w:color w:val="000000"/>
        </w:rPr>
        <w:t>)</w:t>
      </w:r>
      <w:r w:rsidRPr="00124698">
        <w:rPr>
          <w:rFonts w:asciiTheme="minorHAnsi" w:hAnsiTheme="minorHAnsi" w:cstheme="minorHAnsi"/>
          <w:color w:val="000000"/>
        </w:rPr>
        <w:t xml:space="preserve"> listed in Annex 1 to </w:t>
      </w:r>
      <w:r w:rsidR="0032669E" w:rsidRPr="00124698">
        <w:rPr>
          <w:rFonts w:asciiTheme="minorHAnsi" w:hAnsiTheme="minorHAnsi" w:cstheme="minorHAnsi"/>
          <w:color w:val="000000"/>
        </w:rPr>
        <w:t>Document</w:t>
      </w:r>
      <w:r w:rsidR="00243020">
        <w:rPr>
          <w:rFonts w:asciiTheme="minorHAnsi" w:hAnsiTheme="minorHAnsi" w:cstheme="minorHAnsi"/>
          <w:color w:val="000000"/>
        </w:rPr>
        <w:t> </w:t>
      </w:r>
      <w:hyperlink r:id="rId22">
        <w:r w:rsidRPr="00124698">
          <w:rPr>
            <w:rStyle w:val="Hyperlink"/>
            <w:rFonts w:asciiTheme="minorHAnsi" w:hAnsiTheme="minorHAnsi" w:cstheme="minorHAnsi"/>
          </w:rPr>
          <w:t>C25/105</w:t>
        </w:r>
      </w:hyperlink>
      <w:r w:rsidRPr="00124698">
        <w:rPr>
          <w:rFonts w:asciiTheme="minorHAnsi" w:hAnsiTheme="minorHAnsi" w:cstheme="minorHAnsi"/>
          <w:color w:val="000000"/>
        </w:rPr>
        <w:t>. As a first</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step,</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the KPIs were mapped to</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the</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lastRenderedPageBreak/>
        <w:t>SoW items. The 27 KPI and 12 SoW items were studied to evaluate the</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appropriate</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primary</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and secondary data sources, i.e. whether</w:t>
      </w:r>
      <w:r w:rsidR="0032669E" w:rsidRPr="00124698">
        <w:rPr>
          <w:rFonts w:asciiTheme="minorHAnsi" w:hAnsiTheme="minorHAnsi" w:cstheme="minorHAnsi"/>
          <w:color w:val="000000"/>
        </w:rPr>
        <w:t xml:space="preserve"> </w:t>
      </w:r>
      <w:r w:rsidRPr="00124698">
        <w:rPr>
          <w:rFonts w:asciiTheme="minorHAnsi" w:hAnsiTheme="minorHAnsi" w:cstheme="minorHAnsi"/>
          <w:color w:val="000000"/>
        </w:rPr>
        <w:t>the information could be derived from the membership survey, or stakeholder consultations including the internal assessment survey, or desk research/document analysis. Some KPIs were mapped to two or more data sources.</w:t>
      </w:r>
    </w:p>
    <w:p w14:paraId="05546C71" w14:textId="64C626A7" w:rsidR="000608AD" w:rsidRPr="00124698" w:rsidRDefault="000608AD" w:rsidP="004E14C1">
      <w:pPr>
        <w:jc w:val="both"/>
        <w:rPr>
          <w:rFonts w:asciiTheme="minorHAnsi" w:hAnsiTheme="minorHAnsi" w:cstheme="minorHAnsi"/>
        </w:rPr>
      </w:pPr>
      <w:r w:rsidRPr="00124698">
        <w:rPr>
          <w:rFonts w:asciiTheme="minorHAnsi" w:hAnsiTheme="minorHAnsi" w:cstheme="minorHAnsi"/>
          <w:color w:val="000000" w:themeColor="text1"/>
        </w:rPr>
        <w:t>Subsequently, BDT</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 xml:space="preserve">designed and implemented the </w:t>
      </w:r>
      <w:r w:rsidR="00E31EF1" w:rsidRPr="00124698">
        <w:rPr>
          <w:rFonts w:asciiTheme="minorHAnsi" w:hAnsiTheme="minorHAnsi" w:cstheme="minorHAnsi"/>
          <w:color w:val="000000" w:themeColor="text1"/>
        </w:rPr>
        <w:t xml:space="preserve">membership </w:t>
      </w:r>
      <w:r w:rsidRPr="00124698">
        <w:rPr>
          <w:rFonts w:asciiTheme="minorHAnsi" w:hAnsiTheme="minorHAnsi" w:cstheme="minorHAnsi"/>
          <w:color w:val="000000" w:themeColor="text1"/>
        </w:rPr>
        <w:t>survey</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that was launched on 24</w:t>
      </w:r>
      <w:r w:rsidR="00E31EF1">
        <w:rPr>
          <w:rFonts w:asciiTheme="minorHAnsi" w:hAnsiTheme="minorHAnsi" w:cstheme="minorHAnsi"/>
          <w:color w:val="000000" w:themeColor="text1"/>
        </w:rPr>
        <w:t> </w:t>
      </w:r>
      <w:r w:rsidRPr="00124698">
        <w:rPr>
          <w:rFonts w:asciiTheme="minorHAnsi" w:hAnsiTheme="minorHAnsi" w:cstheme="minorHAnsi"/>
          <w:color w:val="000000" w:themeColor="text1"/>
        </w:rPr>
        <w:t>September 2025.</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 xml:space="preserve">The response rate to the </w:t>
      </w:r>
      <w:r w:rsidR="00E31EF1" w:rsidRPr="00124698">
        <w:rPr>
          <w:rFonts w:asciiTheme="minorHAnsi" w:hAnsiTheme="minorHAnsi" w:cstheme="minorHAnsi"/>
          <w:color w:val="000000" w:themeColor="text1"/>
        </w:rPr>
        <w:t xml:space="preserve">membership </w:t>
      </w:r>
      <w:r w:rsidRPr="00124698">
        <w:rPr>
          <w:rFonts w:asciiTheme="minorHAnsi" w:hAnsiTheme="minorHAnsi" w:cstheme="minorHAnsi"/>
          <w:color w:val="000000" w:themeColor="text1"/>
        </w:rPr>
        <w:t>was</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very strong</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at 69%.</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BDT</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also carried</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out desk research by</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identifying</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 xml:space="preserve">documentary sources and collecting data from relevant reliable sources. Document analysis also encompassed benchmarking against similarly placed UN organizations. The findings of the </w:t>
      </w:r>
      <w:r w:rsidR="00E31EF1" w:rsidRPr="00124698">
        <w:rPr>
          <w:rFonts w:asciiTheme="minorHAnsi" w:hAnsiTheme="minorHAnsi" w:cstheme="minorHAnsi"/>
          <w:color w:val="000000" w:themeColor="text1"/>
        </w:rPr>
        <w:t xml:space="preserve">membership </w:t>
      </w:r>
      <w:r w:rsidRPr="00124698">
        <w:rPr>
          <w:rFonts w:asciiTheme="minorHAnsi" w:hAnsiTheme="minorHAnsi" w:cstheme="minorHAnsi"/>
          <w:color w:val="000000" w:themeColor="text1"/>
        </w:rPr>
        <w:t>survey and desk research were supplemented with data from stakeholder consultation including interviews of RTOs (to build on the feedback from the Membership survey), the findings of the Internal Assessment survey as well as all other stakeholder feedback. Throughout the review process, the progress and findings of the review were periodically presented at various stages to Council, the sectoral advisory bodies, in a special session at WTDC</w:t>
      </w:r>
      <w:r w:rsidR="00E31EF1">
        <w:rPr>
          <w:rFonts w:asciiTheme="minorHAnsi" w:hAnsiTheme="minorHAnsi" w:cstheme="minorHAnsi"/>
          <w:color w:val="000000" w:themeColor="text1"/>
        </w:rPr>
        <w:noBreakHyphen/>
      </w:r>
      <w:r w:rsidRPr="00124698">
        <w:rPr>
          <w:rFonts w:asciiTheme="minorHAnsi" w:hAnsiTheme="minorHAnsi" w:cstheme="minorHAnsi"/>
          <w:color w:val="000000" w:themeColor="text1"/>
        </w:rPr>
        <w:t>25 on 24 November 2026, and at the information session on 5 March 2026, prior to Council</w:t>
      </w:r>
      <w:r w:rsidR="00E31EF1">
        <w:rPr>
          <w:rFonts w:asciiTheme="minorHAnsi" w:hAnsiTheme="minorHAnsi" w:cstheme="minorHAnsi"/>
          <w:color w:val="000000" w:themeColor="text1"/>
        </w:rPr>
        <w:t>-</w:t>
      </w:r>
      <w:r w:rsidRPr="00124698">
        <w:rPr>
          <w:rFonts w:asciiTheme="minorHAnsi" w:hAnsiTheme="minorHAnsi" w:cstheme="minorHAnsi"/>
          <w:color w:val="000000" w:themeColor="text1"/>
        </w:rPr>
        <w:t>26, the IMAC, and internal and external auditors and the Ethics office were also consulted.</w:t>
      </w:r>
    </w:p>
    <w:p w14:paraId="12D0DE88" w14:textId="2EA2F416" w:rsidR="000608AD" w:rsidRPr="00116E4B" w:rsidRDefault="000608AD" w:rsidP="004E14C1">
      <w:pPr>
        <w:jc w:val="both"/>
        <w:rPr>
          <w:rFonts w:asciiTheme="minorHAnsi" w:hAnsiTheme="minorHAnsi" w:cstheme="minorHAnsi"/>
          <w:color w:val="000000" w:themeColor="text1"/>
          <w:spacing w:val="-2"/>
        </w:rPr>
      </w:pPr>
      <w:r w:rsidRPr="00116E4B">
        <w:rPr>
          <w:rFonts w:asciiTheme="minorHAnsi" w:hAnsiTheme="minorHAnsi" w:cstheme="minorHAnsi"/>
          <w:color w:val="000000" w:themeColor="text1"/>
          <w:spacing w:val="-2"/>
        </w:rPr>
        <w:t xml:space="preserve">Once data from all the abovementioned sources had been collected and collated, it was </w:t>
      </w:r>
      <w:r w:rsidR="000D595B" w:rsidRPr="00116E4B">
        <w:rPr>
          <w:rFonts w:asciiTheme="minorHAnsi" w:hAnsiTheme="minorHAnsi" w:cstheme="minorHAnsi"/>
          <w:color w:val="000000" w:themeColor="text1"/>
          <w:spacing w:val="-2"/>
        </w:rPr>
        <w:t>analysed</w:t>
      </w:r>
      <w:r w:rsidRPr="00116E4B">
        <w:rPr>
          <w:rFonts w:asciiTheme="minorHAnsi" w:hAnsiTheme="minorHAnsi" w:cstheme="minorHAnsi"/>
          <w:color w:val="000000" w:themeColor="text1"/>
          <w:spacing w:val="-2"/>
        </w:rPr>
        <w:t xml:space="preserve"> per KPI to arrive at</w:t>
      </w:r>
      <w:r w:rsidR="0032669E" w:rsidRPr="00116E4B">
        <w:rPr>
          <w:rFonts w:asciiTheme="minorHAnsi" w:hAnsiTheme="minorHAnsi" w:cstheme="minorHAnsi"/>
          <w:color w:val="000000" w:themeColor="text1"/>
          <w:spacing w:val="-2"/>
        </w:rPr>
        <w:t xml:space="preserve"> </w:t>
      </w:r>
      <w:r w:rsidRPr="00116E4B">
        <w:rPr>
          <w:rFonts w:asciiTheme="minorHAnsi" w:hAnsiTheme="minorHAnsi" w:cstheme="minorHAnsi"/>
          <w:color w:val="000000" w:themeColor="text1"/>
          <w:spacing w:val="-2"/>
        </w:rPr>
        <w:t>consolidated</w:t>
      </w:r>
      <w:r w:rsidR="0032669E" w:rsidRPr="00116E4B">
        <w:rPr>
          <w:rFonts w:asciiTheme="minorHAnsi" w:hAnsiTheme="minorHAnsi" w:cstheme="minorHAnsi"/>
          <w:color w:val="000000" w:themeColor="text1"/>
          <w:spacing w:val="-2"/>
        </w:rPr>
        <w:t xml:space="preserve"> </w:t>
      </w:r>
      <w:r w:rsidRPr="00116E4B">
        <w:rPr>
          <w:rFonts w:asciiTheme="minorHAnsi" w:hAnsiTheme="minorHAnsi" w:cstheme="minorHAnsi"/>
          <w:color w:val="000000" w:themeColor="text1"/>
          <w:spacing w:val="-2"/>
        </w:rPr>
        <w:t>findings for all 12 SoW items.</w:t>
      </w:r>
      <w:r w:rsidR="0032669E" w:rsidRPr="00116E4B">
        <w:rPr>
          <w:rFonts w:asciiTheme="minorHAnsi" w:hAnsiTheme="minorHAnsi" w:cstheme="minorHAnsi"/>
          <w:color w:val="000000" w:themeColor="text1"/>
          <w:spacing w:val="-2"/>
        </w:rPr>
        <w:t xml:space="preserve"> </w:t>
      </w:r>
      <w:r w:rsidRPr="00116E4B">
        <w:rPr>
          <w:rFonts w:asciiTheme="minorHAnsi" w:hAnsiTheme="minorHAnsi" w:cstheme="minorHAnsi"/>
          <w:color w:val="000000" w:themeColor="text1"/>
          <w:spacing w:val="-2"/>
        </w:rPr>
        <w:t>The findings of the review are available in Council</w:t>
      </w:r>
      <w:r w:rsidR="0032669E" w:rsidRPr="00116E4B">
        <w:rPr>
          <w:rFonts w:asciiTheme="minorHAnsi" w:hAnsiTheme="minorHAnsi" w:cstheme="minorHAnsi"/>
          <w:spacing w:val="-2"/>
        </w:rPr>
        <w:t xml:space="preserve"> </w:t>
      </w:r>
      <w:r w:rsidR="007E6D2A" w:rsidRPr="00116E4B">
        <w:rPr>
          <w:rFonts w:asciiTheme="minorHAnsi" w:hAnsiTheme="minorHAnsi" w:cstheme="minorHAnsi"/>
          <w:spacing w:val="-2"/>
        </w:rPr>
        <w:t xml:space="preserve">Document </w:t>
      </w:r>
      <w:hyperlink r:id="rId23">
        <w:r w:rsidRPr="00116E4B">
          <w:rPr>
            <w:rStyle w:val="Hyperlink"/>
            <w:rFonts w:asciiTheme="minorHAnsi" w:hAnsiTheme="minorHAnsi" w:cstheme="minorHAnsi"/>
            <w:spacing w:val="-2"/>
          </w:rPr>
          <w:t>C26/24</w:t>
        </w:r>
      </w:hyperlink>
      <w:r w:rsidRPr="00116E4B">
        <w:rPr>
          <w:rFonts w:asciiTheme="minorHAnsi" w:hAnsiTheme="minorHAnsi" w:cstheme="minorHAnsi"/>
          <w:spacing w:val="-2"/>
        </w:rPr>
        <w:t>,</w:t>
      </w:r>
      <w:r w:rsidR="0032669E" w:rsidRPr="00116E4B">
        <w:rPr>
          <w:rFonts w:asciiTheme="minorHAnsi" w:hAnsiTheme="minorHAnsi" w:cstheme="minorHAnsi"/>
          <w:color w:val="000000" w:themeColor="text1"/>
          <w:spacing w:val="-2"/>
        </w:rPr>
        <w:t xml:space="preserve"> </w:t>
      </w:r>
      <w:r w:rsidRPr="00116E4B">
        <w:rPr>
          <w:rFonts w:asciiTheme="minorHAnsi" w:hAnsiTheme="minorHAnsi" w:cstheme="minorHAnsi"/>
          <w:color w:val="000000" w:themeColor="text1"/>
          <w:spacing w:val="-2"/>
        </w:rPr>
        <w:t>supported by</w:t>
      </w:r>
      <w:r w:rsidR="007E6D2A" w:rsidRPr="00116E4B">
        <w:rPr>
          <w:rFonts w:asciiTheme="minorHAnsi" w:hAnsiTheme="minorHAnsi" w:cstheme="minorHAnsi"/>
          <w:color w:val="000000" w:themeColor="text1"/>
          <w:spacing w:val="-2"/>
        </w:rPr>
        <w:t xml:space="preserve"> Document</w:t>
      </w:r>
      <w:r w:rsidRPr="00116E4B">
        <w:rPr>
          <w:rFonts w:asciiTheme="minorHAnsi" w:hAnsiTheme="minorHAnsi" w:cstheme="minorHAnsi"/>
          <w:color w:val="000000" w:themeColor="text1"/>
          <w:spacing w:val="-2"/>
        </w:rPr>
        <w:t xml:space="preserve"> </w:t>
      </w:r>
      <w:hyperlink r:id="rId24">
        <w:r w:rsidRPr="00116E4B">
          <w:rPr>
            <w:rStyle w:val="Hyperlink"/>
            <w:rFonts w:asciiTheme="minorHAnsi" w:hAnsiTheme="minorHAnsi" w:cstheme="minorHAnsi"/>
            <w:spacing w:val="-2"/>
          </w:rPr>
          <w:t>C26/INF/10</w:t>
        </w:r>
      </w:hyperlink>
      <w:r w:rsidRPr="00116E4B">
        <w:rPr>
          <w:rFonts w:asciiTheme="minorHAnsi" w:hAnsiTheme="minorHAnsi" w:cstheme="minorHAnsi"/>
          <w:spacing w:val="-2"/>
        </w:rPr>
        <w:t xml:space="preserve"> containing the detailed report</w:t>
      </w:r>
      <w:r w:rsidRPr="00116E4B">
        <w:rPr>
          <w:rFonts w:asciiTheme="minorHAnsi" w:hAnsiTheme="minorHAnsi" w:cstheme="minorHAnsi"/>
          <w:color w:val="000000" w:themeColor="text1"/>
          <w:spacing w:val="-2"/>
        </w:rPr>
        <w:t>.</w:t>
      </w:r>
    </w:p>
    <w:p w14:paraId="71F5B2B6" w14:textId="77777777" w:rsidR="000608AD" w:rsidRPr="00124698" w:rsidRDefault="000608AD" w:rsidP="007E6D2A">
      <w:pPr>
        <w:pStyle w:val="Headingb"/>
      </w:pPr>
      <w:r w:rsidRPr="00124698">
        <w:t>Findings</w:t>
      </w:r>
    </w:p>
    <w:p w14:paraId="79D5EFDE" w14:textId="32965C23" w:rsidR="000608AD" w:rsidRPr="00124698" w:rsidRDefault="000608AD" w:rsidP="004E14C1">
      <w:pPr>
        <w:jc w:val="both"/>
        <w:rPr>
          <w:rFonts w:asciiTheme="minorHAnsi" w:hAnsiTheme="minorHAnsi" w:cstheme="minorHAnsi"/>
        </w:rPr>
      </w:pPr>
      <w:r w:rsidRPr="00124698">
        <w:rPr>
          <w:rFonts w:asciiTheme="minorHAnsi" w:hAnsiTheme="minorHAnsi" w:cstheme="minorHAnsi"/>
          <w:color w:val="000000" w:themeColor="text1"/>
        </w:rPr>
        <w:t>T</w:t>
      </w:r>
      <w:r w:rsidRPr="00124698">
        <w:rPr>
          <w:rFonts w:asciiTheme="minorHAnsi" w:hAnsiTheme="minorHAnsi" w:cstheme="minorHAnsi"/>
        </w:rPr>
        <w:t>he</w:t>
      </w:r>
      <w:r w:rsidR="0032669E" w:rsidRPr="00124698">
        <w:rPr>
          <w:rFonts w:asciiTheme="minorHAnsi" w:hAnsiTheme="minorHAnsi" w:cstheme="minorHAnsi"/>
        </w:rPr>
        <w:t xml:space="preserve"> </w:t>
      </w:r>
      <w:r w:rsidRPr="00124698">
        <w:rPr>
          <w:rFonts w:asciiTheme="minorHAnsi" w:hAnsiTheme="minorHAnsi" w:cstheme="minorHAnsi"/>
        </w:rPr>
        <w:t>review provides a comprehensive assessment of the effectiveness, relevance, and strategic alignment of ITU’s regional presence. Drawing on an extensive evidence base —including desk research, surveys, stakeholder consultations, and structured interviews with Regional Telecommunication Organizations—</w:t>
      </w:r>
      <w:r w:rsidR="007E6D2A" w:rsidRPr="00124698">
        <w:rPr>
          <w:rFonts w:asciiTheme="minorHAnsi" w:hAnsiTheme="minorHAnsi" w:cstheme="minorHAnsi"/>
        </w:rPr>
        <w:t xml:space="preserve"> </w:t>
      </w:r>
      <w:r w:rsidRPr="00124698">
        <w:rPr>
          <w:rFonts w:asciiTheme="minorHAnsi" w:hAnsiTheme="minorHAnsi" w:cstheme="minorHAnsi"/>
        </w:rPr>
        <w:t xml:space="preserve">the review included responses to 27 KPI assessments, and analysis across 12 SoW dimensions. </w:t>
      </w:r>
    </w:p>
    <w:p w14:paraId="42C52BDC" w14:textId="64EEFE9E" w:rsidR="000608AD" w:rsidRPr="00124698" w:rsidRDefault="000608AD" w:rsidP="004E14C1">
      <w:pPr>
        <w:jc w:val="both"/>
        <w:rPr>
          <w:rFonts w:asciiTheme="minorHAnsi" w:hAnsiTheme="minorHAnsi" w:cstheme="minorHAnsi"/>
        </w:rPr>
      </w:pPr>
      <w:r w:rsidRPr="00124698">
        <w:rPr>
          <w:rFonts w:asciiTheme="minorHAnsi" w:hAnsiTheme="minorHAnsi" w:cstheme="minorHAnsi"/>
        </w:rPr>
        <w:t>The findings present a detailed picture of a regional system that is highly valued, trusted, and operationally vital. The report includes the background and context of the review, the</w:t>
      </w:r>
      <w:r w:rsidR="0032669E" w:rsidRPr="00124698">
        <w:rPr>
          <w:rFonts w:asciiTheme="minorHAnsi" w:hAnsiTheme="minorHAnsi" w:cstheme="minorHAnsi"/>
        </w:rPr>
        <w:t xml:space="preserve"> </w:t>
      </w:r>
      <w:r w:rsidRPr="00124698">
        <w:rPr>
          <w:rFonts w:asciiTheme="minorHAnsi" w:hAnsiTheme="minorHAnsi" w:cstheme="minorHAnsi"/>
        </w:rPr>
        <w:t>methodology</w:t>
      </w:r>
      <w:r w:rsidR="0032669E" w:rsidRPr="00124698">
        <w:rPr>
          <w:rFonts w:asciiTheme="minorHAnsi" w:hAnsiTheme="minorHAnsi" w:cstheme="minorHAnsi"/>
        </w:rPr>
        <w:t xml:space="preserve"> </w:t>
      </w:r>
      <w:r w:rsidRPr="00124698">
        <w:rPr>
          <w:rFonts w:asciiTheme="minorHAnsi" w:hAnsiTheme="minorHAnsi" w:cstheme="minorHAnsi"/>
        </w:rPr>
        <w:t>as specified by Council as well as the detailed findings patterns in the findings emanating from the review.</w:t>
      </w:r>
      <w:r w:rsidR="0032669E" w:rsidRPr="00124698">
        <w:rPr>
          <w:rFonts w:asciiTheme="minorHAnsi" w:hAnsiTheme="minorHAnsi" w:cstheme="minorHAnsi"/>
        </w:rPr>
        <w:t xml:space="preserve"> </w:t>
      </w:r>
      <w:r w:rsidRPr="00124698">
        <w:rPr>
          <w:rFonts w:asciiTheme="minorHAnsi" w:hAnsiTheme="minorHAnsi" w:cstheme="minorHAnsi"/>
        </w:rPr>
        <w:t xml:space="preserve">The findings of the report are summarised in the SWOT analysis below: </w:t>
      </w:r>
    </w:p>
    <w:p w14:paraId="213065C0" w14:textId="77777777" w:rsidR="000608AD" w:rsidRPr="00124698" w:rsidRDefault="000608AD" w:rsidP="007E6D2A">
      <w:pPr>
        <w:pStyle w:val="Headingi"/>
        <w:rPr>
          <w:rFonts w:cs="Segoe UI"/>
          <w:sz w:val="28"/>
        </w:rPr>
      </w:pPr>
      <w:r w:rsidRPr="00124698">
        <w:t>Strengths</w:t>
      </w:r>
    </w:p>
    <w:p w14:paraId="58BC2D85" w14:textId="0EC0AD36" w:rsidR="000608AD" w:rsidRPr="00124698" w:rsidRDefault="00885B51" w:rsidP="004E14C1">
      <w:pPr>
        <w:pStyle w:val="enumlev1"/>
        <w:jc w:val="both"/>
      </w:pPr>
      <w:r w:rsidRPr="00124698">
        <w:t>–</w:t>
      </w:r>
      <w:r w:rsidRPr="00124698">
        <w:tab/>
      </w:r>
      <w:r w:rsidR="000608AD" w:rsidRPr="00124698">
        <w:t xml:space="preserve">Regional presence enjoys strong membership support, with 71% agreeing that regional offices contribute effectively to delivering ITU’s mandate on the ground. </w:t>
      </w:r>
    </w:p>
    <w:p w14:paraId="462B3F0D" w14:textId="2E8007ED" w:rsidR="000608AD" w:rsidRPr="00124698" w:rsidRDefault="00885B51" w:rsidP="004E14C1">
      <w:pPr>
        <w:pStyle w:val="enumlev1"/>
        <w:jc w:val="both"/>
      </w:pPr>
      <w:r w:rsidRPr="00124698">
        <w:t>–</w:t>
      </w:r>
      <w:r w:rsidRPr="00124698">
        <w:tab/>
      </w:r>
      <w:r w:rsidR="000608AD" w:rsidRPr="00124698">
        <w:t xml:space="preserve">Regional offices maintain active engagement with Member States, with 74% of respondents reporting consultation with regional offices during the survey period. </w:t>
      </w:r>
    </w:p>
    <w:p w14:paraId="041EB99B" w14:textId="00BCCAF8" w:rsidR="000608AD" w:rsidRPr="00124698" w:rsidRDefault="00885B51" w:rsidP="004E14C1">
      <w:pPr>
        <w:pStyle w:val="enumlev1"/>
        <w:jc w:val="both"/>
      </w:pPr>
      <w:r w:rsidRPr="00124698">
        <w:t>–</w:t>
      </w:r>
      <w:r w:rsidRPr="00124698">
        <w:tab/>
      </w:r>
      <w:r w:rsidR="000608AD" w:rsidRPr="00124698">
        <w:t>Dissemination of information and knowledge is widely valued, with 73% agreeing that regional offices effectively share information and data with stakeholders.</w:t>
      </w:r>
    </w:p>
    <w:p w14:paraId="29C327A8" w14:textId="63058C57" w:rsidR="000608AD" w:rsidRPr="00124698" w:rsidRDefault="00885B51" w:rsidP="004E14C1">
      <w:pPr>
        <w:pStyle w:val="enumlev1"/>
        <w:jc w:val="both"/>
      </w:pPr>
      <w:r w:rsidRPr="00124698">
        <w:t>–</w:t>
      </w:r>
      <w:r w:rsidRPr="00124698">
        <w:tab/>
      </w:r>
      <w:r w:rsidR="000608AD" w:rsidRPr="00124698">
        <w:t>Regional presence facilitates extensive stakeholder engagement, reflected in more than 1</w:t>
      </w:r>
      <w:r w:rsidR="004E14C1" w:rsidRPr="00124698">
        <w:t> </w:t>
      </w:r>
      <w:r w:rsidR="000608AD" w:rsidRPr="00124698">
        <w:t>000 events and 1</w:t>
      </w:r>
      <w:r w:rsidR="004E14C1" w:rsidRPr="00124698">
        <w:t> </w:t>
      </w:r>
      <w:r w:rsidR="000608AD" w:rsidRPr="00124698">
        <w:t>500 meetings organized across 109 host countries between 2022 and 2025.</w:t>
      </w:r>
    </w:p>
    <w:p w14:paraId="3ED52249" w14:textId="0F2B2D0D" w:rsidR="000608AD" w:rsidRPr="00124698" w:rsidRDefault="00885B51" w:rsidP="004E14C1">
      <w:pPr>
        <w:pStyle w:val="enumlev1"/>
        <w:jc w:val="both"/>
      </w:pPr>
      <w:r w:rsidRPr="00124698">
        <w:t>–</w:t>
      </w:r>
      <w:r w:rsidRPr="00124698">
        <w:tab/>
      </w:r>
      <w:r w:rsidR="000608AD" w:rsidRPr="00124698">
        <w:t>Strong collaborative foundations exist within the membership, with 82% of respondents expressing willingness to collaborate with Regional and Area Offices.</w:t>
      </w:r>
    </w:p>
    <w:p w14:paraId="11912496" w14:textId="77777777" w:rsidR="000608AD" w:rsidRPr="00124698" w:rsidRDefault="000608AD" w:rsidP="007E6D2A">
      <w:pPr>
        <w:pStyle w:val="Headingi"/>
      </w:pPr>
      <w:r w:rsidRPr="00124698">
        <w:lastRenderedPageBreak/>
        <w:t>Weaknesses</w:t>
      </w:r>
    </w:p>
    <w:p w14:paraId="08354EB6" w14:textId="4838EBA0" w:rsidR="000608AD" w:rsidRPr="00124698" w:rsidRDefault="00885B51" w:rsidP="000F12E4">
      <w:pPr>
        <w:pStyle w:val="enumlev1"/>
        <w:jc w:val="both"/>
      </w:pPr>
      <w:r w:rsidRPr="00124698">
        <w:t>–</w:t>
      </w:r>
      <w:r w:rsidRPr="00124698">
        <w:tab/>
      </w:r>
      <w:r w:rsidR="000608AD" w:rsidRPr="00124698">
        <w:t xml:space="preserve">Operational expectations sometimes exceed available resources, with survey responses highlighting the need for additional staffing and financial capacity to strengthen regional presence. </w:t>
      </w:r>
    </w:p>
    <w:p w14:paraId="001942C9" w14:textId="4AB42E2B" w:rsidR="000608AD" w:rsidRPr="00124698" w:rsidRDefault="00885B51" w:rsidP="000F12E4">
      <w:pPr>
        <w:pStyle w:val="enumlev1"/>
        <w:jc w:val="both"/>
      </w:pPr>
      <w:r w:rsidRPr="00124698">
        <w:t>–</w:t>
      </w:r>
      <w:r w:rsidRPr="00124698">
        <w:tab/>
      </w:r>
      <w:r w:rsidR="000608AD" w:rsidRPr="00124698">
        <w:t xml:space="preserve">Recruitment timelines and recurring vacancies affect the ability of regional offices to fully deploy staffing resources. </w:t>
      </w:r>
    </w:p>
    <w:p w14:paraId="6423C201" w14:textId="7D5C07AD" w:rsidR="000608AD" w:rsidRPr="00124698" w:rsidRDefault="00885B51" w:rsidP="000F12E4">
      <w:pPr>
        <w:pStyle w:val="enumlev1"/>
        <w:jc w:val="both"/>
      </w:pPr>
      <w:r w:rsidRPr="00124698">
        <w:t>–</w:t>
      </w:r>
      <w:r w:rsidRPr="00124698">
        <w:tab/>
      </w:r>
      <w:r w:rsidR="000608AD" w:rsidRPr="00124698">
        <w:t xml:space="preserve">Perceptions of the effectiveness of partnerships and resource mobilization remain moderate compared with other support functions. </w:t>
      </w:r>
    </w:p>
    <w:p w14:paraId="4AD687EA" w14:textId="4E9F72CE" w:rsidR="000608AD" w:rsidRPr="00124698" w:rsidRDefault="00885B51" w:rsidP="000F12E4">
      <w:pPr>
        <w:pStyle w:val="enumlev1"/>
        <w:jc w:val="both"/>
      </w:pPr>
      <w:r w:rsidRPr="00124698">
        <w:t>–</w:t>
      </w:r>
      <w:r w:rsidRPr="00124698">
        <w:tab/>
      </w:r>
      <w:r w:rsidR="000608AD" w:rsidRPr="00124698">
        <w:t xml:space="preserve">Stakeholders highlight the need for better data on staffing, financial resources and project implementation to strengthen oversight </w:t>
      </w:r>
      <w:r w:rsidR="000608AD" w:rsidRPr="00124698">
        <w:rPr>
          <w:rFonts w:eastAsia="Calibri" w:cs="Calibri"/>
        </w:rPr>
        <w:t>of regional operations.</w:t>
      </w:r>
    </w:p>
    <w:p w14:paraId="23290489" w14:textId="77777777" w:rsidR="000608AD" w:rsidRPr="00124698" w:rsidRDefault="000608AD" w:rsidP="007E6D2A">
      <w:pPr>
        <w:pStyle w:val="Headingi"/>
      </w:pPr>
      <w:r w:rsidRPr="00124698">
        <w:t>Opportunities</w:t>
      </w:r>
    </w:p>
    <w:p w14:paraId="779FBE27" w14:textId="13D3E10D" w:rsidR="000608AD" w:rsidRPr="00124698" w:rsidRDefault="00885B51" w:rsidP="000F12E4">
      <w:pPr>
        <w:pStyle w:val="enumlev1"/>
        <w:jc w:val="both"/>
      </w:pPr>
      <w:r w:rsidRPr="00124698">
        <w:t>–</w:t>
      </w:r>
      <w:r w:rsidRPr="00124698">
        <w:tab/>
      </w:r>
      <w:r w:rsidR="000608AD" w:rsidRPr="00124698">
        <w:rPr>
          <w:rFonts w:eastAsia="Calibri"/>
        </w:rPr>
        <w:t xml:space="preserve">High </w:t>
      </w:r>
      <w:r w:rsidR="000608AD" w:rsidRPr="00124698">
        <w:t xml:space="preserve">willingness among members to collaborate provides opportunities to expand partnership-based initiatives and joint projects. </w:t>
      </w:r>
    </w:p>
    <w:p w14:paraId="464EDBD3" w14:textId="426D7601" w:rsidR="000608AD" w:rsidRPr="00124698" w:rsidRDefault="00885B51" w:rsidP="000F12E4">
      <w:pPr>
        <w:pStyle w:val="enumlev1"/>
        <w:jc w:val="both"/>
      </w:pPr>
      <w:r w:rsidRPr="00124698">
        <w:t>–</w:t>
      </w:r>
      <w:r w:rsidRPr="00124698">
        <w:tab/>
      </w:r>
      <w:r w:rsidR="000608AD" w:rsidRPr="00124698">
        <w:t xml:space="preserve">Regional offices already support extensive engagement activities, providing a platform for scaling regional programmes and initiatives. </w:t>
      </w:r>
    </w:p>
    <w:p w14:paraId="5A53F8A7" w14:textId="7C54ECBC" w:rsidR="000608AD" w:rsidRPr="00124698" w:rsidRDefault="00885B51" w:rsidP="000F12E4">
      <w:pPr>
        <w:pStyle w:val="enumlev1"/>
        <w:jc w:val="both"/>
      </w:pPr>
      <w:r w:rsidRPr="00124698">
        <w:t>–</w:t>
      </w:r>
      <w:r w:rsidRPr="00124698">
        <w:tab/>
      </w:r>
      <w:r w:rsidR="000608AD" w:rsidRPr="00124698">
        <w:t xml:space="preserve">Strengthening partnership frameworks with regional organizations and UN entities could facilitate co-financed initiatives and project implementation. </w:t>
      </w:r>
    </w:p>
    <w:p w14:paraId="6277180D" w14:textId="610AE979" w:rsidR="000608AD" w:rsidRPr="00124698" w:rsidRDefault="00885B51" w:rsidP="000F12E4">
      <w:pPr>
        <w:pStyle w:val="enumlev1"/>
        <w:jc w:val="both"/>
      </w:pPr>
      <w:r w:rsidRPr="00124698">
        <w:t>–</w:t>
      </w:r>
      <w:r w:rsidRPr="00124698">
        <w:tab/>
      </w:r>
      <w:r w:rsidR="000608AD" w:rsidRPr="00124698">
        <w:t>Stronger resource mobilization could allow expanding staffing capacity and technical expertise and could further enhance the ability of regional offices to deliver projects.</w:t>
      </w:r>
    </w:p>
    <w:p w14:paraId="0DE28E75" w14:textId="77777777" w:rsidR="000608AD" w:rsidRPr="00124698" w:rsidRDefault="000608AD" w:rsidP="007E6D2A">
      <w:pPr>
        <w:pStyle w:val="Headingi"/>
      </w:pPr>
      <w:r w:rsidRPr="00124698">
        <w:t>Threats</w:t>
      </w:r>
    </w:p>
    <w:p w14:paraId="477FC8EA" w14:textId="46314087" w:rsidR="000608AD" w:rsidRPr="00124698" w:rsidRDefault="00885B51" w:rsidP="000F12E4">
      <w:pPr>
        <w:pStyle w:val="enumlev1"/>
        <w:jc w:val="both"/>
      </w:pPr>
      <w:r w:rsidRPr="00124698">
        <w:t>–</w:t>
      </w:r>
      <w:r w:rsidRPr="00124698">
        <w:tab/>
      </w:r>
      <w:r w:rsidR="000608AD" w:rsidRPr="00124698">
        <w:t xml:space="preserve">High consultation rates with regional offices reflect growing demand for support, potentially increasing pressure on limited staffing resources. </w:t>
      </w:r>
    </w:p>
    <w:p w14:paraId="0C4B8B82" w14:textId="6A854B11" w:rsidR="000608AD" w:rsidRPr="00124698" w:rsidRDefault="00885B51" w:rsidP="000F12E4">
      <w:pPr>
        <w:pStyle w:val="enumlev1"/>
        <w:jc w:val="both"/>
      </w:pPr>
      <w:r w:rsidRPr="00124698">
        <w:t>–</w:t>
      </w:r>
      <w:r w:rsidRPr="00124698">
        <w:tab/>
      </w:r>
      <w:r w:rsidR="000608AD" w:rsidRPr="00124698">
        <w:t xml:space="preserve">Implementation of regional initiatives may depend on predictable financing arrangements and partnership mechanisms that are not always secured early in project cycles. </w:t>
      </w:r>
    </w:p>
    <w:p w14:paraId="4933AD2D" w14:textId="169DB02F" w:rsidR="000608AD" w:rsidRPr="00124698" w:rsidRDefault="00885B51" w:rsidP="000F12E4">
      <w:pPr>
        <w:pStyle w:val="enumlev1"/>
        <w:jc w:val="both"/>
      </w:pPr>
      <w:r w:rsidRPr="00124698">
        <w:t>–</w:t>
      </w:r>
      <w:r w:rsidRPr="00124698">
        <w:tab/>
      </w:r>
      <w:r w:rsidR="000608AD" w:rsidRPr="00124698">
        <w:t>Expanding regional programmes and partnerships may require additional technical</w:t>
      </w:r>
      <w:r w:rsidR="000608AD" w:rsidRPr="00124698">
        <w:rPr>
          <w:rFonts w:eastAsia="Calibri" w:cs="Calibri"/>
        </w:rPr>
        <w:t xml:space="preserve"> expertise and coordination capacity across ITU sectors.</w:t>
      </w:r>
    </w:p>
    <w:p w14:paraId="5E8784F7" w14:textId="77777777" w:rsidR="000608AD" w:rsidRPr="00124698" w:rsidRDefault="000608AD" w:rsidP="00885B51">
      <w:pPr>
        <w:pStyle w:val="Headingb"/>
      </w:pPr>
      <w:r w:rsidRPr="00124698">
        <w:t xml:space="preserve">Addressing comments from councillors </w:t>
      </w:r>
    </w:p>
    <w:p w14:paraId="1004EDF8" w14:textId="31783BBB" w:rsidR="000608AD" w:rsidRPr="00124698" w:rsidRDefault="000608AD" w:rsidP="000F12E4">
      <w:pPr>
        <w:jc w:val="both"/>
        <w:rPr>
          <w:rFonts w:asciiTheme="minorHAnsi" w:hAnsiTheme="minorHAnsi" w:cstheme="minorHAnsi"/>
        </w:rPr>
      </w:pPr>
      <w:r w:rsidRPr="00124698">
        <w:rPr>
          <w:rFonts w:asciiTheme="minorHAnsi" w:hAnsiTheme="minorHAnsi" w:cstheme="minorHAnsi"/>
        </w:rPr>
        <w:t>The</w:t>
      </w:r>
      <w:r w:rsidR="0032669E" w:rsidRPr="00124698">
        <w:rPr>
          <w:rFonts w:asciiTheme="minorHAnsi" w:hAnsiTheme="minorHAnsi" w:cstheme="minorHAnsi"/>
        </w:rPr>
        <w:t xml:space="preserve"> </w:t>
      </w:r>
      <w:r w:rsidR="00176C1D">
        <w:rPr>
          <w:rFonts w:asciiTheme="minorHAnsi" w:hAnsiTheme="minorHAnsi" w:cstheme="minorHAnsi"/>
        </w:rPr>
        <w:t xml:space="preserve">Council-26 </w:t>
      </w:r>
      <w:r w:rsidRPr="00124698">
        <w:rPr>
          <w:rFonts w:asciiTheme="minorHAnsi" w:hAnsiTheme="minorHAnsi" w:cstheme="minorHAnsi"/>
        </w:rPr>
        <w:t xml:space="preserve">summary </w:t>
      </w:r>
      <w:r w:rsidR="00176C1D">
        <w:rPr>
          <w:rFonts w:asciiTheme="minorHAnsi" w:hAnsiTheme="minorHAnsi" w:cstheme="minorHAnsi"/>
        </w:rPr>
        <w:t xml:space="preserve">record containing </w:t>
      </w:r>
      <w:r w:rsidRPr="00124698">
        <w:rPr>
          <w:rFonts w:asciiTheme="minorHAnsi" w:hAnsiTheme="minorHAnsi" w:cstheme="minorHAnsi"/>
        </w:rPr>
        <w:t>the proceedings is</w:t>
      </w:r>
      <w:r w:rsidR="0032669E" w:rsidRPr="00124698">
        <w:rPr>
          <w:rFonts w:asciiTheme="minorHAnsi" w:hAnsiTheme="minorHAnsi" w:cstheme="minorHAnsi"/>
        </w:rPr>
        <w:t xml:space="preserve"> </w:t>
      </w:r>
      <w:r w:rsidRPr="00124698">
        <w:rPr>
          <w:rFonts w:asciiTheme="minorHAnsi" w:hAnsiTheme="minorHAnsi" w:cstheme="minorHAnsi"/>
        </w:rPr>
        <w:t>available</w:t>
      </w:r>
      <w:r w:rsidR="0032669E" w:rsidRPr="00124698">
        <w:rPr>
          <w:rFonts w:asciiTheme="minorHAnsi" w:hAnsiTheme="minorHAnsi" w:cstheme="minorHAnsi"/>
        </w:rPr>
        <w:t xml:space="preserve"> </w:t>
      </w:r>
      <w:r w:rsidR="00176C1D">
        <w:rPr>
          <w:rFonts w:asciiTheme="minorHAnsi" w:hAnsiTheme="minorHAnsi" w:cstheme="minorHAnsi"/>
        </w:rPr>
        <w:t xml:space="preserve">in Document </w:t>
      </w:r>
      <w:hyperlink r:id="rId25" w:history="1">
        <w:r w:rsidR="00176C1D" w:rsidRPr="00176C1D">
          <w:rPr>
            <w:rStyle w:val="Hyperlink"/>
            <w:rFonts w:asciiTheme="minorHAnsi" w:hAnsiTheme="minorHAnsi" w:cstheme="minorHAnsi"/>
          </w:rPr>
          <w:t>C26/119</w:t>
        </w:r>
      </w:hyperlink>
      <w:r w:rsidRPr="00124698">
        <w:rPr>
          <w:rFonts w:asciiTheme="minorHAnsi" w:hAnsiTheme="minorHAnsi" w:cstheme="minorHAnsi"/>
        </w:rPr>
        <w:t>.</w:t>
      </w:r>
      <w:r w:rsidR="0032669E" w:rsidRPr="00124698">
        <w:rPr>
          <w:rFonts w:asciiTheme="minorHAnsi" w:hAnsiTheme="minorHAnsi" w:cstheme="minorHAnsi"/>
        </w:rPr>
        <w:t xml:space="preserve"> </w:t>
      </w:r>
      <w:r w:rsidRPr="00124698">
        <w:rPr>
          <w:rFonts w:asciiTheme="minorHAnsi" w:hAnsiTheme="minorHAnsi" w:cstheme="minorHAnsi"/>
        </w:rPr>
        <w:t>In</w:t>
      </w:r>
      <w:r w:rsidR="00116E4B">
        <w:rPr>
          <w:rFonts w:asciiTheme="minorHAnsi" w:hAnsiTheme="minorHAnsi" w:cstheme="minorHAnsi"/>
        </w:rPr>
        <w:t> </w:t>
      </w:r>
      <w:r w:rsidRPr="00124698">
        <w:rPr>
          <w:rFonts w:asciiTheme="minorHAnsi" w:hAnsiTheme="minorHAnsi" w:cstheme="minorHAnsi"/>
        </w:rPr>
        <w:t>response to the</w:t>
      </w:r>
      <w:r w:rsidR="0032669E" w:rsidRPr="00124698">
        <w:rPr>
          <w:rFonts w:asciiTheme="minorHAnsi" w:hAnsiTheme="minorHAnsi" w:cstheme="minorHAnsi"/>
        </w:rPr>
        <w:t xml:space="preserve"> </w:t>
      </w:r>
      <w:r w:rsidRPr="00124698">
        <w:rPr>
          <w:rFonts w:asciiTheme="minorHAnsi" w:hAnsiTheme="minorHAnsi" w:cstheme="minorHAnsi"/>
        </w:rPr>
        <w:t xml:space="preserve">presentation of </w:t>
      </w:r>
      <w:r w:rsidR="00885B51" w:rsidRPr="00124698">
        <w:rPr>
          <w:rFonts w:asciiTheme="minorHAnsi" w:hAnsiTheme="minorHAnsi" w:cstheme="minorHAnsi"/>
        </w:rPr>
        <w:t>Documen</w:t>
      </w:r>
      <w:r w:rsidR="00885B51" w:rsidRPr="00124698">
        <w:rPr>
          <w:rStyle w:val="eop"/>
          <w:rFonts w:asciiTheme="minorHAnsi" w:hAnsiTheme="minorHAnsi" w:cstheme="minorHAnsi"/>
        </w:rPr>
        <w:t>t </w:t>
      </w:r>
      <w:hyperlink r:id="rId26">
        <w:r w:rsidRPr="00124698">
          <w:rPr>
            <w:rStyle w:val="Hyperlink"/>
            <w:rFonts w:asciiTheme="minorHAnsi" w:hAnsiTheme="minorHAnsi" w:cstheme="minorHAnsi"/>
          </w:rPr>
          <w:t>C26/24</w:t>
        </w:r>
      </w:hyperlink>
      <w:r w:rsidR="00885B51" w:rsidRPr="00124698">
        <w:rPr>
          <w:rStyle w:val="eop"/>
          <w:rFonts w:asciiTheme="minorHAnsi" w:hAnsiTheme="minorHAnsi" w:cstheme="minorHAnsi"/>
        </w:rPr>
        <w:t xml:space="preserve">, </w:t>
      </w:r>
      <w:r w:rsidRPr="00124698">
        <w:rPr>
          <w:rStyle w:val="eop"/>
          <w:rFonts w:asciiTheme="minorHAnsi" w:hAnsiTheme="minorHAnsi" w:cstheme="minorHAnsi"/>
        </w:rPr>
        <w:t xml:space="preserve">while welcoming the overall positive findings of the review, Member States requested that the </w:t>
      </w:r>
      <w:r w:rsidR="00035E62" w:rsidRPr="00124698">
        <w:rPr>
          <w:rStyle w:val="eop"/>
          <w:rFonts w:asciiTheme="minorHAnsi" w:hAnsiTheme="minorHAnsi" w:cstheme="minorHAnsi"/>
        </w:rPr>
        <w:t xml:space="preserve">secretariat </w:t>
      </w:r>
      <w:r w:rsidRPr="00124698">
        <w:rPr>
          <w:rStyle w:val="eop"/>
          <w:rFonts w:asciiTheme="minorHAnsi" w:hAnsiTheme="minorHAnsi" w:cstheme="minorHAnsi"/>
        </w:rPr>
        <w:t xml:space="preserve">present concrete follow-up actions to address the observations arising from the review, together with the recommendations of IMAC and the external </w:t>
      </w:r>
      <w:r w:rsidRPr="00124698">
        <w:rPr>
          <w:rFonts w:asciiTheme="minorHAnsi" w:hAnsiTheme="minorHAnsi" w:cstheme="minorHAnsi"/>
        </w:rPr>
        <w:t>auditors.</w:t>
      </w:r>
      <w:r w:rsidR="0032669E" w:rsidRPr="00124698">
        <w:rPr>
          <w:rFonts w:asciiTheme="minorHAnsi" w:hAnsiTheme="minorHAnsi" w:cstheme="minorHAnsi"/>
        </w:rPr>
        <w:t xml:space="preserve"> </w:t>
      </w:r>
      <w:r w:rsidRPr="00124698">
        <w:rPr>
          <w:rFonts w:asciiTheme="minorHAnsi" w:hAnsiTheme="minorHAnsi" w:cstheme="minorHAnsi"/>
        </w:rPr>
        <w:t>Apart from IMAC recommendations, the issues that membership focused on were strengthening regional and area offices through appropriate resource allocation including reduction in staffing delays, greater access to expertise from all three sectors at the regional level, better alignment of ITU’s work in the regions with regional and country priorities and addressing the implications of UN80.</w:t>
      </w:r>
    </w:p>
    <w:p w14:paraId="282A0EB3" w14:textId="77777777" w:rsidR="000608AD" w:rsidRPr="00124698" w:rsidRDefault="000608AD" w:rsidP="00885B51">
      <w:pPr>
        <w:pStyle w:val="Headingb"/>
      </w:pPr>
      <w:r w:rsidRPr="00124698">
        <w:t>IMAC recommendations</w:t>
      </w:r>
    </w:p>
    <w:p w14:paraId="7082A711" w14:textId="00BE74F4" w:rsidR="000608AD" w:rsidRPr="00124698" w:rsidRDefault="000608AD" w:rsidP="000F12E4">
      <w:pPr>
        <w:jc w:val="both"/>
        <w:rPr>
          <w:rFonts w:asciiTheme="minorHAnsi" w:hAnsiTheme="minorHAnsi" w:cstheme="minorHAnsi"/>
          <w:sz w:val="18"/>
          <w:szCs w:val="18"/>
        </w:rPr>
      </w:pPr>
      <w:r w:rsidRPr="00124698">
        <w:rPr>
          <w:rFonts w:asciiTheme="minorHAnsi" w:hAnsiTheme="minorHAnsi" w:cstheme="minorHAnsi"/>
        </w:rPr>
        <w:t xml:space="preserve">In its report contained in Council </w:t>
      </w:r>
      <w:r w:rsidR="00885B51" w:rsidRPr="00124698">
        <w:rPr>
          <w:rFonts w:asciiTheme="minorHAnsi" w:hAnsiTheme="minorHAnsi" w:cstheme="minorHAnsi"/>
        </w:rPr>
        <w:t>Document</w:t>
      </w:r>
      <w:r w:rsidR="00885B51" w:rsidRPr="00124698">
        <w:rPr>
          <w:rFonts w:asciiTheme="minorHAnsi" w:hAnsiTheme="minorHAnsi" w:cstheme="minorHAnsi"/>
          <w:color w:val="0070C0"/>
        </w:rPr>
        <w:t xml:space="preserve"> </w:t>
      </w:r>
      <w:hyperlink r:id="rId27">
        <w:r w:rsidRPr="00D56A7E">
          <w:rPr>
            <w:rStyle w:val="Hyperlink"/>
          </w:rPr>
          <w:t>C26/22</w:t>
        </w:r>
      </w:hyperlink>
      <w:r w:rsidRPr="00124698">
        <w:rPr>
          <w:rFonts w:asciiTheme="minorHAnsi" w:hAnsiTheme="minorHAnsi" w:cstheme="minorHAnsi"/>
          <w:color w:val="0070C0"/>
        </w:rPr>
        <w:t xml:space="preserve"> </w:t>
      </w:r>
      <w:r w:rsidRPr="00124698">
        <w:rPr>
          <w:rFonts w:asciiTheme="minorHAnsi" w:hAnsiTheme="minorHAnsi" w:cstheme="minorHAnsi"/>
        </w:rPr>
        <w:t xml:space="preserve">titled “The fifteenth Report of the Independent Management Advisory Committee (IMAC) </w:t>
      </w:r>
      <w:r w:rsidR="00E64ED2" w:rsidRPr="00124698">
        <w:rPr>
          <w:rFonts w:asciiTheme="minorHAnsi" w:hAnsiTheme="minorHAnsi" w:cstheme="minorHAnsi"/>
        </w:rPr>
        <w:t>–</w:t>
      </w:r>
      <w:r w:rsidRPr="00124698">
        <w:rPr>
          <w:rFonts w:asciiTheme="minorHAnsi" w:hAnsiTheme="minorHAnsi" w:cstheme="minorHAnsi"/>
        </w:rPr>
        <w:t xml:space="preserve"> Annual Report for 2025-2026”, IMAC appreciated the</w:t>
      </w:r>
      <w:r w:rsidR="0032669E" w:rsidRPr="00124698">
        <w:rPr>
          <w:rFonts w:asciiTheme="minorHAnsi" w:hAnsiTheme="minorHAnsi" w:cstheme="minorHAnsi"/>
        </w:rPr>
        <w:t xml:space="preserve"> </w:t>
      </w:r>
      <w:r w:rsidRPr="00124698">
        <w:rPr>
          <w:rFonts w:asciiTheme="minorHAnsi" w:hAnsiTheme="minorHAnsi" w:cstheme="minorHAnsi"/>
        </w:rPr>
        <w:t>presentation of the final report</w:t>
      </w:r>
      <w:r w:rsidR="0032669E" w:rsidRPr="00124698">
        <w:rPr>
          <w:rFonts w:asciiTheme="minorHAnsi" w:hAnsiTheme="minorHAnsi" w:cstheme="minorHAnsi"/>
        </w:rPr>
        <w:t xml:space="preserve"> </w:t>
      </w:r>
      <w:r w:rsidRPr="00124698">
        <w:rPr>
          <w:rFonts w:asciiTheme="minorHAnsi" w:hAnsiTheme="minorHAnsi" w:cstheme="minorHAnsi"/>
        </w:rPr>
        <w:t>that had been made by BDT</w:t>
      </w:r>
      <w:r w:rsidR="0032669E" w:rsidRPr="00124698">
        <w:rPr>
          <w:rFonts w:asciiTheme="minorHAnsi" w:hAnsiTheme="minorHAnsi" w:cstheme="minorHAnsi"/>
        </w:rPr>
        <w:t xml:space="preserve"> </w:t>
      </w:r>
      <w:r w:rsidRPr="00124698">
        <w:rPr>
          <w:rFonts w:asciiTheme="minorHAnsi" w:hAnsiTheme="minorHAnsi" w:cstheme="minorHAnsi"/>
        </w:rPr>
        <w:t>to IMAC (</w:t>
      </w:r>
      <w:r w:rsidR="00E64ED2" w:rsidRPr="00124698">
        <w:rPr>
          <w:rFonts w:asciiTheme="minorHAnsi" w:hAnsiTheme="minorHAnsi" w:cstheme="minorHAnsi"/>
        </w:rPr>
        <w:t>§§ </w:t>
      </w:r>
      <w:r w:rsidRPr="00124698">
        <w:rPr>
          <w:rFonts w:asciiTheme="minorHAnsi" w:hAnsiTheme="minorHAnsi" w:cstheme="minorHAnsi"/>
        </w:rPr>
        <w:t>40-41).</w:t>
      </w:r>
      <w:r w:rsidR="0032669E" w:rsidRPr="00124698">
        <w:rPr>
          <w:rFonts w:asciiTheme="minorHAnsi" w:hAnsiTheme="minorHAnsi" w:cstheme="minorHAnsi"/>
        </w:rPr>
        <w:t xml:space="preserve"> </w:t>
      </w:r>
      <w:r w:rsidRPr="00124698">
        <w:rPr>
          <w:rFonts w:asciiTheme="minorHAnsi" w:hAnsiTheme="minorHAnsi" w:cstheme="minorHAnsi"/>
        </w:rPr>
        <w:t>IMAC commended the ongoing efforts to</w:t>
      </w:r>
      <w:r w:rsidR="0032669E" w:rsidRPr="00124698">
        <w:rPr>
          <w:rFonts w:asciiTheme="minorHAnsi" w:hAnsiTheme="minorHAnsi" w:cstheme="minorHAnsi"/>
        </w:rPr>
        <w:t xml:space="preserve"> </w:t>
      </w:r>
      <w:r w:rsidRPr="00124698">
        <w:rPr>
          <w:rFonts w:asciiTheme="minorHAnsi" w:hAnsiTheme="minorHAnsi" w:cstheme="minorHAnsi"/>
        </w:rPr>
        <w:t>establish</w:t>
      </w:r>
      <w:r w:rsidR="0032669E" w:rsidRPr="00124698">
        <w:rPr>
          <w:rFonts w:asciiTheme="minorHAnsi" w:hAnsiTheme="minorHAnsi" w:cstheme="minorHAnsi"/>
        </w:rPr>
        <w:t xml:space="preserve"> </w:t>
      </w:r>
      <w:r w:rsidRPr="00124698">
        <w:rPr>
          <w:rFonts w:asciiTheme="minorHAnsi" w:hAnsiTheme="minorHAnsi" w:cstheme="minorHAnsi"/>
        </w:rPr>
        <w:t>a clearer vision and greater coherence in regional presence.</w:t>
      </w:r>
      <w:r w:rsidR="0032669E" w:rsidRPr="00124698">
        <w:rPr>
          <w:rFonts w:asciiTheme="minorHAnsi" w:hAnsiTheme="minorHAnsi" w:cstheme="minorHAnsi"/>
        </w:rPr>
        <w:t xml:space="preserve"> </w:t>
      </w:r>
      <w:r w:rsidRPr="00124698">
        <w:rPr>
          <w:rFonts w:asciiTheme="minorHAnsi" w:hAnsiTheme="minorHAnsi" w:cstheme="minorHAnsi"/>
        </w:rPr>
        <w:t xml:space="preserve">The </w:t>
      </w:r>
      <w:r w:rsidRPr="00124698">
        <w:rPr>
          <w:rFonts w:asciiTheme="minorHAnsi" w:hAnsiTheme="minorHAnsi" w:cstheme="minorHAnsi"/>
        </w:rPr>
        <w:lastRenderedPageBreak/>
        <w:t>recommendations from</w:t>
      </w:r>
      <w:r w:rsidR="0032669E" w:rsidRPr="00124698">
        <w:rPr>
          <w:rFonts w:asciiTheme="minorHAnsi" w:hAnsiTheme="minorHAnsi" w:cstheme="minorHAnsi"/>
        </w:rPr>
        <w:t xml:space="preserve"> </w:t>
      </w:r>
      <w:r w:rsidRPr="00124698">
        <w:rPr>
          <w:rFonts w:asciiTheme="minorHAnsi" w:hAnsiTheme="minorHAnsi" w:cstheme="minorHAnsi"/>
        </w:rPr>
        <w:t>IMAC include</w:t>
      </w:r>
      <w:r w:rsidR="0032669E" w:rsidRPr="00124698">
        <w:rPr>
          <w:rFonts w:asciiTheme="minorHAnsi" w:hAnsiTheme="minorHAnsi" w:cstheme="minorHAnsi"/>
        </w:rPr>
        <w:t xml:space="preserve"> </w:t>
      </w:r>
      <w:r w:rsidRPr="00124698">
        <w:rPr>
          <w:rFonts w:asciiTheme="minorHAnsi" w:hAnsiTheme="minorHAnsi" w:cstheme="minorHAnsi"/>
        </w:rPr>
        <w:t>a suggestion</w:t>
      </w:r>
      <w:r w:rsidR="0032669E" w:rsidRPr="00124698">
        <w:rPr>
          <w:rFonts w:asciiTheme="minorHAnsi" w:hAnsiTheme="minorHAnsi" w:cstheme="minorHAnsi"/>
        </w:rPr>
        <w:t xml:space="preserve"> </w:t>
      </w:r>
      <w:r w:rsidRPr="00124698">
        <w:rPr>
          <w:rFonts w:asciiTheme="minorHAnsi" w:hAnsiTheme="minorHAnsi" w:cstheme="minorHAnsi"/>
          <w:color w:val="000000" w:themeColor="text1"/>
        </w:rPr>
        <w:t>to calculate a ballpark estimate of the total cost of the in-house executed survey and to compare it to the alternative of an outsourced survey and further the documentation of</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lessons learned from the</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methodology</w:t>
      </w:r>
      <w:r w:rsidR="0032669E" w:rsidRPr="00124698">
        <w:rPr>
          <w:rFonts w:asciiTheme="minorHAnsi" w:hAnsiTheme="minorHAnsi" w:cstheme="minorHAnsi"/>
          <w:color w:val="000000" w:themeColor="text1"/>
        </w:rPr>
        <w:t xml:space="preserve"> </w:t>
      </w:r>
      <w:r w:rsidRPr="00124698">
        <w:rPr>
          <w:rFonts w:asciiTheme="minorHAnsi" w:hAnsiTheme="minorHAnsi" w:cstheme="minorHAnsi"/>
          <w:color w:val="000000" w:themeColor="text1"/>
        </w:rPr>
        <w:t>and the execution of the review.</w:t>
      </w:r>
      <w:r w:rsidR="0032669E" w:rsidRPr="00124698">
        <w:rPr>
          <w:rFonts w:asciiTheme="minorHAnsi" w:hAnsiTheme="minorHAnsi" w:cstheme="minorHAnsi"/>
          <w:color w:val="000000" w:themeColor="text1"/>
        </w:rPr>
        <w:t xml:space="preserve"> </w:t>
      </w:r>
      <w:r w:rsidRPr="00124698">
        <w:rPr>
          <w:rStyle w:val="eop"/>
          <w:rFonts w:asciiTheme="minorHAnsi" w:hAnsiTheme="minorHAnsi" w:cstheme="minorHAnsi"/>
          <w:color w:val="000000" w:themeColor="text1"/>
        </w:rPr>
        <w:t xml:space="preserve">This information is provided below. </w:t>
      </w:r>
    </w:p>
    <w:p w14:paraId="5F50204C" w14:textId="77777777" w:rsidR="000608AD" w:rsidRPr="00124698" w:rsidRDefault="000608AD" w:rsidP="000608AD">
      <w:pPr>
        <w:pStyle w:val="Heading3"/>
      </w:pPr>
      <w:r w:rsidRPr="00124698">
        <w:t>Calculation of cost savings</w:t>
      </w:r>
    </w:p>
    <w:p w14:paraId="1FF3FDD2" w14:textId="33462436" w:rsidR="000608AD" w:rsidRPr="00124698" w:rsidRDefault="000608AD" w:rsidP="000F12E4">
      <w:pPr>
        <w:jc w:val="both"/>
        <w:rPr>
          <w:rFonts w:cs="Segoe UI"/>
          <w:b/>
        </w:rPr>
      </w:pPr>
      <w:r w:rsidRPr="00124698">
        <w:rPr>
          <w:rFonts w:cs="Segoe UI"/>
        </w:rPr>
        <w:t xml:space="preserve">The review was conducted by BDT using existing internal resources. The project benefited from the sustained involvement of around a dozen staff members from across the BDT </w:t>
      </w:r>
      <w:r w:rsidR="00035E62" w:rsidRPr="00124698">
        <w:rPr>
          <w:rFonts w:cs="Segoe UI"/>
        </w:rPr>
        <w:t xml:space="preserve">secretariat </w:t>
      </w:r>
      <w:r w:rsidRPr="00124698">
        <w:rPr>
          <w:rFonts w:cs="Segoe UI"/>
        </w:rPr>
        <w:t>between July 2025 and June 2026, under the leadership of the Deputy to the BDT Director. The project team included a Chief of Department, Directors of Regional Offices, and Heads of Divisions and Services.</w:t>
      </w:r>
      <w:r w:rsidR="0032669E" w:rsidRPr="00124698">
        <w:rPr>
          <w:rStyle w:val="eop"/>
          <w:rFonts w:cs="Segoe UI"/>
        </w:rPr>
        <w:t xml:space="preserve"> </w:t>
      </w:r>
      <w:r w:rsidRPr="00124698">
        <w:rPr>
          <w:rFonts w:cs="Segoe UI"/>
        </w:rPr>
        <w:t>The level of involvement of individual staff members varied over time, with periods of limited activity alternating with periods during which some staff worked almost full time on the review for several consecutive days. Managing these demands alongside competing priorities presented considerable challenges.</w:t>
      </w:r>
      <w:r w:rsidR="0032669E" w:rsidRPr="00124698">
        <w:rPr>
          <w:rFonts w:cs="Segoe UI"/>
        </w:rPr>
        <w:t xml:space="preserve"> </w:t>
      </w:r>
      <w:r w:rsidRPr="00124698">
        <w:rPr>
          <w:rFonts w:cs="Segoe UI"/>
        </w:rPr>
        <w:t>Delegates noted that BDT conducted this review even as the same team was preparing for WTDC</w:t>
      </w:r>
      <w:r w:rsidR="00D56A7E">
        <w:rPr>
          <w:rFonts w:cs="Segoe UI"/>
        </w:rPr>
        <w:t>-</w:t>
      </w:r>
      <w:r w:rsidRPr="00124698">
        <w:rPr>
          <w:rFonts w:cs="Segoe UI"/>
        </w:rPr>
        <w:t>25.</w:t>
      </w:r>
    </w:p>
    <w:p w14:paraId="6E5D1E94" w14:textId="56FA2019" w:rsidR="000608AD" w:rsidRPr="00124698" w:rsidRDefault="000608AD" w:rsidP="000F12E4">
      <w:pPr>
        <w:tabs>
          <w:tab w:val="left" w:pos="6237"/>
        </w:tabs>
        <w:jc w:val="both"/>
        <w:rPr>
          <w:rStyle w:val="eop"/>
          <w:rFonts w:cs="Segoe UI"/>
        </w:rPr>
      </w:pPr>
      <w:r w:rsidRPr="00124698">
        <w:t>Had the exercise been outsourced, it is estimated that it would have cost at least CHF 300</w:t>
      </w:r>
      <w:r w:rsidR="000F12E4" w:rsidRPr="00124698">
        <w:t> </w:t>
      </w:r>
      <w:r w:rsidRPr="00124698">
        <w:t>000</w:t>
      </w:r>
      <w:r w:rsidRPr="00124698">
        <w:rPr>
          <w:rStyle w:val="FootnoteReference"/>
        </w:rPr>
        <w:footnoteReference w:id="1"/>
      </w:r>
      <w:r w:rsidR="000F12E4" w:rsidRPr="00124698">
        <w:t xml:space="preserve">. </w:t>
      </w:r>
      <w:r w:rsidRPr="00124698">
        <w:t>This represents a conservative estimate. By comparison, the consulting firm PwC was paid CHF 418</w:t>
      </w:r>
      <w:r w:rsidR="000F12E4" w:rsidRPr="00124698">
        <w:t> </w:t>
      </w:r>
      <w:r w:rsidRPr="00124698">
        <w:t>040 for a previous review of Regional Presence that had similar terms of reference. Even under such an outsourced arrangement, substantial internal engagement would still have been</w:t>
      </w:r>
      <w:r w:rsidR="0032669E" w:rsidRPr="00124698">
        <w:t xml:space="preserve"> </w:t>
      </w:r>
      <w:r w:rsidRPr="00124698">
        <w:t>required. BDT staff would have needed to support the process at multiple stages, including</w:t>
      </w:r>
      <w:r w:rsidR="0032669E" w:rsidRPr="00124698">
        <w:t xml:space="preserve"> </w:t>
      </w:r>
      <w:r w:rsidRPr="00124698">
        <w:t>identifying</w:t>
      </w:r>
      <w:r w:rsidR="0032669E" w:rsidRPr="00124698">
        <w:t xml:space="preserve"> </w:t>
      </w:r>
      <w:r w:rsidRPr="00124698">
        <w:t>and recruiting a vendor, briefing consultants,</w:t>
      </w:r>
      <w:r w:rsidR="0032669E" w:rsidRPr="00124698">
        <w:t xml:space="preserve"> </w:t>
      </w:r>
      <w:r w:rsidRPr="00124698">
        <w:t>collecting</w:t>
      </w:r>
      <w:r w:rsidR="0032669E" w:rsidRPr="00124698">
        <w:t xml:space="preserve"> </w:t>
      </w:r>
      <w:r w:rsidRPr="00124698">
        <w:t>and sharing information, providing clarifications, attending regular meetings, offering feedback, and arranging interviews.</w:t>
      </w:r>
      <w:r w:rsidR="0032669E" w:rsidRPr="00124698">
        <w:t xml:space="preserve"> </w:t>
      </w:r>
    </w:p>
    <w:p w14:paraId="056B03F0" w14:textId="6C41C95F" w:rsidR="000608AD" w:rsidRPr="00124698" w:rsidRDefault="000608AD" w:rsidP="000608AD">
      <w:r w:rsidRPr="00124698">
        <w:t>Although the review required a substantial internal commitment, conducting it</w:t>
      </w:r>
      <w:r w:rsidRPr="00124698" w:rsidDel="00B86764">
        <w:t xml:space="preserve"> </w:t>
      </w:r>
      <w:r w:rsidRPr="00124698">
        <w:t>internally ensured strong institutional ownership of the process,</w:t>
      </w:r>
      <w:r w:rsidR="0032669E" w:rsidRPr="00124698">
        <w:t xml:space="preserve"> </w:t>
      </w:r>
      <w:r w:rsidRPr="00124698">
        <w:t>facilitated</w:t>
      </w:r>
      <w:r w:rsidR="0032669E" w:rsidRPr="00124698">
        <w:t xml:space="preserve"> </w:t>
      </w:r>
      <w:r w:rsidRPr="00124698">
        <w:t xml:space="preserve">direct engagement across the </w:t>
      </w:r>
      <w:r w:rsidR="00035E62" w:rsidRPr="00124698">
        <w:t>secretariat</w:t>
      </w:r>
      <w:r w:rsidRPr="00124698">
        <w:t>, and generated substantial cost savings for the organization</w:t>
      </w:r>
      <w:r w:rsidRPr="00124698" w:rsidDel="007C10D7">
        <w:t>.</w:t>
      </w:r>
    </w:p>
    <w:p w14:paraId="7582BE83" w14:textId="77777777" w:rsidR="000608AD" w:rsidRPr="00124698" w:rsidRDefault="000608AD" w:rsidP="000608AD">
      <w:pPr>
        <w:pStyle w:val="Heading3"/>
      </w:pPr>
      <w:r w:rsidRPr="00124698">
        <w:t>Lessons learned</w:t>
      </w:r>
    </w:p>
    <w:p w14:paraId="33D3ADDD" w14:textId="77777777" w:rsidR="000608AD" w:rsidRPr="00124698" w:rsidRDefault="000608AD" w:rsidP="00E23D3D">
      <w:pPr>
        <w:jc w:val="both"/>
      </w:pPr>
      <w:r w:rsidRPr="00124698">
        <w:t>The review identified several lessons that may help inform the planning and implementation of similar internally conducted reviews in the future.</w:t>
      </w:r>
    </w:p>
    <w:p w14:paraId="55A0AB67" w14:textId="77777777" w:rsidR="000608AD" w:rsidRPr="00124698" w:rsidRDefault="000608AD" w:rsidP="00885B51">
      <w:pPr>
        <w:pStyle w:val="Headingi"/>
      </w:pPr>
      <w:r w:rsidRPr="00124698">
        <w:t>Governance</w:t>
      </w:r>
    </w:p>
    <w:p w14:paraId="0FDC7AFE" w14:textId="64B6F2D6" w:rsidR="000608AD" w:rsidRPr="00124698" w:rsidRDefault="000608AD" w:rsidP="000F12E4">
      <w:pPr>
        <w:jc w:val="both"/>
      </w:pPr>
      <w:r w:rsidRPr="00124698">
        <w:t>Conducting the review in accordance with terms of reference approved by the membership provided a clear mandate and shared expectations from the outset. Focusing the assessment on the agreed scope of work and key performance indicators, while drawing on multiple sources of evidence</w:t>
      </w:r>
      <w:r w:rsidR="000F12E4" w:rsidRPr="00124698">
        <w:t xml:space="preserve"> </w:t>
      </w:r>
      <w:r w:rsidRPr="00124698">
        <w:t>—including the membership survey, interviews with regional telecommunication organizations, and structured inputs from colleagues at headquarters and in the regional offices—</w:t>
      </w:r>
      <w:r w:rsidR="000F12E4" w:rsidRPr="00124698">
        <w:t xml:space="preserve"> </w:t>
      </w:r>
      <w:r w:rsidRPr="00124698">
        <w:t>helped strengthen the credibility and balance of the findings.</w:t>
      </w:r>
    </w:p>
    <w:p w14:paraId="18671D52" w14:textId="77777777" w:rsidR="000608AD" w:rsidRPr="00124698" w:rsidRDefault="000608AD" w:rsidP="00885B51">
      <w:pPr>
        <w:pStyle w:val="Headingi"/>
      </w:pPr>
      <w:r w:rsidRPr="00124698">
        <w:t>Project management</w:t>
      </w:r>
    </w:p>
    <w:p w14:paraId="46DC8B5C" w14:textId="77777777" w:rsidR="000608AD" w:rsidRPr="00124698" w:rsidRDefault="000608AD" w:rsidP="000F12E4">
      <w:pPr>
        <w:jc w:val="both"/>
      </w:pPr>
      <w:r w:rsidRPr="00124698">
        <w:t>Managing the review as a dedicated project, with defined milestones, coordination arrangements and regular monitoring, helped keep the work on track. This approach also demonstrated that a complex review can be successfully undertaken in-house while staff continue to deliver their regular responsibilities.</w:t>
      </w:r>
    </w:p>
    <w:p w14:paraId="15DB2795" w14:textId="77777777" w:rsidR="000608AD" w:rsidRPr="00124698" w:rsidRDefault="000608AD" w:rsidP="00885B51">
      <w:pPr>
        <w:pStyle w:val="Headingi"/>
      </w:pPr>
      <w:r w:rsidRPr="00124698">
        <w:lastRenderedPageBreak/>
        <w:t>Collaboration</w:t>
      </w:r>
    </w:p>
    <w:p w14:paraId="138A4CD5" w14:textId="77777777" w:rsidR="000608AD" w:rsidRPr="00E87BE7" w:rsidRDefault="000608AD" w:rsidP="000F12E4">
      <w:pPr>
        <w:jc w:val="both"/>
        <w:rPr>
          <w:spacing w:val="-2"/>
        </w:rPr>
      </w:pPr>
      <w:r w:rsidRPr="00E87BE7">
        <w:rPr>
          <w:spacing w:val="-2"/>
        </w:rPr>
        <w:t>Broad collaboration across the Union proved to be a key success factor. Headquarters and regional office colleagues jointly developed the membership and internal assessment surveys, while staff from across ITU contributed information and expertise throughout the review process. This collaborative approach enhanced both the quality of the assessment and institutional ownership of its findings.</w:t>
      </w:r>
    </w:p>
    <w:p w14:paraId="3BB248B8" w14:textId="77777777" w:rsidR="000608AD" w:rsidRPr="00124698" w:rsidRDefault="000608AD" w:rsidP="00885B51">
      <w:pPr>
        <w:pStyle w:val="Headingi"/>
      </w:pPr>
      <w:r w:rsidRPr="00124698">
        <w:t>Analysis</w:t>
      </w:r>
    </w:p>
    <w:p w14:paraId="419C7D4E" w14:textId="77777777" w:rsidR="000608AD" w:rsidRPr="00124698" w:rsidRDefault="000608AD" w:rsidP="000F12E4">
      <w:pPr>
        <w:jc w:val="both"/>
        <w:rPr>
          <w:rStyle w:val="eop"/>
          <w:rFonts w:ascii="Aptos" w:hAnsi="Aptos" w:cs="Segoe UI"/>
        </w:rPr>
      </w:pPr>
      <w:r w:rsidRPr="00124698">
        <w:t>A structured approach to consolidating and analysing information from multiple sources helped ensure consistency and robustness. Technical support from the ICT Data Analytics Division of BDT strengthened the analysis of survey data and contributed to the overall credibility of the assessment.</w:t>
      </w:r>
    </w:p>
    <w:p w14:paraId="2B7FF799" w14:textId="4F1917E5" w:rsidR="000608AD" w:rsidRPr="00124698" w:rsidRDefault="000608AD" w:rsidP="00ED5A35">
      <w:pPr>
        <w:pStyle w:val="Headingb"/>
        <w:rPr>
          <w:rFonts w:eastAsiaTheme="majorEastAsia"/>
        </w:rPr>
      </w:pPr>
      <w:r w:rsidRPr="00124698">
        <w:rPr>
          <w:rFonts w:eastAsiaTheme="majorEastAsia"/>
        </w:rPr>
        <w:t>Resource adequacy and process efficiency</w:t>
      </w:r>
    </w:p>
    <w:p w14:paraId="2DA01BC2" w14:textId="0E143CB4" w:rsidR="000608AD" w:rsidRPr="00124698" w:rsidRDefault="000608AD" w:rsidP="000F12E4">
      <w:pPr>
        <w:jc w:val="both"/>
        <w:rPr>
          <w:rFonts w:eastAsia="Segoe UI" w:cs="Segoe UI"/>
          <w:lang w:eastAsia="en-GB"/>
        </w:rPr>
      </w:pPr>
      <w:r w:rsidRPr="00124698">
        <w:t xml:space="preserve">The review confirmed the strategic importance of Regional and Area Offices in supporting the implementation of ITU’s mandate. During the Council discussion, Member States emphasized the importance of ensuring that these offices are supported by adequate resources, efficient business processes and timely recruitment. </w:t>
      </w:r>
      <w:r w:rsidRPr="00124698">
        <w:rPr>
          <w:rFonts w:cs="Segoe UI"/>
          <w:lang w:eastAsia="en-GB"/>
        </w:rPr>
        <w:t>To address the findings of the review, it is important to distinguish between resource constraints and process constraints. The latter can affect the optimal utilisation of existing resources. As regards process constraints, this work is already under way. In the context of regional presence, the impact of process bottlenecks is felt on project implementation. The BDT realignment exercise in 2024 created the Project Programme and Implementation (PPI) Division to further strengthen the effectiveness and impact of development initiatives. PPI has been established within the Operations Coordination Department. Reporting directly to the Deputy to the Director, this Division is dedicated to enhancing the quality, coherence, and delivery of global and regional development projects. PPI is reinforcing project implementation processes, monitoring performance, and helping streamline project execution</w:t>
      </w:r>
      <w:r w:rsidRPr="00124698">
        <w:t xml:space="preserve"> frameworks to ensure timely delivery and measurable results. BDT has already strengthened project management through the adoption of RASCI role-and-responsibility matrices across the project lifecycle and the integration of KPI-based performance requirements into project planning and implementation processes. The three PPI leads are spearheading efforts to resolve project related recruitment, finance and procurement delays working with the relevant corporate support functions. The aim is also to </w:t>
      </w:r>
      <w:r w:rsidRPr="00124698">
        <w:rPr>
          <w:rFonts w:cs="Segoe UI"/>
          <w:lang w:eastAsia="en-GB"/>
        </w:rPr>
        <w:t>improve timely access to the financial and operational information needed for project and activity management. This will be done in coordination with the ITU Transformation Team.</w:t>
      </w:r>
      <w:r w:rsidRPr="00124698">
        <w:rPr>
          <w:rFonts w:eastAsia="Segoe UI" w:cs="Segoe UI"/>
          <w:lang w:eastAsia="en-GB"/>
        </w:rPr>
        <w:t xml:space="preserve"> </w:t>
      </w:r>
    </w:p>
    <w:p w14:paraId="72559F71" w14:textId="77777777" w:rsidR="000608AD" w:rsidRPr="00E23D3D" w:rsidRDefault="000608AD" w:rsidP="000F12E4">
      <w:pPr>
        <w:jc w:val="both"/>
        <w:rPr>
          <w:spacing w:val="-2"/>
        </w:rPr>
      </w:pPr>
      <w:r w:rsidRPr="00E23D3D">
        <w:rPr>
          <w:spacing w:val="-2"/>
        </w:rPr>
        <w:t xml:space="preserve">The ITU Transformation Team is actively addressing the issue of streamlining and strengthening internal processes, and looking for scalable business-process solutions that can be used organization-wide. One concrete example relevant to transformation is the travel management application developed by BDT in response to audit recommendations to streamline BDT travel. As reported during Council discussions, BDT’s application modernized and consolidated travel processes; enhanced transparency, accountability and oversight; and was reviewed by the ITU Transformation Team as a potential prototype for use across other Bureaux and the General Secretariat. </w:t>
      </w:r>
    </w:p>
    <w:p w14:paraId="59D29435" w14:textId="77777777" w:rsidR="000608AD" w:rsidRPr="00124698" w:rsidDel="002261BA" w:rsidRDefault="000608AD" w:rsidP="000F12E4">
      <w:pPr>
        <w:jc w:val="both"/>
        <w:rPr>
          <w:rFonts w:eastAsia="Aptos" w:cs="Aptos"/>
          <w:color w:val="000000" w:themeColor="text1"/>
          <w:szCs w:val="24"/>
        </w:rPr>
      </w:pPr>
      <w:r w:rsidRPr="00124698">
        <w:rPr>
          <w:rFonts w:eastAsia="Aptos" w:cs="Aptos"/>
          <w:color w:val="000000" w:themeColor="text1"/>
          <w:szCs w:val="24"/>
        </w:rPr>
        <w:t>Efforts to address operational bottlenecks identified through the review of ITU’s regional presence are being reinforced by the recently launched cross-functional systems and processes transformation programme, a key component of ITU’s broader transformation agenda. The programme aims to improve efficiency, service quality and user experience by reviewing and streamlining end-to-end business processes.</w:t>
      </w:r>
    </w:p>
    <w:p w14:paraId="7E8C8D4B" w14:textId="77777777" w:rsidR="000608AD" w:rsidRPr="00124698" w:rsidDel="002261BA" w:rsidRDefault="000608AD" w:rsidP="000F12E4">
      <w:pPr>
        <w:jc w:val="both"/>
        <w:rPr>
          <w:rFonts w:eastAsia="Aptos" w:cs="Aptos"/>
          <w:color w:val="000000" w:themeColor="text1"/>
          <w:szCs w:val="24"/>
        </w:rPr>
      </w:pPr>
      <w:r w:rsidRPr="00124698">
        <w:rPr>
          <w:rFonts w:eastAsia="Aptos" w:cs="Aptos"/>
          <w:color w:val="000000" w:themeColor="text1"/>
          <w:szCs w:val="24"/>
        </w:rPr>
        <w:t xml:space="preserve">Initial workstreams focus on recruitment, procurement and financial processes, taking a holistic approach that integrates people, processes, data and systems. This responds to key challenges such </w:t>
      </w:r>
      <w:r w:rsidRPr="00124698">
        <w:rPr>
          <w:rFonts w:eastAsia="Aptos" w:cs="Aptos"/>
          <w:color w:val="000000" w:themeColor="text1"/>
          <w:szCs w:val="24"/>
        </w:rPr>
        <w:lastRenderedPageBreak/>
        <w:t>as delays, fragmented workflows and recruitment timelines that limit the timely deployment of resources. The programme also addresses the need for improved data on staffing, financial resources and project implementation to strengthen oversight and decision-making. As part of the programme, a new CRM system is being implemented to support resource mobilization, enhance stakeholder management and improve visibility over partnerships and funding opportunities. Regional offices are represented on the task force reviewing and improving resource mobilization processes to ensure that their needs are met. Overall, this programme is promoting greater transparency, accountability and continuous improvement, with expected outcomes including reduced lead times, improved service delivery and stronger support to regional operations and project implementation.</w:t>
      </w:r>
    </w:p>
    <w:p w14:paraId="7115607E" w14:textId="77777777" w:rsidR="000608AD" w:rsidRPr="00124698" w:rsidRDefault="000608AD" w:rsidP="000F12E4">
      <w:pPr>
        <w:jc w:val="both"/>
        <w:rPr>
          <w:rFonts w:cs="Segoe UI"/>
          <w:color w:val="000000" w:themeColor="text1"/>
        </w:rPr>
      </w:pPr>
      <w:r w:rsidRPr="00124698">
        <w:t xml:space="preserve">In parallel, </w:t>
      </w:r>
      <w:r w:rsidRPr="00124698">
        <w:rPr>
          <w:rFonts w:cs="Segoe UI"/>
          <w:color w:val="000000" w:themeColor="text1"/>
        </w:rPr>
        <w:t xml:space="preserve">the Human Resources Management Department (HRMD) is implementing a comprehensive modernization of recruitment and workforce planning to enhance efficiency, transparency, and compliance within the organization. This effort includes redesigning recruitment processes, integrating workforce planning with budget cycles, and leveraging digital and AI tools. HRMD has completed a review and redesign of consultant recruitment by streamlining processes, updating policies, clarifying roles, and improving governance to reduce processing times and ensure agile recruitment aligned with operational needs. The modernized recruitment framework will be expanded to fixed-term regular budget recruitment, introducing new tools, workflows, performance monitoring, and governance to support timely, merit-based recruitment while upholding principles of diversity and competence, expected by early 2027. Further, HRMD is developing AI-powered tools for job description drafting, consultant terms of reference, and talent outreach to improve recruitment quality and speed. </w:t>
      </w:r>
    </w:p>
    <w:p w14:paraId="5C23B17D" w14:textId="7BE805EF" w:rsidR="000608AD" w:rsidRPr="00124698" w:rsidRDefault="3795D3AF" w:rsidP="00ED5A35">
      <w:pPr>
        <w:pStyle w:val="Headingb"/>
      </w:pPr>
      <w:r>
        <w:t>Access to</w:t>
      </w:r>
      <w:r w:rsidR="515C24F2">
        <w:t xml:space="preserve"> </w:t>
      </w:r>
      <w:r>
        <w:t>expertise</w:t>
      </w:r>
      <w:r w:rsidR="515C24F2">
        <w:t xml:space="preserve"> </w:t>
      </w:r>
      <w:r>
        <w:t>from</w:t>
      </w:r>
      <w:r w:rsidR="515C24F2">
        <w:t xml:space="preserve"> </w:t>
      </w:r>
      <w:r>
        <w:t>all three</w:t>
      </w:r>
      <w:r w:rsidR="515C24F2">
        <w:t xml:space="preserve"> </w:t>
      </w:r>
      <w:r w:rsidR="158FE2D5">
        <w:t xml:space="preserve">Sectors </w:t>
      </w:r>
    </w:p>
    <w:p w14:paraId="605D0204" w14:textId="13DE2023" w:rsidR="000608AD" w:rsidRPr="00124698" w:rsidRDefault="51F7F21C" w:rsidP="4E856C81">
      <w:pPr>
        <w:spacing w:line="259" w:lineRule="auto"/>
        <w:jc w:val="both"/>
        <w:rPr>
          <w:rFonts w:eastAsia="Aptos"/>
        </w:rPr>
      </w:pPr>
      <w:r w:rsidRPr="4E856C81">
        <w:rPr>
          <w:rFonts w:eastAsia="Aptos"/>
        </w:rPr>
        <w:t>T</w:t>
      </w:r>
      <w:r w:rsidR="3795D3AF" w:rsidRPr="4E856C81">
        <w:rPr>
          <w:rFonts w:eastAsia="Aptos"/>
        </w:rPr>
        <w:t xml:space="preserve">he findings pointed to </w:t>
      </w:r>
      <w:r w:rsidR="26E1294B" w:rsidRPr="4E856C81">
        <w:rPr>
          <w:rFonts w:eastAsia="Aptos"/>
        </w:rPr>
        <w:t xml:space="preserve">the importance </w:t>
      </w:r>
      <w:r w:rsidR="0EAA30AD" w:rsidRPr="4E856C81">
        <w:rPr>
          <w:rFonts w:eastAsia="Aptos"/>
        </w:rPr>
        <w:t xml:space="preserve">of </w:t>
      </w:r>
      <w:r w:rsidR="3795D3AF" w:rsidRPr="4E856C81">
        <w:rPr>
          <w:rFonts w:eastAsia="Aptos"/>
        </w:rPr>
        <w:t xml:space="preserve">optimizing existing arrangements, avoiding duplication of resources and functions, and strengthening the effectiveness of the current operating model. The review and </w:t>
      </w:r>
      <w:r w:rsidR="23B19A8C" w:rsidRPr="4E856C81">
        <w:rPr>
          <w:rFonts w:eastAsia="Aptos"/>
        </w:rPr>
        <w:t>councillors'</w:t>
      </w:r>
      <w:r w:rsidR="3795D3AF" w:rsidRPr="4E856C81">
        <w:rPr>
          <w:rFonts w:eastAsia="Aptos"/>
        </w:rPr>
        <w:t xml:space="preserve"> comments indicate strong and consistent support for improving Member States’ access to expertise from all three ITU Sectors at the regional level. Survey respondents, stakeholders and Member States highlighted the value of integrated, multidisciplinary support and the importance of strengthening coordination between Headquarters and the regional offices. The findings as well as councillors</w:t>
      </w:r>
      <w:r w:rsidR="23B19A8C" w:rsidRPr="4E856C81">
        <w:rPr>
          <w:rFonts w:eastAsia="Aptos"/>
        </w:rPr>
        <w:t>'</w:t>
      </w:r>
      <w:r w:rsidR="3795D3AF" w:rsidRPr="4E856C81">
        <w:rPr>
          <w:rFonts w:eastAsia="Aptos"/>
        </w:rPr>
        <w:t xml:space="preserve"> comments therefore point to the need to facilitate timely access to specialized expertise in response to regional and country priorities, while making effective use of existing capacities and avoiding unnecessary duplication of resources and functions.</w:t>
      </w:r>
    </w:p>
    <w:p w14:paraId="6B234C16" w14:textId="10609804" w:rsidR="000608AD" w:rsidRPr="00124698" w:rsidRDefault="000608AD" w:rsidP="000F12E4">
      <w:pPr>
        <w:jc w:val="both"/>
        <w:rPr>
          <w:rFonts w:eastAsia="Aptos"/>
        </w:rPr>
      </w:pPr>
      <w:r w:rsidRPr="00124698">
        <w:rPr>
          <w:rFonts w:eastAsia="Aptos"/>
        </w:rPr>
        <w:t xml:space="preserve">The </w:t>
      </w:r>
      <w:r w:rsidR="00035E62" w:rsidRPr="00124698">
        <w:rPr>
          <w:rFonts w:eastAsia="Aptos"/>
        </w:rPr>
        <w:t>secretariat</w:t>
      </w:r>
      <w:r w:rsidRPr="00124698">
        <w:rPr>
          <w:rFonts w:eastAsia="Aptos"/>
        </w:rPr>
        <w:t xml:space="preserve"> will continue to improve access to sectoral expertise through practical service-delivery arrangements, including enhanced coordination mechanisms, sectoral focal points, temporary deployments, regional technical missions and project-funded specialist positions, where justified by operational requirements and available resources. These measures will strengthen the ability of Regional and Area Offices to facilitate access to the full range of ITU expertise while preserving the distinct mandates and technical responsibilities of the three Sectors and ensuring the efficient use of resources.</w:t>
      </w:r>
    </w:p>
    <w:p w14:paraId="442AD2C4" w14:textId="77777777" w:rsidR="000608AD" w:rsidRPr="00124698" w:rsidRDefault="000608AD" w:rsidP="00ED5A35">
      <w:pPr>
        <w:pStyle w:val="Headingb"/>
      </w:pPr>
      <w:r w:rsidRPr="00124698">
        <w:t xml:space="preserve">Improving implementation and accountability </w:t>
      </w:r>
    </w:p>
    <w:p w14:paraId="39E47CE6" w14:textId="01F1670A" w:rsidR="000608AD" w:rsidRPr="00124698" w:rsidRDefault="000608AD" w:rsidP="000F12E4">
      <w:pPr>
        <w:jc w:val="both"/>
        <w:rPr>
          <w:rFonts w:asciiTheme="minorHAnsi" w:hAnsiTheme="minorHAnsi" w:cstheme="minorHAnsi"/>
        </w:rPr>
      </w:pPr>
      <w:r w:rsidRPr="00124698">
        <w:rPr>
          <w:rFonts w:asciiTheme="minorHAnsi" w:hAnsiTheme="minorHAnsi" w:cstheme="minorHAnsi"/>
        </w:rPr>
        <w:t>Regional and Area Offices operate as an integral part of BDT’s planning and delivery framework and depend on effective support from Headquarters.</w:t>
      </w:r>
      <w:r w:rsidR="0032669E" w:rsidRPr="00124698">
        <w:rPr>
          <w:rFonts w:asciiTheme="minorHAnsi" w:hAnsiTheme="minorHAnsi" w:cstheme="minorHAnsi"/>
        </w:rPr>
        <w:t xml:space="preserve"> </w:t>
      </w:r>
      <w:r w:rsidRPr="00124698">
        <w:rPr>
          <w:rFonts w:asciiTheme="minorHAnsi" w:hAnsiTheme="minorHAnsi" w:cstheme="minorHAnsi"/>
        </w:rPr>
        <w:t>While process improvements are ongoing as described above, in terms of concrete follow up actions, efforts continue to be made to map key delivery processes, including project approval, procurement, consultant recruitment, partnership</w:t>
      </w:r>
      <w:r w:rsidR="0032669E" w:rsidRPr="00124698">
        <w:rPr>
          <w:rFonts w:asciiTheme="minorHAnsi" w:hAnsiTheme="minorHAnsi" w:cstheme="minorHAnsi"/>
        </w:rPr>
        <w:t xml:space="preserve"> </w:t>
      </w:r>
      <w:r w:rsidRPr="00124698">
        <w:rPr>
          <w:rFonts w:asciiTheme="minorHAnsi" w:hAnsiTheme="minorHAnsi" w:cstheme="minorHAnsi"/>
        </w:rPr>
        <w:lastRenderedPageBreak/>
        <w:t>agreements</w:t>
      </w:r>
      <w:r w:rsidR="0032669E" w:rsidRPr="00124698">
        <w:rPr>
          <w:rFonts w:asciiTheme="minorHAnsi" w:hAnsiTheme="minorHAnsi" w:cstheme="minorHAnsi"/>
        </w:rPr>
        <w:t xml:space="preserve"> </w:t>
      </w:r>
      <w:r w:rsidRPr="00124698">
        <w:rPr>
          <w:rFonts w:asciiTheme="minorHAnsi" w:hAnsiTheme="minorHAnsi" w:cstheme="minorHAnsi"/>
        </w:rPr>
        <w:t>and event approvals, identify</w:t>
      </w:r>
      <w:r w:rsidR="0032669E" w:rsidRPr="00124698">
        <w:rPr>
          <w:rFonts w:asciiTheme="minorHAnsi" w:hAnsiTheme="minorHAnsi" w:cstheme="minorHAnsi"/>
        </w:rPr>
        <w:t xml:space="preserve"> </w:t>
      </w:r>
      <w:r w:rsidRPr="00124698">
        <w:rPr>
          <w:rFonts w:asciiTheme="minorHAnsi" w:hAnsiTheme="minorHAnsi" w:cstheme="minorHAnsi"/>
        </w:rPr>
        <w:t xml:space="preserve">the approval stages and responsible units, assess processing times and determine where steps can be simplified or undertaken in parallel. </w:t>
      </w:r>
    </w:p>
    <w:p w14:paraId="28A5A47A" w14:textId="5A42DBC9" w:rsidR="000608AD" w:rsidRPr="00124698" w:rsidRDefault="000608AD" w:rsidP="000F12E4">
      <w:pPr>
        <w:jc w:val="both"/>
      </w:pPr>
      <w:r>
        <w:t>It is important to determine</w:t>
      </w:r>
      <w:r w:rsidR="0032669E">
        <w:t xml:space="preserve"> </w:t>
      </w:r>
      <w:r>
        <w:t>which decisions may appropriately be delegated, together with safeguards</w:t>
      </w:r>
      <w:r w:rsidR="0032669E">
        <w:t xml:space="preserve"> </w:t>
      </w:r>
      <w:r>
        <w:t>required</w:t>
      </w:r>
      <w:r w:rsidR="0032669E">
        <w:t xml:space="preserve"> </w:t>
      </w:r>
      <w:r>
        <w:t>to</w:t>
      </w:r>
      <w:r w:rsidR="0032669E">
        <w:t xml:space="preserve"> </w:t>
      </w:r>
      <w:r>
        <w:t>maintain</w:t>
      </w:r>
      <w:r w:rsidR="0032669E">
        <w:t xml:space="preserve"> </w:t>
      </w:r>
      <w:r>
        <w:t>accountability,</w:t>
      </w:r>
      <w:r w:rsidR="0032669E">
        <w:t xml:space="preserve"> </w:t>
      </w:r>
      <w:r>
        <w:t>compliance</w:t>
      </w:r>
      <w:r w:rsidR="0032669E">
        <w:t xml:space="preserve"> </w:t>
      </w:r>
      <w:r>
        <w:t>and effective oversight.</w:t>
      </w:r>
      <w:r w:rsidR="0032669E">
        <w:t xml:space="preserve"> </w:t>
      </w:r>
      <w:r>
        <w:t xml:space="preserve">As reported in </w:t>
      </w:r>
      <w:r w:rsidR="00ED5A35">
        <w:t xml:space="preserve">Document </w:t>
      </w:r>
      <w:hyperlink r:id="rId28">
        <w:r w:rsidR="004E14C1" w:rsidRPr="1C2021A3">
          <w:rPr>
            <w:rStyle w:val="Hyperlink"/>
            <w:rFonts w:asciiTheme="minorHAnsi" w:hAnsiTheme="minorHAnsi" w:cstheme="minorBidi"/>
          </w:rPr>
          <w:t>TDAG-26/2(Add.2)(Rev.2)</w:t>
        </w:r>
      </w:hyperlink>
      <w:r>
        <w:t>, as a part of BDT's ongoing efforts to enhance operational efficiency, transparency and accountability, a structured internal process mapping initiative is being undertaken across key functions in the bureau. Delivered through a phased and evidence-based approach, the initiative ensures that proposed improvements are informed by a thorough understanding of current practices. Complementing the 2024 realignment, the work is expected to enhance the quality of implementation, strengthen coordination and better align operations with BDT's strategic objectives. Strengthening alignment with Member State and regional priorities</w:t>
      </w:r>
      <w:r w:rsidR="739E0B4F">
        <w:t>.</w:t>
      </w:r>
    </w:p>
    <w:p w14:paraId="52E3E169" w14:textId="533C1AE0" w:rsidR="000608AD" w:rsidRPr="00124698" w:rsidRDefault="000608AD" w:rsidP="000F12E4">
      <w:pPr>
        <w:jc w:val="both"/>
      </w:pPr>
      <w:r>
        <w:t xml:space="preserve">The review confirmed the importance of ensuring that all regional activities support the mandates established by the Plenipotentiary Conference and the sectoral conferences, particularly WTDC, while responding to Member States’ priorities. Accordingly, the </w:t>
      </w:r>
      <w:r w:rsidR="00035E62">
        <w:t>secretariat</w:t>
      </w:r>
      <w:r>
        <w:t xml:space="preserve"> will continue to ensure that activities included in the Operational Plans of sectors and ITU as a whole and projects are fully aligned with the outcomes of sectoral conferences and the Plenipotentiary Conference, as well as with Member State and regional priorities. Project identification and implementation will continue to focus on activities that fall within these agreed mandates, with appropriate reporting through the relevant advisory bodies to ensure coherence and transparency. </w:t>
      </w:r>
    </w:p>
    <w:p w14:paraId="23F7BB6C" w14:textId="78209C02" w:rsidR="000608AD" w:rsidRPr="00124698" w:rsidRDefault="000608AD" w:rsidP="00C32824">
      <w:pPr>
        <w:pStyle w:val="Headingb"/>
      </w:pPr>
      <w:r w:rsidRPr="1C2021A3">
        <w:t>Strengthening partnerships and resource mobilisation</w:t>
      </w:r>
    </w:p>
    <w:p w14:paraId="71DDEBEF" w14:textId="77777777" w:rsidR="000608AD" w:rsidRPr="00124698" w:rsidRDefault="000608AD" w:rsidP="000F12E4">
      <w:pPr>
        <w:jc w:val="both"/>
        <w:rPr>
          <w:rFonts w:eastAsia="Aptos"/>
        </w:rPr>
      </w:pPr>
      <w:r w:rsidRPr="00124698">
        <w:rPr>
          <w:rFonts w:eastAsia="Aptos"/>
        </w:rPr>
        <w:t>Resource mobilization and international cooperation are core priorities for ITU and especially ITU-D and are fundamental to the effective delivery of its mandate through its regional presence. The review confirmed stakeholders’ strong willingness to work closely with ITU regional presence.</w:t>
      </w:r>
    </w:p>
    <w:p w14:paraId="69B11786" w14:textId="77777777" w:rsidR="000608AD" w:rsidRPr="00124698" w:rsidRDefault="000608AD" w:rsidP="000F12E4">
      <w:pPr>
        <w:jc w:val="both"/>
        <w:rPr>
          <w:rFonts w:eastAsia="Aptos"/>
        </w:rPr>
      </w:pPr>
      <w:r w:rsidRPr="00124698">
        <w:rPr>
          <w:rFonts w:eastAsia="Aptos"/>
        </w:rPr>
        <w:t xml:space="preserve">Building on its demonstrated strengths in partnership development and resource mobilization, BDT will continue to enhance its efforts to maximize impact and support the implementation of priorities established by the membership. This includes consolidating long-term relationships with existing partners, strengthening collaboration across the United Nations system, and proactively broadening and diversifying its partners portfolio through targeted outreach to new strategic partners. Particular emphasis is placed on the development of bankable projects that respond to national and regional priorities and are capable of attracting financing from a diverse range of partners and funding institutions. </w:t>
      </w:r>
    </w:p>
    <w:p w14:paraId="49E05881" w14:textId="77777777" w:rsidR="000608AD" w:rsidRPr="00124698" w:rsidRDefault="000608AD" w:rsidP="000F12E4">
      <w:pPr>
        <w:jc w:val="both"/>
        <w:rPr>
          <w:rFonts w:eastAsia="Aptos"/>
        </w:rPr>
      </w:pPr>
      <w:r w:rsidRPr="00124698">
        <w:rPr>
          <w:rFonts w:eastAsia="Aptos"/>
        </w:rPr>
        <w:t xml:space="preserve">ITU’s regional presence is central to this approach. Through its proximity to beneficiaries, in-depth knowledge of regional and national contexts, and trusted relationships with stakeholders, ITU’s regional and area offices serve as key enablers of BDT's partnership and resource mobilization efforts to support the implementation of projects at national and regional levels, including the Regional Initiatives. Leveraging their established network, they play an instrumental role in building and sustaining collaboration with governments, development banks, regional organizations, academia, and the private sector, while also engaging with new strategic partners. Regional and Area Offices support the identification of opportunities, development of project concepts, engagement with financing partners, and negotiations that convert development priorities into funded projects and initiatives. They also further strengthen cooperation across the United Nations system, including through the United Nations Country Teams (UNCTs), helping to expand access to new funding opportunities, including the UN pooled funds. </w:t>
      </w:r>
    </w:p>
    <w:p w14:paraId="3EB02B20" w14:textId="27A1CA86" w:rsidR="000608AD" w:rsidRPr="00124698" w:rsidRDefault="000608AD" w:rsidP="000F12E4">
      <w:pPr>
        <w:jc w:val="both"/>
        <w:rPr>
          <w:szCs w:val="24"/>
          <w:highlight w:val="yellow"/>
        </w:rPr>
      </w:pPr>
      <w:r w:rsidRPr="00124698">
        <w:rPr>
          <w:rFonts w:eastAsia="Aptos"/>
        </w:rPr>
        <w:lastRenderedPageBreak/>
        <w:t>By enhancing ITU's visibility and strategic positioning at the country and regional levels, ITU regional presence reinforces BDT’s ability to build partnership, mobilize resources, and respond effectively to the priorities identified by the membership. Looking ahead, BDT will continue to deepen long-term collaboration with its existing partners, reinforce alliances with UN system and further diversify its partnership base to enhance financial sustainability, predictability and impact. This forward-looking approach will reinforce BDT’s role as a trusted convener and implementing partner, accelerating inclusive and sustainable digital development at all levels.</w:t>
      </w:r>
    </w:p>
    <w:p w14:paraId="07733170" w14:textId="77777777" w:rsidR="000608AD" w:rsidRPr="00124698" w:rsidRDefault="000608AD" w:rsidP="004E14C1">
      <w:pPr>
        <w:pStyle w:val="Headingb"/>
      </w:pPr>
      <w:r w:rsidRPr="00124698">
        <w:t>Implications of UN80 for the ITU Regional Presence Review</w:t>
      </w:r>
    </w:p>
    <w:p w14:paraId="693C3BC0" w14:textId="1617626A" w:rsidR="000608AD" w:rsidRPr="00124698" w:rsidRDefault="000608AD" w:rsidP="000F12E4">
      <w:pPr>
        <w:jc w:val="both"/>
        <w:rPr>
          <w:rFonts w:eastAsia="Aptos"/>
        </w:rPr>
      </w:pPr>
      <w:r w:rsidRPr="00124698">
        <w:rPr>
          <w:rFonts w:eastAsia="Aptos"/>
        </w:rPr>
        <w:t xml:space="preserve">Some </w:t>
      </w:r>
      <w:r w:rsidR="0066303D" w:rsidRPr="00124698">
        <w:rPr>
          <w:rFonts w:eastAsia="Aptos"/>
        </w:rPr>
        <w:t>councillors</w:t>
      </w:r>
      <w:r w:rsidRPr="00124698">
        <w:rPr>
          <w:rFonts w:eastAsia="Aptos"/>
        </w:rPr>
        <w:t xml:space="preserve"> wanted ITU to analyse the implications of UN80 as regards the ITU regional presence. The UN80 Work Packages (WP) 5 and 6 focus on redesigning country level and regional UN support for greater coherence and impact. WP5 aims to tailor UN Country Teams to national priorities which would enable ITU expertise to be accessed even without physical presence in countries. WP6 seeks to reset regional UN architecture for better coordination. This would require ITU regional offices to continue to engage intensively with regional platforms and commissions. The Expertise-on-Demand mechanism (WP8) is becoming operational, providing a practical channel for ITU to deliver specialized support, with pilot tests having started in June 2026.</w:t>
      </w:r>
    </w:p>
    <w:p w14:paraId="46CD1914" w14:textId="3C8FAAC1" w:rsidR="000608AD" w:rsidRPr="00124698" w:rsidRDefault="000608AD" w:rsidP="000F12E4">
      <w:pPr>
        <w:jc w:val="both"/>
        <w:rPr>
          <w:rFonts w:eastAsia="Aptos"/>
        </w:rPr>
      </w:pPr>
      <w:r w:rsidRPr="00124698">
        <w:rPr>
          <w:rFonts w:eastAsia="Aptos"/>
        </w:rPr>
        <w:t xml:space="preserve">It is important to note that the Regional Presence Review is a Member State-driven exercise that examines how ITU’s regional presence can most effectively support the implementation of the Union’s mandate and respond to the evolving needs of Member States. UN80, by contrast, is a system-wide initiative aimed at strengthening the effectiveness and coherence of the United Nations through improved coordination and more efficient access to specialized expertise. While the two processes are separate, they share a common objective of enhancing </w:t>
      </w:r>
      <w:r w:rsidR="004E14C1" w:rsidRPr="00124698">
        <w:rPr>
          <w:rFonts w:eastAsia="Aptos"/>
        </w:rPr>
        <w:t>delivery service</w:t>
      </w:r>
      <w:r w:rsidRPr="00124698">
        <w:rPr>
          <w:rFonts w:eastAsia="Aptos"/>
        </w:rPr>
        <w:t xml:space="preserve"> to Member States.</w:t>
      </w:r>
    </w:p>
    <w:p w14:paraId="4547F66C" w14:textId="0FAA610E" w:rsidR="000608AD" w:rsidRPr="00124698" w:rsidRDefault="000608AD" w:rsidP="4E856C81">
      <w:pPr>
        <w:spacing w:line="259" w:lineRule="auto"/>
        <w:jc w:val="both"/>
        <w:rPr>
          <w:rFonts w:eastAsia="Aptos"/>
        </w:rPr>
      </w:pPr>
      <w:r w:rsidRPr="4E856C81">
        <w:rPr>
          <w:rFonts w:eastAsia="Aptos"/>
        </w:rPr>
        <w:t xml:space="preserve">The principal relevance of UN80 for ITU lies in its emphasis on ensuring that specialized expertise is accessible where and when it is needed. This objective is closely aligned with the observations made by Member States during the presentation of the Regional Presence Review. Throughout those discussions, Member States emphasized the importance of enabling regional offices to facilitate access to the full range of ITU expertise in order to respond effectively to regional priorities and country needs. </w:t>
      </w:r>
      <w:r w:rsidR="711DD723" w:rsidRPr="4E856C81">
        <w:rPr>
          <w:rFonts w:eastAsia="Aptos"/>
        </w:rPr>
        <w:t xml:space="preserve">As results of WP 5 are implemented across the UN system, it will also be appropriate for ITU to continuously reviewing where ITU </w:t>
      </w:r>
      <w:r w:rsidR="789FEF51" w:rsidRPr="4E856C81">
        <w:rPr>
          <w:rFonts w:eastAsia="Aptos"/>
        </w:rPr>
        <w:t xml:space="preserve">objectives could </w:t>
      </w:r>
      <w:r w:rsidR="27495FD7" w:rsidRPr="4E856C81">
        <w:rPr>
          <w:rFonts w:eastAsia="Aptos"/>
        </w:rPr>
        <w:t xml:space="preserve">be </w:t>
      </w:r>
      <w:r w:rsidR="789FEF51" w:rsidRPr="4E856C81">
        <w:rPr>
          <w:rFonts w:eastAsia="Aptos"/>
        </w:rPr>
        <w:t>more effectively and efficiently achieved through other UN system partners (including by leveraging Expertise-on-Demand mechanism) rathe</w:t>
      </w:r>
      <w:r w:rsidR="66FFA5DE" w:rsidRPr="4E856C81">
        <w:rPr>
          <w:rFonts w:eastAsia="Aptos"/>
        </w:rPr>
        <w:t>r that direct end-to-end project implementation by the ITU</w:t>
      </w:r>
      <w:r w:rsidR="789FEF51" w:rsidRPr="4E856C81">
        <w:rPr>
          <w:rFonts w:eastAsia="Aptos"/>
        </w:rPr>
        <w:t>.</w:t>
      </w:r>
      <w:r w:rsidR="7071EB38" w:rsidRPr="4E856C81">
        <w:rPr>
          <w:rFonts w:eastAsia="Aptos"/>
        </w:rPr>
        <w:t xml:space="preserve"> This may especially be relevant in the Member States were ITU currently does not have direct presence.</w:t>
      </w:r>
      <w:r w:rsidR="5A7844F5" w:rsidRPr="4E856C81">
        <w:rPr>
          <w:rFonts w:eastAsia="Aptos"/>
        </w:rPr>
        <w:t xml:space="preserve"> Furthermore, it will also be appropriate to continuously assess where ITU’s regional presence </w:t>
      </w:r>
      <w:r w:rsidR="60A43C2B" w:rsidRPr="4E856C81">
        <w:rPr>
          <w:rFonts w:eastAsia="Aptos"/>
        </w:rPr>
        <w:t xml:space="preserve">and delivery </w:t>
      </w:r>
      <w:r w:rsidR="5A7844F5" w:rsidRPr="4E856C81">
        <w:rPr>
          <w:rFonts w:eastAsia="Aptos"/>
        </w:rPr>
        <w:t>could benefit from integra</w:t>
      </w:r>
      <w:r w:rsidR="253E6193" w:rsidRPr="4E856C81">
        <w:rPr>
          <w:rFonts w:eastAsia="Aptos"/>
        </w:rPr>
        <w:t xml:space="preserve">tion </w:t>
      </w:r>
      <w:r w:rsidR="5A7844F5" w:rsidRPr="4E856C81">
        <w:rPr>
          <w:rFonts w:eastAsia="Aptos"/>
        </w:rPr>
        <w:t xml:space="preserve">with regional </w:t>
      </w:r>
      <w:r w:rsidR="6A9E069A" w:rsidRPr="4E856C81">
        <w:rPr>
          <w:rFonts w:eastAsia="Aptos"/>
        </w:rPr>
        <w:t>platforms, leveraging shared services or other UN80-driven system-wide efficiency initiatives.</w:t>
      </w:r>
    </w:p>
    <w:p w14:paraId="74C5651F" w14:textId="12F6632E" w:rsidR="000608AD" w:rsidRPr="00124698" w:rsidRDefault="32941519" w:rsidP="000F12E4">
      <w:pPr>
        <w:jc w:val="both"/>
        <w:rPr>
          <w:rFonts w:eastAsia="Aptos"/>
        </w:rPr>
      </w:pPr>
      <w:r w:rsidRPr="4E856C81">
        <w:rPr>
          <w:rFonts w:eastAsia="Aptos"/>
        </w:rPr>
        <w:t>C</w:t>
      </w:r>
      <w:r w:rsidR="0066303D" w:rsidRPr="4E856C81">
        <w:rPr>
          <w:rFonts w:eastAsia="Aptos"/>
        </w:rPr>
        <w:t>ouncillors</w:t>
      </w:r>
      <w:r w:rsidR="000608AD" w:rsidRPr="4E856C81">
        <w:rPr>
          <w:rFonts w:eastAsia="Aptos"/>
        </w:rPr>
        <w:t xml:space="preserve"> noted that the specialized technical functions of the Radiocommunication Bureau (BR) and the Telecommunication Standardization Bureau (TSB) should continue to be exercised within their respective mandates, recognizing that unnecessary duplication of technical functions at the regional level would neither be efficient nor cost-effective.</w:t>
      </w:r>
    </w:p>
    <w:p w14:paraId="53C558F0" w14:textId="03E7D81C" w:rsidR="000608AD" w:rsidRPr="00124698" w:rsidRDefault="000608AD" w:rsidP="000F12E4">
      <w:pPr>
        <w:jc w:val="both"/>
        <w:rPr>
          <w:rFonts w:eastAsia="Aptos"/>
        </w:rPr>
      </w:pPr>
      <w:r w:rsidRPr="4E856C81">
        <w:rPr>
          <w:rFonts w:eastAsia="Aptos"/>
        </w:rPr>
        <w:t xml:space="preserve">Taken together, these observations point towards strengthened collaboration across the Union . The objective is to ensure that Member States can benefit from the collective expertise of ITU, drawing upon the complementary strengths of the three Bureaux, while preserving their distinct mandates and technical responsibilities. In this respect, the emerging Expertise-on-Demand </w:t>
      </w:r>
      <w:r w:rsidRPr="4E856C81">
        <w:rPr>
          <w:rFonts w:eastAsia="Aptos"/>
        </w:rPr>
        <w:lastRenderedPageBreak/>
        <w:t>approach under UN80 is relevant because it seeks to improve access to specialized expertise through enhanced coordination.</w:t>
      </w:r>
    </w:p>
    <w:p w14:paraId="25C13068" w14:textId="5EC2050C" w:rsidR="004E14C1" w:rsidRDefault="000608AD" w:rsidP="000F12E4">
      <w:pPr>
        <w:pStyle w:val="Reasons"/>
        <w:jc w:val="both"/>
      </w:pPr>
      <w:r w:rsidRPr="00124698">
        <w:t xml:space="preserve">The </w:t>
      </w:r>
      <w:r w:rsidR="00035E62" w:rsidRPr="00124698">
        <w:t>secretariat</w:t>
      </w:r>
      <w:r w:rsidRPr="00124698">
        <w:t xml:space="preserve"> will continue to monitor developments under UN80 and, where appropriate, incorporate relevant approaches that strengthen service delivery while remaining fully consistent with Member States’ mandates and ITU’s governance framework.</w:t>
      </w:r>
    </w:p>
    <w:p w14:paraId="72EC5227" w14:textId="77777777" w:rsidR="000777A5" w:rsidRPr="00124698" w:rsidRDefault="000777A5" w:rsidP="000F12E4">
      <w:pPr>
        <w:pStyle w:val="Reasons"/>
        <w:jc w:val="both"/>
      </w:pPr>
    </w:p>
    <w:p w14:paraId="3444C042" w14:textId="542378EA" w:rsidR="0008540E" w:rsidRPr="00124698" w:rsidRDefault="004E14C1" w:rsidP="004E14C1">
      <w:pPr>
        <w:jc w:val="center"/>
      </w:pPr>
      <w:r w:rsidRPr="00124698">
        <w:t>______________</w:t>
      </w:r>
    </w:p>
    <w:sectPr w:rsidR="0008540E" w:rsidRPr="00124698" w:rsidSect="00361097">
      <w:headerReference w:type="default" r:id="rId29"/>
      <w:footerReference w:type="first" r:id="rId30"/>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35850" w14:textId="77777777" w:rsidR="000E41BA" w:rsidRDefault="000E41BA">
      <w:r>
        <w:separator/>
      </w:r>
    </w:p>
  </w:endnote>
  <w:endnote w:type="continuationSeparator" w:id="0">
    <w:p w14:paraId="598CBEEC" w14:textId="77777777" w:rsidR="000E41BA" w:rsidRDefault="000E4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75C3" w14:textId="71AF3FC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895033">
        <w:rPr>
          <w:rStyle w:val="Hyperlink"/>
          <w:sz w:val="22"/>
          <w:szCs w:val="22"/>
          <w:lang w:val="en-GB"/>
        </w:rPr>
        <w:t>www.itu.int</w:t>
      </w:r>
      <w:proofErr w:type="spellEnd"/>
      <w:r w:rsidRPr="00895033">
        <w:rPr>
          <w:rStyle w:val="Hyperlink"/>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A6CD" w14:textId="77777777" w:rsidR="000E41BA" w:rsidRDefault="000E41BA">
      <w:r>
        <w:t>____________________</w:t>
      </w:r>
    </w:p>
  </w:footnote>
  <w:footnote w:type="continuationSeparator" w:id="0">
    <w:p w14:paraId="5C36479F" w14:textId="77777777" w:rsidR="000E41BA" w:rsidRDefault="000E41BA">
      <w:r>
        <w:continuationSeparator/>
      </w:r>
    </w:p>
  </w:footnote>
  <w:footnote w:id="1">
    <w:p w14:paraId="69803A9D" w14:textId="0A9BA07F" w:rsidR="000608AD" w:rsidRPr="00955ECF" w:rsidRDefault="000608AD" w:rsidP="00955ECF">
      <w:pPr>
        <w:pStyle w:val="FootnoteText"/>
      </w:pPr>
      <w:r w:rsidRPr="00C32824">
        <w:rPr>
          <w:rStyle w:val="FootnoteReference"/>
        </w:rPr>
        <w:footnoteRef/>
      </w:r>
      <w:r w:rsidR="00ED5A35" w:rsidRPr="00955ECF">
        <w:tab/>
      </w:r>
      <w:r w:rsidRPr="00955ECF">
        <w:t>Assuming 150 working days for two consultants at an average cost of CHF</w:t>
      </w:r>
      <w:r w:rsidR="00227FD8" w:rsidRPr="00955ECF">
        <w:t> </w:t>
      </w:r>
      <w:r w:rsidRPr="00955ECF">
        <w:t>1</w:t>
      </w:r>
      <w:r w:rsidR="00ED5A35" w:rsidRPr="00955ECF">
        <w:t> </w:t>
      </w:r>
      <w:r w:rsidRPr="00955ECF">
        <w:t>000 per day per consultant.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591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8DF8818" w14:textId="090A9671" w:rsidR="00CE1B90" w:rsidRDefault="00CE1B90" w:rsidP="004F7925">
    <w:pPr>
      <w:pStyle w:val="Header"/>
    </w:pPr>
    <w:proofErr w:type="spellStart"/>
    <w:r>
      <w:t>PP</w:t>
    </w:r>
    <w:r w:rsidR="000235EC">
      <w:t>2</w:t>
    </w:r>
    <w:r w:rsidR="00EF3B7A">
      <w:t>6</w:t>
    </w:r>
    <w:proofErr w:type="spellEnd"/>
    <w:r>
      <w:t>/</w:t>
    </w:r>
    <w:r w:rsidR="00DB4E9A">
      <w:t>64</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3A90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4218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9681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6D8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2B4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06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A05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8AD9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49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66F1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048D1"/>
    <w:multiLevelType w:val="hybridMultilevel"/>
    <w:tmpl w:val="611E5A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FE3C4D"/>
    <w:multiLevelType w:val="hybridMultilevel"/>
    <w:tmpl w:val="1ECC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EB08EF"/>
    <w:multiLevelType w:val="hybridMultilevel"/>
    <w:tmpl w:val="CB0AD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E813E6"/>
    <w:multiLevelType w:val="hybridMultilevel"/>
    <w:tmpl w:val="27986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5A7C96"/>
    <w:multiLevelType w:val="hybridMultilevel"/>
    <w:tmpl w:val="AD6ED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4517434">
    <w:abstractNumId w:val="9"/>
  </w:num>
  <w:num w:numId="2" w16cid:durableId="1650473550">
    <w:abstractNumId w:val="7"/>
  </w:num>
  <w:num w:numId="3" w16cid:durableId="1661887266">
    <w:abstractNumId w:val="6"/>
  </w:num>
  <w:num w:numId="4" w16cid:durableId="1298608211">
    <w:abstractNumId w:val="5"/>
  </w:num>
  <w:num w:numId="5" w16cid:durableId="1184128122">
    <w:abstractNumId w:val="4"/>
  </w:num>
  <w:num w:numId="6" w16cid:durableId="1412199952">
    <w:abstractNumId w:val="8"/>
  </w:num>
  <w:num w:numId="7" w16cid:durableId="437944225">
    <w:abstractNumId w:val="3"/>
  </w:num>
  <w:num w:numId="8" w16cid:durableId="708798396">
    <w:abstractNumId w:val="2"/>
  </w:num>
  <w:num w:numId="9" w16cid:durableId="1967658439">
    <w:abstractNumId w:val="1"/>
  </w:num>
  <w:num w:numId="10" w16cid:durableId="1995139557">
    <w:abstractNumId w:val="0"/>
  </w:num>
  <w:num w:numId="11" w16cid:durableId="447353186">
    <w:abstractNumId w:val="8"/>
  </w:num>
  <w:num w:numId="12" w16cid:durableId="1857694748">
    <w:abstractNumId w:val="3"/>
  </w:num>
  <w:num w:numId="13" w16cid:durableId="1790590483">
    <w:abstractNumId w:val="2"/>
  </w:num>
  <w:num w:numId="14" w16cid:durableId="452985970">
    <w:abstractNumId w:val="1"/>
  </w:num>
  <w:num w:numId="15" w16cid:durableId="1814907856">
    <w:abstractNumId w:val="0"/>
  </w:num>
  <w:num w:numId="16" w16cid:durableId="237641789">
    <w:abstractNumId w:val="10"/>
  </w:num>
  <w:num w:numId="17" w16cid:durableId="1770612782">
    <w:abstractNumId w:val="14"/>
  </w:num>
  <w:num w:numId="18" w16cid:durableId="311065997">
    <w:abstractNumId w:val="12"/>
  </w:num>
  <w:num w:numId="19" w16cid:durableId="1608197040">
    <w:abstractNumId w:val="13"/>
  </w:num>
  <w:num w:numId="20" w16cid:durableId="708576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5D3"/>
    <w:rsid w:val="00000AF8"/>
    <w:rsid w:val="00001935"/>
    <w:rsid w:val="000035FC"/>
    <w:rsid w:val="000048E4"/>
    <w:rsid w:val="00004F8B"/>
    <w:rsid w:val="00010B2A"/>
    <w:rsid w:val="00011208"/>
    <w:rsid w:val="000143FA"/>
    <w:rsid w:val="00014808"/>
    <w:rsid w:val="00015E97"/>
    <w:rsid w:val="000235EC"/>
    <w:rsid w:val="00035E62"/>
    <w:rsid w:val="00041924"/>
    <w:rsid w:val="000507C1"/>
    <w:rsid w:val="00053B97"/>
    <w:rsid w:val="000608AD"/>
    <w:rsid w:val="00061BDC"/>
    <w:rsid w:val="000777A5"/>
    <w:rsid w:val="00082EB9"/>
    <w:rsid w:val="000842DF"/>
    <w:rsid w:val="0008540E"/>
    <w:rsid w:val="00087095"/>
    <w:rsid w:val="00094B4F"/>
    <w:rsid w:val="000A1015"/>
    <w:rsid w:val="000B03F9"/>
    <w:rsid w:val="000B0A77"/>
    <w:rsid w:val="000B0D6C"/>
    <w:rsid w:val="000B596F"/>
    <w:rsid w:val="000B5BB9"/>
    <w:rsid w:val="000B7152"/>
    <w:rsid w:val="000B7A31"/>
    <w:rsid w:val="000C4701"/>
    <w:rsid w:val="000D595B"/>
    <w:rsid w:val="000D7D05"/>
    <w:rsid w:val="000E0156"/>
    <w:rsid w:val="000E41BA"/>
    <w:rsid w:val="000E4C7A"/>
    <w:rsid w:val="000E5E15"/>
    <w:rsid w:val="000F12E4"/>
    <w:rsid w:val="000F5A9A"/>
    <w:rsid w:val="000F73D1"/>
    <w:rsid w:val="001001C5"/>
    <w:rsid w:val="00105EFE"/>
    <w:rsid w:val="00106777"/>
    <w:rsid w:val="00114122"/>
    <w:rsid w:val="0011489E"/>
    <w:rsid w:val="00114BA3"/>
    <w:rsid w:val="00115DEC"/>
    <w:rsid w:val="00116E4B"/>
    <w:rsid w:val="0012014C"/>
    <w:rsid w:val="00123F09"/>
    <w:rsid w:val="00124698"/>
    <w:rsid w:val="00127FA6"/>
    <w:rsid w:val="00132DB9"/>
    <w:rsid w:val="00136175"/>
    <w:rsid w:val="00140FF0"/>
    <w:rsid w:val="00142F28"/>
    <w:rsid w:val="00146057"/>
    <w:rsid w:val="00161C12"/>
    <w:rsid w:val="00161CDA"/>
    <w:rsid w:val="0016633C"/>
    <w:rsid w:val="00171990"/>
    <w:rsid w:val="00176C1D"/>
    <w:rsid w:val="00195B70"/>
    <w:rsid w:val="001A0EEB"/>
    <w:rsid w:val="001A16ED"/>
    <w:rsid w:val="001A6C1A"/>
    <w:rsid w:val="001B18AB"/>
    <w:rsid w:val="001B70D1"/>
    <w:rsid w:val="001C2D51"/>
    <w:rsid w:val="001C3804"/>
    <w:rsid w:val="001D3322"/>
    <w:rsid w:val="001E01A5"/>
    <w:rsid w:val="001E18AB"/>
    <w:rsid w:val="001E1C8F"/>
    <w:rsid w:val="001F0B24"/>
    <w:rsid w:val="001F4060"/>
    <w:rsid w:val="002115E0"/>
    <w:rsid w:val="00215F12"/>
    <w:rsid w:val="00227FD8"/>
    <w:rsid w:val="00232B31"/>
    <w:rsid w:val="00235A3B"/>
    <w:rsid w:val="00243020"/>
    <w:rsid w:val="00243BE4"/>
    <w:rsid w:val="00257188"/>
    <w:rsid w:val="002578B4"/>
    <w:rsid w:val="002646C6"/>
    <w:rsid w:val="00267D12"/>
    <w:rsid w:val="00281792"/>
    <w:rsid w:val="0028799E"/>
    <w:rsid w:val="002962A8"/>
    <w:rsid w:val="002A56C0"/>
    <w:rsid w:val="002B23C7"/>
    <w:rsid w:val="002E0796"/>
    <w:rsid w:val="002E77F4"/>
    <w:rsid w:val="002F36B9"/>
    <w:rsid w:val="002F5FA2"/>
    <w:rsid w:val="003038E3"/>
    <w:rsid w:val="003126B0"/>
    <w:rsid w:val="00314127"/>
    <w:rsid w:val="00314C12"/>
    <w:rsid w:val="003261C3"/>
    <w:rsid w:val="0032669E"/>
    <w:rsid w:val="00336E20"/>
    <w:rsid w:val="003453DA"/>
    <w:rsid w:val="00357754"/>
    <w:rsid w:val="003578E4"/>
    <w:rsid w:val="00361097"/>
    <w:rsid w:val="003615E5"/>
    <w:rsid w:val="003667C7"/>
    <w:rsid w:val="00373A0D"/>
    <w:rsid w:val="003740BC"/>
    <w:rsid w:val="00375076"/>
    <w:rsid w:val="00375BBA"/>
    <w:rsid w:val="003826EA"/>
    <w:rsid w:val="003903CE"/>
    <w:rsid w:val="00395CE4"/>
    <w:rsid w:val="003A32AD"/>
    <w:rsid w:val="003A33F1"/>
    <w:rsid w:val="003A3938"/>
    <w:rsid w:val="003A4E67"/>
    <w:rsid w:val="003A5FFB"/>
    <w:rsid w:val="003A7923"/>
    <w:rsid w:val="003A7FB6"/>
    <w:rsid w:val="003B3751"/>
    <w:rsid w:val="003F0763"/>
    <w:rsid w:val="003F2121"/>
    <w:rsid w:val="003F2E54"/>
    <w:rsid w:val="003F2EE2"/>
    <w:rsid w:val="003F5771"/>
    <w:rsid w:val="003F61F3"/>
    <w:rsid w:val="004014B0"/>
    <w:rsid w:val="004059B0"/>
    <w:rsid w:val="00426AC1"/>
    <w:rsid w:val="004321DC"/>
    <w:rsid w:val="00435AA4"/>
    <w:rsid w:val="00435EA8"/>
    <w:rsid w:val="004360BB"/>
    <w:rsid w:val="0044665A"/>
    <w:rsid w:val="00447392"/>
    <w:rsid w:val="004529ED"/>
    <w:rsid w:val="0045533C"/>
    <w:rsid w:val="004606DA"/>
    <w:rsid w:val="00463092"/>
    <w:rsid w:val="004676C0"/>
    <w:rsid w:val="00474E00"/>
    <w:rsid w:val="004835DB"/>
    <w:rsid w:val="00483BDD"/>
    <w:rsid w:val="004904DB"/>
    <w:rsid w:val="00491D2D"/>
    <w:rsid w:val="004925D3"/>
    <w:rsid w:val="00494797"/>
    <w:rsid w:val="004B0C10"/>
    <w:rsid w:val="004B1476"/>
    <w:rsid w:val="004B167B"/>
    <w:rsid w:val="004C0EF7"/>
    <w:rsid w:val="004C19D7"/>
    <w:rsid w:val="004C297B"/>
    <w:rsid w:val="004C7053"/>
    <w:rsid w:val="004C73C9"/>
    <w:rsid w:val="004D15DE"/>
    <w:rsid w:val="004D7CC5"/>
    <w:rsid w:val="004E01FA"/>
    <w:rsid w:val="004E14C1"/>
    <w:rsid w:val="004E6764"/>
    <w:rsid w:val="004F041D"/>
    <w:rsid w:val="004F1C55"/>
    <w:rsid w:val="004F7925"/>
    <w:rsid w:val="00504FE5"/>
    <w:rsid w:val="00507348"/>
    <w:rsid w:val="00522C97"/>
    <w:rsid w:val="005356FD"/>
    <w:rsid w:val="00547D75"/>
    <w:rsid w:val="00551C8B"/>
    <w:rsid w:val="00554E24"/>
    <w:rsid w:val="00555A0F"/>
    <w:rsid w:val="0055663A"/>
    <w:rsid w:val="00557E05"/>
    <w:rsid w:val="00567130"/>
    <w:rsid w:val="0057034B"/>
    <w:rsid w:val="00581E8F"/>
    <w:rsid w:val="00586A98"/>
    <w:rsid w:val="00591C15"/>
    <w:rsid w:val="005927A4"/>
    <w:rsid w:val="00592E8C"/>
    <w:rsid w:val="00595628"/>
    <w:rsid w:val="00596B48"/>
    <w:rsid w:val="005A7485"/>
    <w:rsid w:val="005B10E8"/>
    <w:rsid w:val="005B4734"/>
    <w:rsid w:val="005B5026"/>
    <w:rsid w:val="005B661F"/>
    <w:rsid w:val="005C3315"/>
    <w:rsid w:val="005E1CC3"/>
    <w:rsid w:val="005E7454"/>
    <w:rsid w:val="005F05C8"/>
    <w:rsid w:val="00604079"/>
    <w:rsid w:val="00606A6A"/>
    <w:rsid w:val="006178FB"/>
    <w:rsid w:val="00617BE4"/>
    <w:rsid w:val="00620233"/>
    <w:rsid w:val="00627DF4"/>
    <w:rsid w:val="00634FFE"/>
    <w:rsid w:val="006404B0"/>
    <w:rsid w:val="0066303D"/>
    <w:rsid w:val="0066499C"/>
    <w:rsid w:val="00664F70"/>
    <w:rsid w:val="006718C8"/>
    <w:rsid w:val="00676E68"/>
    <w:rsid w:val="0069174B"/>
    <w:rsid w:val="006A7108"/>
    <w:rsid w:val="006B2035"/>
    <w:rsid w:val="006B40DA"/>
    <w:rsid w:val="006C5D5D"/>
    <w:rsid w:val="006D139F"/>
    <w:rsid w:val="006E215D"/>
    <w:rsid w:val="006E3C62"/>
    <w:rsid w:val="006E57C8"/>
    <w:rsid w:val="006E70E1"/>
    <w:rsid w:val="006F565E"/>
    <w:rsid w:val="006F61B7"/>
    <w:rsid w:val="006F794B"/>
    <w:rsid w:val="00701ABB"/>
    <w:rsid w:val="00711035"/>
    <w:rsid w:val="007130ED"/>
    <w:rsid w:val="007140CF"/>
    <w:rsid w:val="0071582A"/>
    <w:rsid w:val="00717843"/>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FC8"/>
    <w:rsid w:val="00777B8B"/>
    <w:rsid w:val="00792C61"/>
    <w:rsid w:val="00794795"/>
    <w:rsid w:val="007949EA"/>
    <w:rsid w:val="00796849"/>
    <w:rsid w:val="00796DAE"/>
    <w:rsid w:val="007A0438"/>
    <w:rsid w:val="007A59C3"/>
    <w:rsid w:val="007B0E06"/>
    <w:rsid w:val="007B30FC"/>
    <w:rsid w:val="007C3643"/>
    <w:rsid w:val="007C617F"/>
    <w:rsid w:val="007D5061"/>
    <w:rsid w:val="007D7003"/>
    <w:rsid w:val="007E00D2"/>
    <w:rsid w:val="007E2AD4"/>
    <w:rsid w:val="007E3469"/>
    <w:rsid w:val="007E6D2A"/>
    <w:rsid w:val="007E7B63"/>
    <w:rsid w:val="007F5F84"/>
    <w:rsid w:val="00810AD6"/>
    <w:rsid w:val="00816680"/>
    <w:rsid w:val="00817D5A"/>
    <w:rsid w:val="0082780C"/>
    <w:rsid w:val="008333C7"/>
    <w:rsid w:val="00833E0F"/>
    <w:rsid w:val="008404FD"/>
    <w:rsid w:val="00841AB4"/>
    <w:rsid w:val="00846DBA"/>
    <w:rsid w:val="00850AEF"/>
    <w:rsid w:val="00855DAB"/>
    <w:rsid w:val="00860C6A"/>
    <w:rsid w:val="00862891"/>
    <w:rsid w:val="00875048"/>
    <w:rsid w:val="00875BE1"/>
    <w:rsid w:val="00877715"/>
    <w:rsid w:val="00885B51"/>
    <w:rsid w:val="00895033"/>
    <w:rsid w:val="00895CE3"/>
    <w:rsid w:val="0089603F"/>
    <w:rsid w:val="00897970"/>
    <w:rsid w:val="008B5A71"/>
    <w:rsid w:val="008B7DFE"/>
    <w:rsid w:val="008C770C"/>
    <w:rsid w:val="008D06E4"/>
    <w:rsid w:val="008D3BE2"/>
    <w:rsid w:val="008D4D98"/>
    <w:rsid w:val="008E2A7B"/>
    <w:rsid w:val="008E32BE"/>
    <w:rsid w:val="008E6E9B"/>
    <w:rsid w:val="008F2C56"/>
    <w:rsid w:val="008F3C99"/>
    <w:rsid w:val="00900D5B"/>
    <w:rsid w:val="00914ADD"/>
    <w:rsid w:val="009236FE"/>
    <w:rsid w:val="00940E00"/>
    <w:rsid w:val="00945D4B"/>
    <w:rsid w:val="0094741F"/>
    <w:rsid w:val="00950E0F"/>
    <w:rsid w:val="00955ECF"/>
    <w:rsid w:val="0096150D"/>
    <w:rsid w:val="009630FA"/>
    <w:rsid w:val="00967103"/>
    <w:rsid w:val="00967670"/>
    <w:rsid w:val="00970996"/>
    <w:rsid w:val="009800CC"/>
    <w:rsid w:val="009A078E"/>
    <w:rsid w:val="009A2B30"/>
    <w:rsid w:val="009A4211"/>
    <w:rsid w:val="009A47A2"/>
    <w:rsid w:val="009A59BC"/>
    <w:rsid w:val="009E425E"/>
    <w:rsid w:val="009E4322"/>
    <w:rsid w:val="009F4384"/>
    <w:rsid w:val="009F442D"/>
    <w:rsid w:val="009F50DA"/>
    <w:rsid w:val="00A06D56"/>
    <w:rsid w:val="00A24E18"/>
    <w:rsid w:val="00A314A2"/>
    <w:rsid w:val="00A45484"/>
    <w:rsid w:val="00A516BB"/>
    <w:rsid w:val="00A5191E"/>
    <w:rsid w:val="00A619C5"/>
    <w:rsid w:val="00A808E1"/>
    <w:rsid w:val="00A8262F"/>
    <w:rsid w:val="00A84B32"/>
    <w:rsid w:val="00A84B3A"/>
    <w:rsid w:val="00A87124"/>
    <w:rsid w:val="00A93B71"/>
    <w:rsid w:val="00AA265C"/>
    <w:rsid w:val="00AA6D0C"/>
    <w:rsid w:val="00AB0B32"/>
    <w:rsid w:val="00AB190D"/>
    <w:rsid w:val="00AB2D04"/>
    <w:rsid w:val="00AB5C39"/>
    <w:rsid w:val="00AB75A9"/>
    <w:rsid w:val="00AD1C5C"/>
    <w:rsid w:val="00AD4DA6"/>
    <w:rsid w:val="00AD566F"/>
    <w:rsid w:val="00AE7C88"/>
    <w:rsid w:val="00AF0849"/>
    <w:rsid w:val="00B156F9"/>
    <w:rsid w:val="00B16F05"/>
    <w:rsid w:val="00B1733E"/>
    <w:rsid w:val="00B23CD4"/>
    <w:rsid w:val="00B25A86"/>
    <w:rsid w:val="00B304B9"/>
    <w:rsid w:val="00B37890"/>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A72A5"/>
    <w:rsid w:val="00BB312B"/>
    <w:rsid w:val="00BC6FDB"/>
    <w:rsid w:val="00BC7DE8"/>
    <w:rsid w:val="00BD1D95"/>
    <w:rsid w:val="00BE0966"/>
    <w:rsid w:val="00BF43BA"/>
    <w:rsid w:val="00BF5722"/>
    <w:rsid w:val="00BF6268"/>
    <w:rsid w:val="00BF720B"/>
    <w:rsid w:val="00C01529"/>
    <w:rsid w:val="00C04511"/>
    <w:rsid w:val="00C112A3"/>
    <w:rsid w:val="00C16846"/>
    <w:rsid w:val="00C32824"/>
    <w:rsid w:val="00C34851"/>
    <w:rsid w:val="00C3496D"/>
    <w:rsid w:val="00C3647E"/>
    <w:rsid w:val="00C42A5B"/>
    <w:rsid w:val="00C5419D"/>
    <w:rsid w:val="00C56038"/>
    <w:rsid w:val="00C66669"/>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6A7E"/>
    <w:rsid w:val="00D64FF3"/>
    <w:rsid w:val="00D657A2"/>
    <w:rsid w:val="00D74A45"/>
    <w:rsid w:val="00D75620"/>
    <w:rsid w:val="00D760C8"/>
    <w:rsid w:val="00D8137F"/>
    <w:rsid w:val="00D83FFD"/>
    <w:rsid w:val="00D8451F"/>
    <w:rsid w:val="00D8617D"/>
    <w:rsid w:val="00D92563"/>
    <w:rsid w:val="00D971B1"/>
    <w:rsid w:val="00DB4E9A"/>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3D3D"/>
    <w:rsid w:val="00E24CB2"/>
    <w:rsid w:val="00E31D1C"/>
    <w:rsid w:val="00E31EF1"/>
    <w:rsid w:val="00E32981"/>
    <w:rsid w:val="00E34312"/>
    <w:rsid w:val="00E3536D"/>
    <w:rsid w:val="00E44456"/>
    <w:rsid w:val="00E553B9"/>
    <w:rsid w:val="00E56E57"/>
    <w:rsid w:val="00E62EC4"/>
    <w:rsid w:val="00E64ED2"/>
    <w:rsid w:val="00E6599B"/>
    <w:rsid w:val="00E726DE"/>
    <w:rsid w:val="00E775A3"/>
    <w:rsid w:val="00E844D5"/>
    <w:rsid w:val="00E86536"/>
    <w:rsid w:val="00E871C2"/>
    <w:rsid w:val="00E87BE7"/>
    <w:rsid w:val="00E9217D"/>
    <w:rsid w:val="00EA1BAA"/>
    <w:rsid w:val="00EC48DD"/>
    <w:rsid w:val="00ED401C"/>
    <w:rsid w:val="00ED5A35"/>
    <w:rsid w:val="00EE333B"/>
    <w:rsid w:val="00EF23C5"/>
    <w:rsid w:val="00EF2642"/>
    <w:rsid w:val="00EF3681"/>
    <w:rsid w:val="00EF3B7A"/>
    <w:rsid w:val="00EF4AAB"/>
    <w:rsid w:val="00F10790"/>
    <w:rsid w:val="00F10E7C"/>
    <w:rsid w:val="00F13C1E"/>
    <w:rsid w:val="00F16F17"/>
    <w:rsid w:val="00F20BC2"/>
    <w:rsid w:val="00F3225F"/>
    <w:rsid w:val="00F342E4"/>
    <w:rsid w:val="00F35330"/>
    <w:rsid w:val="00F41C91"/>
    <w:rsid w:val="00F433A4"/>
    <w:rsid w:val="00F4421A"/>
    <w:rsid w:val="00F44B1A"/>
    <w:rsid w:val="00F47316"/>
    <w:rsid w:val="00F55DA5"/>
    <w:rsid w:val="00F94BC2"/>
    <w:rsid w:val="00F95ABE"/>
    <w:rsid w:val="00F9756D"/>
    <w:rsid w:val="00FB5F12"/>
    <w:rsid w:val="00FC5117"/>
    <w:rsid w:val="00FD0A05"/>
    <w:rsid w:val="00FD417F"/>
    <w:rsid w:val="00FD6BFD"/>
    <w:rsid w:val="00FD7255"/>
    <w:rsid w:val="00FD7B1D"/>
    <w:rsid w:val="00FE1E22"/>
    <w:rsid w:val="00FE6727"/>
    <w:rsid w:val="00FF04D6"/>
    <w:rsid w:val="034E1420"/>
    <w:rsid w:val="0EAA30AD"/>
    <w:rsid w:val="11BAE45B"/>
    <w:rsid w:val="158FE2D5"/>
    <w:rsid w:val="1C2021A3"/>
    <w:rsid w:val="1C2823FB"/>
    <w:rsid w:val="23B19A8C"/>
    <w:rsid w:val="253E6193"/>
    <w:rsid w:val="26E1294B"/>
    <w:rsid w:val="27495FD7"/>
    <w:rsid w:val="32941519"/>
    <w:rsid w:val="3795D3AF"/>
    <w:rsid w:val="4E856C81"/>
    <w:rsid w:val="515C24F2"/>
    <w:rsid w:val="51F7F21C"/>
    <w:rsid w:val="5A7844F5"/>
    <w:rsid w:val="60A43C2B"/>
    <w:rsid w:val="66FFA5DE"/>
    <w:rsid w:val="6A9E069A"/>
    <w:rsid w:val="7071EB38"/>
    <w:rsid w:val="711DD723"/>
    <w:rsid w:val="73249A48"/>
    <w:rsid w:val="739E0B4F"/>
    <w:rsid w:val="76F03D32"/>
    <w:rsid w:val="789FEF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4F277"/>
  <w15:docId w15:val="{6C3FFD23-6D96-4379-B095-FE4D384A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2F5FA2"/>
    <w:pPr>
      <w:keepNext/>
      <w:keepLines/>
      <w:spacing w:before="480"/>
      <w:ind w:left="567" w:hanging="567"/>
      <w:outlineLvl w:val="0"/>
    </w:pPr>
    <w:rPr>
      <w:b/>
      <w:sz w:val="28"/>
    </w:rPr>
  </w:style>
  <w:style w:type="paragraph" w:styleId="Heading2">
    <w:name w:val="heading 2"/>
    <w:basedOn w:val="Heading1"/>
    <w:next w:val="Normal"/>
    <w:link w:val="Heading2Char"/>
    <w:qFormat/>
    <w:rsid w:val="00AD566F"/>
    <w:pPr>
      <w:spacing w:before="320"/>
      <w:outlineLvl w:val="1"/>
    </w:pPr>
    <w:rPr>
      <w:sz w:val="24"/>
    </w:rPr>
  </w:style>
  <w:style w:type="paragraph" w:styleId="Heading3">
    <w:name w:val="heading 3"/>
    <w:basedOn w:val="Heading1"/>
    <w:next w:val="Normal"/>
    <w:link w:val="Heading3Char"/>
    <w:qFormat/>
    <w:rsid w:val="00257188"/>
    <w:pPr>
      <w:spacing w:before="200"/>
      <w:outlineLvl w:val="2"/>
    </w:pPr>
    <w:rPr>
      <w:sz w:val="24"/>
    </w:rPr>
  </w:style>
  <w:style w:type="paragraph" w:styleId="Heading4">
    <w:name w:val="heading 4"/>
    <w:basedOn w:val="Heading3"/>
    <w:next w:val="Normal"/>
    <w:link w:val="Heading4Char"/>
    <w:uiPriority w:val="9"/>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95033"/>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E775A3"/>
    <w:rPr>
      <w:color w:val="666666"/>
    </w:rPr>
  </w:style>
  <w:style w:type="paragraph" w:customStyle="1" w:styleId="Data">
    <w:name w:val="Data"/>
    <w:basedOn w:val="Normal"/>
    <w:rsid w:val="00AA6D0C"/>
    <w:pPr>
      <w:framePr w:hSpace="181" w:wrap="around" w:hAnchor="margin" w:xAlign="center" w:y="-674"/>
      <w:tabs>
        <w:tab w:val="left" w:pos="851"/>
      </w:tabs>
      <w:spacing w:before="0"/>
    </w:pPr>
    <w:rPr>
      <w:rFonts w:cstheme="minorHAnsi"/>
      <w:b/>
      <w:szCs w:val="24"/>
    </w:rPr>
  </w:style>
  <w:style w:type="character" w:customStyle="1" w:styleId="Heading1Char">
    <w:name w:val="Heading 1 Char"/>
    <w:basedOn w:val="DefaultParagraphFont"/>
    <w:link w:val="Heading1"/>
    <w:rsid w:val="000608AD"/>
    <w:rPr>
      <w:rFonts w:ascii="Calibri" w:hAnsi="Calibri"/>
      <w:b/>
      <w:sz w:val="28"/>
      <w:lang w:val="en-GB" w:eastAsia="en-US"/>
    </w:rPr>
  </w:style>
  <w:style w:type="character" w:customStyle="1" w:styleId="Heading2Char">
    <w:name w:val="Heading 2 Char"/>
    <w:basedOn w:val="DefaultParagraphFont"/>
    <w:link w:val="Heading2"/>
    <w:rsid w:val="000608AD"/>
    <w:rPr>
      <w:rFonts w:ascii="Calibri" w:hAnsi="Calibri"/>
      <w:b/>
      <w:sz w:val="24"/>
      <w:lang w:val="en-GB" w:eastAsia="en-US"/>
    </w:rPr>
  </w:style>
  <w:style w:type="character" w:customStyle="1" w:styleId="Heading3Char">
    <w:name w:val="Heading 3 Char"/>
    <w:basedOn w:val="DefaultParagraphFont"/>
    <w:link w:val="Heading3"/>
    <w:rsid w:val="000608AD"/>
    <w:rPr>
      <w:rFonts w:ascii="Calibri" w:hAnsi="Calibri"/>
      <w:b/>
      <w:sz w:val="24"/>
      <w:lang w:val="en-GB" w:eastAsia="en-US"/>
    </w:rPr>
  </w:style>
  <w:style w:type="character" w:customStyle="1" w:styleId="Heading4Char">
    <w:name w:val="Heading 4 Char"/>
    <w:basedOn w:val="DefaultParagraphFont"/>
    <w:link w:val="Heading4"/>
    <w:uiPriority w:val="9"/>
    <w:rsid w:val="000608AD"/>
    <w:rPr>
      <w:rFonts w:ascii="Calibri" w:hAnsi="Calibri"/>
      <w:b/>
      <w:sz w:val="24"/>
      <w:lang w:val="en-GB" w:eastAsia="en-US"/>
    </w:rPr>
  </w:style>
  <w:style w:type="paragraph" w:styleId="ListParagraph">
    <w:name w:val="List Paragraph"/>
    <w:basedOn w:val="Normal"/>
    <w:uiPriority w:val="34"/>
    <w:qFormat/>
    <w:rsid w:val="000608AD"/>
    <w:pPr>
      <w:ind w:left="720"/>
      <w:contextualSpacing/>
    </w:pPr>
    <w:rPr>
      <w:rFonts w:ascii="Aptos" w:hAnsi="Aptos"/>
    </w:rPr>
  </w:style>
  <w:style w:type="character" w:styleId="CommentReference">
    <w:name w:val="annotation reference"/>
    <w:basedOn w:val="DefaultParagraphFont"/>
    <w:semiHidden/>
    <w:unhideWhenUsed/>
    <w:rsid w:val="00B16F05"/>
    <w:rPr>
      <w:sz w:val="16"/>
      <w:szCs w:val="16"/>
    </w:rPr>
  </w:style>
  <w:style w:type="character" w:customStyle="1" w:styleId="eop">
    <w:name w:val="eop"/>
    <w:basedOn w:val="DefaultParagraphFont"/>
    <w:rsid w:val="000608AD"/>
  </w:style>
  <w:style w:type="character" w:customStyle="1" w:styleId="FootnoteTextChar">
    <w:name w:val="Footnote Text Char"/>
    <w:basedOn w:val="DefaultParagraphFont"/>
    <w:link w:val="FootnoteText"/>
    <w:rsid w:val="000608AD"/>
    <w:rPr>
      <w:rFonts w:ascii="Calibri" w:hAnsi="Calibri"/>
      <w:sz w:val="24"/>
      <w:lang w:val="en-GB" w:eastAsia="en-US"/>
    </w:rPr>
  </w:style>
  <w:style w:type="paragraph" w:customStyle="1" w:styleId="paragraph">
    <w:name w:val="paragraph"/>
    <w:basedOn w:val="Normal"/>
    <w:rsid w:val="000608AD"/>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CommentText">
    <w:name w:val="annotation text"/>
    <w:basedOn w:val="Normal"/>
    <w:link w:val="CommentTextChar"/>
    <w:unhideWhenUsed/>
    <w:rsid w:val="00B16F05"/>
    <w:rPr>
      <w:sz w:val="20"/>
    </w:rPr>
  </w:style>
  <w:style w:type="character" w:customStyle="1" w:styleId="CommentTextChar">
    <w:name w:val="Comment Text Char"/>
    <w:basedOn w:val="DefaultParagraphFont"/>
    <w:link w:val="CommentText"/>
    <w:rsid w:val="00B16F05"/>
    <w:rPr>
      <w:rFonts w:ascii="Calibri" w:hAnsi="Calibri"/>
      <w:lang w:val="en-GB" w:eastAsia="en-US"/>
    </w:rPr>
  </w:style>
  <w:style w:type="paragraph" w:styleId="CommentSubject">
    <w:name w:val="annotation subject"/>
    <w:basedOn w:val="CommentText"/>
    <w:next w:val="CommentText"/>
    <w:link w:val="CommentSubjectChar"/>
    <w:semiHidden/>
    <w:unhideWhenUsed/>
    <w:rsid w:val="00B16F05"/>
    <w:rPr>
      <w:b/>
      <w:bCs/>
    </w:rPr>
  </w:style>
  <w:style w:type="character" w:customStyle="1" w:styleId="CommentSubjectChar">
    <w:name w:val="Comment Subject Char"/>
    <w:basedOn w:val="CommentTextChar"/>
    <w:link w:val="CommentSubject"/>
    <w:semiHidden/>
    <w:rsid w:val="00B16F05"/>
    <w:rPr>
      <w:rFonts w:ascii="Calibri" w:hAnsi="Calibri"/>
      <w:b/>
      <w:bCs/>
      <w:lang w:val="en-GB" w:eastAsia="en-US"/>
    </w:rPr>
  </w:style>
  <w:style w:type="table" w:styleId="TableGrid">
    <w:name w:val="Table Grid"/>
    <w:basedOn w:val="TableNormal"/>
    <w:rsid w:val="00D74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_#"/>
    <w:basedOn w:val="Normal"/>
    <w:next w:val="Normal"/>
    <w:rsid w:val="00D74A45"/>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rPr>
  </w:style>
  <w:style w:type="paragraph" w:styleId="Revision">
    <w:name w:val="Revision"/>
    <w:hidden/>
    <w:uiPriority w:val="99"/>
    <w:semiHidden/>
    <w:rsid w:val="00176C1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6-CL-INF-0010/en" TargetMode="External"/><Relationship Id="rId18" Type="http://schemas.openxmlformats.org/officeDocument/2006/relationships/hyperlink" Target="https://www.itu.int/md/S26-CL-INF-0010/en" TargetMode="External"/><Relationship Id="rId26" Type="http://schemas.openxmlformats.org/officeDocument/2006/relationships/hyperlink" Target="https://www.itu.int/md/S26-CL-C-0024/en" TargetMode="External"/><Relationship Id="rId3" Type="http://schemas.openxmlformats.org/officeDocument/2006/relationships/customXml" Target="../customXml/item3.xml"/><Relationship Id="rId21" Type="http://schemas.openxmlformats.org/officeDocument/2006/relationships/hyperlink" Target="https://www.itu.int/md/S25-CWGFHR20-C-0032/en" TargetMode="External"/><Relationship Id="rId7" Type="http://schemas.openxmlformats.org/officeDocument/2006/relationships/settings" Target="settings.xml"/><Relationship Id="rId12" Type="http://schemas.openxmlformats.org/officeDocument/2006/relationships/hyperlink" Target="https://www.itu.int/md/S26-CL-C-0024/en" TargetMode="External"/><Relationship Id="rId17" Type="http://schemas.openxmlformats.org/officeDocument/2006/relationships/hyperlink" Target="https://www.itu.int/md/S26-CL-C-0024/en" TargetMode="External"/><Relationship Id="rId25" Type="http://schemas.openxmlformats.org/officeDocument/2006/relationships/hyperlink" Target="https://www.itu.int/md/S26-CL-C-0119/en" TargetMode="External"/><Relationship Id="rId2" Type="http://schemas.openxmlformats.org/officeDocument/2006/relationships/customXml" Target="../customXml/item2.xml"/><Relationship Id="rId16" Type="http://schemas.openxmlformats.org/officeDocument/2006/relationships/hyperlink" Target="https://www.itu.int/md/S25-CL-C-0105/en" TargetMode="External"/><Relationship Id="rId20" Type="http://schemas.openxmlformats.org/officeDocument/2006/relationships/hyperlink" Target="https://www.itu.int/md/S24-CWGFHR19-C-0015/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26-CL-INF-0010/en"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en/council/Documents/basic-texts-2023/RES-025-E.pdf" TargetMode="External"/><Relationship Id="rId23" Type="http://schemas.openxmlformats.org/officeDocument/2006/relationships/hyperlink" Target="https://www.itu.int/md/S26-CL-C-0024/en" TargetMode="External"/><Relationship Id="rId28" Type="http://schemas.openxmlformats.org/officeDocument/2006/relationships/hyperlink" Target="https://www.itu.int/dms_pub/itu-d/md/26/tdag33/c/D26-TDAG33-C-0002!A2-R2!MSW-E.docx" TargetMode="External"/><Relationship Id="rId10" Type="http://schemas.openxmlformats.org/officeDocument/2006/relationships/endnotes" Target="endnotes.xml"/><Relationship Id="rId19" Type="http://schemas.openxmlformats.org/officeDocument/2006/relationships/hyperlink" Target="https://www.itu.int/en/council/Documents/basic-texts-2023/RES-025-E.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council/Documents/basic-texts-2023/RES-025-E.pdf" TargetMode="External"/><Relationship Id="rId22" Type="http://schemas.openxmlformats.org/officeDocument/2006/relationships/hyperlink" Target="https://www.itu.int/md/S25-CL-C-0105/en" TargetMode="External"/><Relationship Id="rId27" Type="http://schemas.openxmlformats.org/officeDocument/2006/relationships/hyperlink" Target="https://www.itu.int/md/S26-CL-C-0022/en"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P26_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89F50A-BFAE-448F-B6E9-B0E5844BB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2CCB4F-4262-49D4-842E-055E0A6A2891}">
  <ds:schemaRefs>
    <ds:schemaRef ds:uri="http://schemas.openxmlformats.org/officeDocument/2006/bibliography"/>
  </ds:schemaRefs>
</ds:datastoreItem>
</file>

<file path=customXml/itemProps3.xml><?xml version="1.0" encoding="utf-8"?>
<ds:datastoreItem xmlns:ds="http://schemas.openxmlformats.org/officeDocument/2006/customXml" ds:itemID="{215FA267-DD9F-43EC-A741-085F73AD0BBF}">
  <ds:schemaRefs>
    <ds:schemaRef ds:uri="http://schemas.microsoft.com/sharepoint/v3/contenttype/forms"/>
  </ds:schemaRefs>
</ds:datastoreItem>
</file>

<file path=customXml/itemProps4.xml><?xml version="1.0" encoding="utf-8"?>
<ds:datastoreItem xmlns:ds="http://schemas.openxmlformats.org/officeDocument/2006/customXml" ds:itemID="{91A090A0-32C2-4BED-AE6A-83BA28CEFE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PP26_E-template.dotx</Template>
  <TotalTime>6</TotalTime>
  <Pages>10</Pages>
  <Words>4271</Words>
  <Characters>26528</Characters>
  <Application>Microsoft Office Word</Application>
  <DocSecurity>0</DocSecurity>
  <Lines>395</Lines>
  <Paragraphs>117</Paragraphs>
  <ScaleCrop>false</ScaleCrop>
  <HeadingPairs>
    <vt:vector size="2" baseType="variant">
      <vt:variant>
        <vt:lpstr>Title</vt:lpstr>
      </vt:variant>
      <vt:variant>
        <vt:i4>1</vt:i4>
      </vt:variant>
    </vt:vector>
  </HeadingPairs>
  <TitlesOfParts>
    <vt:vector size="1" baseType="lpstr">
      <vt:lpstr>Report on the review of the ITU regional presence</vt:lpstr>
    </vt:vector>
  </TitlesOfParts>
  <Manager/>
  <Company/>
  <LinksUpToDate>false</LinksUpToDate>
  <CharactersWithSpaces>30682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review of the ITU regional presence</dc:title>
  <dc:subject>ITU Plenipotentiary Conference (PP-26)</dc:subject>
  <cp:keywords>PP-26, PP26, ITU</cp:keywords>
  <dcterms:created xsi:type="dcterms:W3CDTF">2026-10-05T18:05:00Z</dcterms:created>
  <dcterms:modified xsi:type="dcterms:W3CDTF">2026-10-05T18:11:00Z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