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rsidRPr="00A43F6E" w14:paraId="23DDA164" w14:textId="77777777" w:rsidTr="45F3465D">
        <w:trPr>
          <w:cantSplit/>
          <w:trHeight w:hRule="exact" w:val="1417"/>
        </w:trPr>
        <w:tc>
          <w:tcPr>
            <w:tcW w:w="10031" w:type="dxa"/>
            <w:gridSpan w:val="2"/>
            <w:tcMar>
              <w:left w:w="0" w:type="dxa"/>
              <w:right w:w="0" w:type="dxa"/>
            </w:tcMar>
            <w:vAlign w:val="center"/>
          </w:tcPr>
          <w:p w14:paraId="194269B2" w14:textId="63962AB2" w:rsidR="00161CDA" w:rsidRPr="00A43F6E" w:rsidRDefault="003038E3" w:rsidP="003038E3">
            <w:pPr>
              <w:spacing w:before="0" w:line="240" w:lineRule="atLeast"/>
              <w:rPr>
                <w:rFonts w:cstheme="minorHAnsi"/>
              </w:rPr>
            </w:pPr>
            <w:r w:rsidRPr="00A43F6E">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a:extLst xmlns:a="http://schemas.openxmlformats.org/drawingml/2006/main">
                      <a:ext uri="{FF2B5EF4-FFF2-40B4-BE49-F238E27FC236}">
                        <a16:creationId xmlns:a16="http://schemas.microsoft.com/office/drawing/2014/main" id="{B4C83587-5B01-416E-B405-F25F4E2E7F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A43F6E" w14:paraId="619311BF" w14:textId="77777777" w:rsidTr="45F3465D">
        <w:trPr>
          <w:cantSplit/>
          <w:trHeight w:val="283"/>
        </w:trPr>
        <w:tc>
          <w:tcPr>
            <w:tcW w:w="10031" w:type="dxa"/>
            <w:gridSpan w:val="2"/>
            <w:tcBorders>
              <w:bottom w:val="single" w:sz="12" w:space="0" w:color="71716F"/>
            </w:tcBorders>
          </w:tcPr>
          <w:p w14:paraId="799B9AEB" w14:textId="35247C54" w:rsidR="00EF3B7A" w:rsidRPr="00A43F6E" w:rsidRDefault="00EF3B7A" w:rsidP="003038E3">
            <w:pPr>
              <w:spacing w:before="0"/>
              <w:rPr>
                <w:rFonts w:cstheme="minorHAnsi"/>
                <w:szCs w:val="24"/>
              </w:rPr>
            </w:pPr>
            <w:bookmarkStart w:id="0" w:name="ditulogo"/>
            <w:bookmarkStart w:id="1" w:name="dhead"/>
            <w:bookmarkEnd w:id="0"/>
          </w:p>
        </w:tc>
      </w:tr>
      <w:tr w:rsidR="001A16ED" w:rsidRPr="00A43F6E" w14:paraId="342BACE2" w14:textId="77777777" w:rsidTr="45F3465D">
        <w:trPr>
          <w:cantSplit/>
          <w:trHeight w:val="255"/>
        </w:trPr>
        <w:tc>
          <w:tcPr>
            <w:tcW w:w="7230" w:type="dxa"/>
            <w:tcBorders>
              <w:top w:val="single" w:sz="12" w:space="0" w:color="71716F"/>
            </w:tcBorders>
          </w:tcPr>
          <w:p w14:paraId="621CA746" w14:textId="1FC80081" w:rsidR="001A16ED" w:rsidRPr="00A43F6E"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77777777" w:rsidR="001A16ED" w:rsidRPr="00A43F6E" w:rsidRDefault="001A16ED" w:rsidP="003038E3">
            <w:pPr>
              <w:spacing w:before="0"/>
              <w:rPr>
                <w:rFonts w:cstheme="minorHAnsi"/>
                <w:sz w:val="20"/>
              </w:rPr>
            </w:pPr>
          </w:p>
        </w:tc>
      </w:tr>
      <w:tr w:rsidR="00B273BF" w:rsidRPr="00A43F6E" w14:paraId="6920008F" w14:textId="77777777" w:rsidTr="45F3465D">
        <w:trPr>
          <w:cantSplit/>
          <w:trHeight w:val="23"/>
        </w:trPr>
        <w:tc>
          <w:tcPr>
            <w:tcW w:w="7230" w:type="dxa"/>
          </w:tcPr>
          <w:p w14:paraId="0A942D94" w14:textId="60E6739D" w:rsidR="00B273BF" w:rsidRPr="00A43F6E" w:rsidRDefault="00B273BF" w:rsidP="00B273BF">
            <w:pPr>
              <w:pStyle w:val="Committee"/>
              <w:spacing w:after="0"/>
            </w:pPr>
            <w:bookmarkStart w:id="2" w:name="dnum" w:colFirst="1" w:colLast="1"/>
            <w:bookmarkStart w:id="3" w:name="dmeeting" w:colFirst="0" w:colLast="0"/>
            <w:bookmarkEnd w:id="1"/>
            <w:r w:rsidRPr="00A43F6E">
              <w:t>PLENARY MEETING</w:t>
            </w:r>
          </w:p>
        </w:tc>
        <w:tc>
          <w:tcPr>
            <w:tcW w:w="2801" w:type="dxa"/>
            <w:tcMar>
              <w:right w:w="0" w:type="dxa"/>
            </w:tcMar>
          </w:tcPr>
          <w:p w14:paraId="71A52F99" w14:textId="48AB88FF" w:rsidR="00B273BF" w:rsidRPr="00A43F6E" w:rsidRDefault="00B273BF" w:rsidP="00B273BF">
            <w:pPr>
              <w:tabs>
                <w:tab w:val="left" w:pos="851"/>
              </w:tabs>
              <w:spacing w:before="0"/>
              <w:rPr>
                <w:rFonts w:cstheme="minorHAnsi"/>
                <w:b/>
                <w:bCs/>
                <w:szCs w:val="24"/>
              </w:rPr>
            </w:pPr>
            <w:r w:rsidRPr="00A43F6E">
              <w:rPr>
                <w:b/>
                <w:bCs/>
              </w:rPr>
              <w:t>Document</w:t>
            </w:r>
            <w:r w:rsidR="00A43F6E" w:rsidRPr="00A43F6E">
              <w:rPr>
                <w:b/>
                <w:bCs/>
              </w:rPr>
              <w:t xml:space="preserve"> 60</w:t>
            </w:r>
            <w:r w:rsidRPr="00A43F6E">
              <w:rPr>
                <w:b/>
                <w:bCs/>
              </w:rPr>
              <w:t>-E</w:t>
            </w:r>
          </w:p>
        </w:tc>
      </w:tr>
      <w:tr w:rsidR="00B273BF" w:rsidRPr="00A43F6E" w14:paraId="6C3056EA" w14:textId="77777777" w:rsidTr="45F3465D">
        <w:trPr>
          <w:cantSplit/>
          <w:trHeight w:val="23"/>
        </w:trPr>
        <w:tc>
          <w:tcPr>
            <w:tcW w:w="7230" w:type="dxa"/>
          </w:tcPr>
          <w:p w14:paraId="0BC25115" w14:textId="03EE2E52" w:rsidR="00B273BF" w:rsidRPr="00A43F6E" w:rsidRDefault="00B273BF" w:rsidP="00B273BF">
            <w:pPr>
              <w:tabs>
                <w:tab w:val="left" w:pos="851"/>
              </w:tabs>
              <w:spacing w:before="0"/>
              <w:rPr>
                <w:rFonts w:asciiTheme="minorHAnsi" w:hAnsiTheme="minorHAnsi" w:cstheme="minorHAnsi"/>
                <w:b/>
                <w:szCs w:val="24"/>
              </w:rPr>
            </w:pPr>
            <w:bookmarkStart w:id="4" w:name="dblank" w:colFirst="0" w:colLast="0"/>
            <w:bookmarkStart w:id="5" w:name="ddate" w:colFirst="1" w:colLast="1"/>
            <w:bookmarkEnd w:id="2"/>
            <w:bookmarkEnd w:id="3"/>
          </w:p>
        </w:tc>
        <w:tc>
          <w:tcPr>
            <w:tcW w:w="2801" w:type="dxa"/>
            <w:tcMar>
              <w:right w:w="0" w:type="dxa"/>
            </w:tcMar>
          </w:tcPr>
          <w:p w14:paraId="38AD5205" w14:textId="5CC9FBD7" w:rsidR="00B273BF" w:rsidRPr="00A43F6E" w:rsidRDefault="00467B5D" w:rsidP="45F3465D">
            <w:pPr>
              <w:spacing w:before="0"/>
              <w:rPr>
                <w:rFonts w:cstheme="minorBidi"/>
                <w:b/>
                <w:bCs/>
              </w:rPr>
            </w:pPr>
            <w:r>
              <w:rPr>
                <w:b/>
                <w:bCs/>
              </w:rPr>
              <w:t>6</w:t>
            </w:r>
            <w:r w:rsidR="00A43F6E" w:rsidRPr="00A43F6E">
              <w:rPr>
                <w:b/>
                <w:bCs/>
              </w:rPr>
              <w:t xml:space="preserve"> October </w:t>
            </w:r>
            <w:r w:rsidR="00196AA1" w:rsidRPr="00A43F6E">
              <w:rPr>
                <w:b/>
                <w:bCs/>
              </w:rPr>
              <w:t>2026</w:t>
            </w:r>
          </w:p>
        </w:tc>
      </w:tr>
      <w:bookmarkEnd w:id="4"/>
      <w:bookmarkEnd w:id="5"/>
      <w:tr w:rsidR="00B273BF" w:rsidRPr="00A43F6E" w14:paraId="13C52B6A" w14:textId="77777777" w:rsidTr="45F3465D">
        <w:trPr>
          <w:cantSplit/>
          <w:trHeight w:val="23"/>
        </w:trPr>
        <w:tc>
          <w:tcPr>
            <w:tcW w:w="7230" w:type="dxa"/>
          </w:tcPr>
          <w:p w14:paraId="15834BB1" w14:textId="77777777" w:rsidR="00B273BF" w:rsidRPr="00A43F6E" w:rsidRDefault="00B273BF" w:rsidP="00B273BF">
            <w:pPr>
              <w:tabs>
                <w:tab w:val="left" w:pos="851"/>
              </w:tabs>
              <w:spacing w:before="0"/>
              <w:rPr>
                <w:rFonts w:cstheme="minorHAnsi"/>
                <w:szCs w:val="24"/>
              </w:rPr>
            </w:pPr>
          </w:p>
        </w:tc>
        <w:tc>
          <w:tcPr>
            <w:tcW w:w="2801" w:type="dxa"/>
            <w:tcMar>
              <w:right w:w="0" w:type="dxa"/>
            </w:tcMar>
          </w:tcPr>
          <w:p w14:paraId="68FB825D" w14:textId="7881C158" w:rsidR="00B273BF" w:rsidRPr="00A43F6E" w:rsidRDefault="00B273BF" w:rsidP="00B273BF">
            <w:pPr>
              <w:tabs>
                <w:tab w:val="left" w:pos="993"/>
              </w:tabs>
              <w:spacing w:before="0"/>
              <w:rPr>
                <w:rFonts w:cstheme="minorHAnsi"/>
                <w:b/>
                <w:bCs/>
                <w:szCs w:val="24"/>
              </w:rPr>
            </w:pPr>
            <w:r w:rsidRPr="00A43F6E">
              <w:rPr>
                <w:b/>
                <w:bCs/>
              </w:rPr>
              <w:t>Original: English</w:t>
            </w:r>
          </w:p>
        </w:tc>
      </w:tr>
      <w:tr w:rsidR="001A16ED" w:rsidRPr="00A43F6E" w14:paraId="5F9F2970" w14:textId="77777777" w:rsidTr="45F3465D">
        <w:trPr>
          <w:cantSplit/>
          <w:trHeight w:val="23"/>
        </w:trPr>
        <w:tc>
          <w:tcPr>
            <w:tcW w:w="10031" w:type="dxa"/>
            <w:gridSpan w:val="2"/>
          </w:tcPr>
          <w:p w14:paraId="0E1F3E21" w14:textId="346E0F69" w:rsidR="001A16ED" w:rsidRPr="00A43F6E" w:rsidRDefault="001A16ED" w:rsidP="003038E3">
            <w:pPr>
              <w:tabs>
                <w:tab w:val="left" w:pos="993"/>
              </w:tabs>
              <w:rPr>
                <w:rFonts w:ascii="Verdana" w:hAnsi="Verdana"/>
                <w:b/>
                <w:szCs w:val="24"/>
              </w:rPr>
            </w:pPr>
            <w:bookmarkStart w:id="6" w:name="dorlang" w:colFirst="1" w:colLast="1"/>
            <w:bookmarkStart w:id="7" w:name="dbluepink" w:colFirst="0" w:colLast="0"/>
          </w:p>
        </w:tc>
      </w:tr>
      <w:tr w:rsidR="001A16ED" w:rsidRPr="00A43F6E" w14:paraId="0C405D43" w14:textId="77777777" w:rsidTr="45F3465D">
        <w:trPr>
          <w:cantSplit/>
          <w:trHeight w:val="23"/>
        </w:trPr>
        <w:tc>
          <w:tcPr>
            <w:tcW w:w="10031" w:type="dxa"/>
            <w:gridSpan w:val="2"/>
          </w:tcPr>
          <w:p w14:paraId="7805A964" w14:textId="7BAC1433" w:rsidR="001A16ED" w:rsidRPr="00A43F6E" w:rsidRDefault="006C33A6" w:rsidP="003038E3">
            <w:pPr>
              <w:pStyle w:val="Source"/>
            </w:pPr>
            <w:r w:rsidRPr="00A43F6E">
              <w:t>Reports by the Secretary-General</w:t>
            </w:r>
          </w:p>
        </w:tc>
      </w:tr>
      <w:tr w:rsidR="001A16ED" w:rsidRPr="00A43F6E" w14:paraId="5B32B4A1" w14:textId="77777777" w:rsidTr="45F3465D">
        <w:trPr>
          <w:cantSplit/>
          <w:trHeight w:val="23"/>
        </w:trPr>
        <w:tc>
          <w:tcPr>
            <w:tcW w:w="10031" w:type="dxa"/>
            <w:gridSpan w:val="2"/>
          </w:tcPr>
          <w:p w14:paraId="1C46979A" w14:textId="6779FD2E" w:rsidR="001A16ED" w:rsidRPr="00A43F6E" w:rsidRDefault="00196AA1" w:rsidP="00196AA1">
            <w:pPr>
              <w:pStyle w:val="Title1"/>
            </w:pPr>
            <w:r w:rsidRPr="00A43F6E">
              <w:rPr>
                <w:caps w:val="0"/>
              </w:rPr>
              <w:t xml:space="preserve">EFFORTS TO SAFEGUARD HUMANITARIAN TELECOMMUNICATIONS </w:t>
            </w:r>
            <w:r w:rsidRPr="00A43F6E">
              <w:rPr>
                <w:caps w:val="0"/>
              </w:rPr>
              <w:br/>
              <w:t>IN CONFLICTS AND DISASTERS</w:t>
            </w:r>
          </w:p>
        </w:tc>
      </w:tr>
      <w:tr w:rsidR="001A16ED" w:rsidRPr="00A43F6E" w14:paraId="49EA531A" w14:textId="77777777" w:rsidTr="45F3465D">
        <w:trPr>
          <w:cantSplit/>
          <w:trHeight w:val="23"/>
        </w:trPr>
        <w:tc>
          <w:tcPr>
            <w:tcW w:w="10031" w:type="dxa"/>
            <w:gridSpan w:val="2"/>
          </w:tcPr>
          <w:p w14:paraId="43485B7B" w14:textId="138FD22E" w:rsidR="001A16ED" w:rsidRPr="00A43F6E" w:rsidRDefault="001A16ED" w:rsidP="003038E3">
            <w:pPr>
              <w:pStyle w:val="Title2"/>
              <w:rPr>
                <w:rFonts w:eastAsia="Malgun Gothic"/>
                <w:lang w:eastAsia="ko-KR"/>
              </w:rPr>
            </w:pPr>
          </w:p>
        </w:tc>
      </w:tr>
      <w:bookmarkEnd w:id="6"/>
      <w:bookmarkEnd w:id="7"/>
    </w:tbl>
    <w:p w14:paraId="3E751AE3" w14:textId="77777777" w:rsidR="00B273BF" w:rsidRPr="00A43F6E" w:rsidRDefault="00B273BF" w:rsidP="00B273BF"/>
    <w:tbl>
      <w:tblPr>
        <w:tblStyle w:val="TableGrid"/>
        <w:tblW w:w="0" w:type="auto"/>
        <w:jc w:val="center"/>
        <w:tblLook w:val="04A0" w:firstRow="1" w:lastRow="0" w:firstColumn="1" w:lastColumn="0" w:noHBand="0" w:noVBand="1"/>
      </w:tblPr>
      <w:tblGrid>
        <w:gridCol w:w="7937"/>
      </w:tblGrid>
      <w:tr w:rsidR="00B273BF" w:rsidRPr="00A43F6E" w14:paraId="28753D31" w14:textId="77777777" w:rsidTr="768AFA35">
        <w:trPr>
          <w:trHeight w:val="3402"/>
          <w:jc w:val="center"/>
        </w:trPr>
        <w:tc>
          <w:tcPr>
            <w:tcW w:w="7937" w:type="dxa"/>
          </w:tcPr>
          <w:p w14:paraId="2D9550E8" w14:textId="77777777" w:rsidR="00B273BF" w:rsidRPr="00A43F6E" w:rsidRDefault="00B273BF" w:rsidP="006C52B5">
            <w:pPr>
              <w:pStyle w:val="Headingb"/>
            </w:pPr>
            <w:r w:rsidRPr="00A43F6E">
              <w:t>Summary</w:t>
            </w:r>
          </w:p>
          <w:p w14:paraId="09A0C62B" w14:textId="692D992E" w:rsidR="00E05F1F" w:rsidRPr="00A43F6E" w:rsidRDefault="0444C68B" w:rsidP="00467B5D">
            <w:pPr>
              <w:jc w:val="both"/>
            </w:pPr>
            <w:r>
              <w:t>This report presents ITU’s efforts to</w:t>
            </w:r>
            <w:r w:rsidR="2C34EB72">
              <w:t xml:space="preserve"> </w:t>
            </w:r>
            <w:r w:rsidR="3A915E98">
              <w:t xml:space="preserve">safeguard and facilitate </w:t>
            </w:r>
            <w:r>
              <w:t>public telecommunication</w:t>
            </w:r>
            <w:r w:rsidRPr="768AFA35">
              <w:rPr>
                <w:lang w:eastAsia="ko-KR"/>
              </w:rPr>
              <w:t xml:space="preserve"> </w:t>
            </w:r>
            <w:r>
              <w:t xml:space="preserve">networks and services for essential humanitarian </w:t>
            </w:r>
            <w:r w:rsidR="5561238B">
              <w:t>services</w:t>
            </w:r>
            <w:r>
              <w:t xml:space="preserve"> during armed conflicts and</w:t>
            </w:r>
            <w:r w:rsidRPr="768AFA35">
              <w:rPr>
                <w:lang w:eastAsia="ko-KR"/>
              </w:rPr>
              <w:t xml:space="preserve"> </w:t>
            </w:r>
            <w:r>
              <w:t>disasters.</w:t>
            </w:r>
          </w:p>
          <w:p w14:paraId="3EBF7F3E" w14:textId="77777777" w:rsidR="00B273BF" w:rsidRPr="00A43F6E" w:rsidRDefault="00B273BF" w:rsidP="006C52B5">
            <w:pPr>
              <w:pStyle w:val="Headingb"/>
            </w:pPr>
            <w:r w:rsidRPr="00A43F6E">
              <w:t>Action required</w:t>
            </w:r>
          </w:p>
          <w:p w14:paraId="53813EBF" w14:textId="5F3320BF" w:rsidR="00B273BF" w:rsidRPr="00A43F6E" w:rsidRDefault="00B273BF" w:rsidP="00467B5D">
            <w:pPr>
              <w:spacing w:line="259" w:lineRule="auto"/>
              <w:jc w:val="both"/>
            </w:pPr>
            <w:r>
              <w:t xml:space="preserve">The Plenipotentiary </w:t>
            </w:r>
            <w:r w:rsidR="00467B5D">
              <w:t xml:space="preserve">Conference </w:t>
            </w:r>
            <w:r>
              <w:t xml:space="preserve">is invited to </w:t>
            </w:r>
            <w:r w:rsidR="1AD5EE7C" w:rsidRPr="00467B5D">
              <w:rPr>
                <w:b/>
                <w:bCs/>
              </w:rPr>
              <w:t>consider</w:t>
            </w:r>
            <w:r>
              <w:t xml:space="preserve"> this report.</w:t>
            </w:r>
          </w:p>
          <w:p w14:paraId="7F4A8844" w14:textId="1E869582" w:rsidR="00EF23A3" w:rsidRPr="00A43F6E" w:rsidRDefault="00EF23A3" w:rsidP="00E2650E">
            <w:pPr>
              <w:jc w:val="both"/>
              <w:rPr>
                <w:b/>
                <w:bCs/>
              </w:rPr>
            </w:pPr>
            <w:r w:rsidRPr="00A43F6E">
              <w:rPr>
                <w:b/>
                <w:bCs/>
              </w:rPr>
              <w:t>Financial implications</w:t>
            </w:r>
          </w:p>
          <w:p w14:paraId="3EDF1574" w14:textId="1C7FE91B" w:rsidR="00EF23A3" w:rsidRPr="00A43F6E" w:rsidRDefault="5B3CD85C" w:rsidP="45F3465D">
            <w:pPr>
              <w:jc w:val="both"/>
            </w:pPr>
            <w:r w:rsidRPr="00A43F6E">
              <w:t>Within the estimated costs associated with Resolution 34 (Rev. Baku, 2025)</w:t>
            </w:r>
            <w:r w:rsidR="00D76D2A" w:rsidRPr="00A43F6E">
              <w:t>.</w:t>
            </w:r>
          </w:p>
          <w:p w14:paraId="2050FB55" w14:textId="6BE2FB81" w:rsidR="00B273BF" w:rsidRPr="00A43F6E" w:rsidRDefault="00B273BF" w:rsidP="00A43F6E">
            <w:pPr>
              <w:spacing w:line="259" w:lineRule="auto"/>
              <w:jc w:val="center"/>
            </w:pPr>
            <w:r w:rsidRPr="00A43F6E">
              <w:t>______________</w:t>
            </w:r>
          </w:p>
          <w:p w14:paraId="5DC6AC77" w14:textId="77777777" w:rsidR="00B273BF" w:rsidRPr="00A43F6E" w:rsidRDefault="00B273BF" w:rsidP="006C52B5">
            <w:pPr>
              <w:pStyle w:val="Headingb"/>
            </w:pPr>
            <w:r w:rsidRPr="00A43F6E">
              <w:t>References</w:t>
            </w:r>
          </w:p>
          <w:p w14:paraId="29D3411A" w14:textId="19E8379E" w:rsidR="00B273BF" w:rsidRPr="00A43F6E" w:rsidRDefault="0026052C" w:rsidP="00555C44">
            <w:pPr>
              <w:spacing w:after="120"/>
              <w:rPr>
                <w:sz w:val="22"/>
                <w:szCs w:val="22"/>
              </w:rPr>
            </w:pPr>
            <w:hyperlink r:id="rId11" w:history="1">
              <w:r w:rsidRPr="00A43F6E">
                <w:rPr>
                  <w:rStyle w:val="Hyperlink"/>
                  <w:i/>
                  <w:iCs/>
                  <w:sz w:val="22"/>
                  <w:szCs w:val="22"/>
                  <w:lang w:eastAsia="ko-KR"/>
                </w:rPr>
                <w:t>Final Report of WTDC-2</w:t>
              </w:r>
              <w:r w:rsidR="4EBBAB36" w:rsidRPr="00A43F6E">
                <w:rPr>
                  <w:rStyle w:val="Hyperlink"/>
                  <w:i/>
                  <w:iCs/>
                  <w:sz w:val="22"/>
                  <w:szCs w:val="22"/>
                  <w:lang w:eastAsia="ko-KR"/>
                </w:rPr>
                <w:t>5 and Resolution 34 (Rev. Baku, 202</w:t>
              </w:r>
              <w:r w:rsidRPr="00A43F6E">
                <w:rPr>
                  <w:rStyle w:val="Hyperlink"/>
                  <w:i/>
                  <w:iCs/>
                  <w:sz w:val="22"/>
                  <w:szCs w:val="22"/>
                  <w:lang w:eastAsia="ko-KR"/>
                </w:rPr>
                <w:t>5</w:t>
              </w:r>
              <w:r w:rsidR="507FC4B0" w:rsidRPr="00A43F6E">
                <w:rPr>
                  <w:rStyle w:val="Hyperlink"/>
                  <w:i/>
                  <w:iCs/>
                  <w:sz w:val="22"/>
                  <w:szCs w:val="22"/>
                  <w:lang w:eastAsia="ko-KR"/>
                </w:rPr>
                <w:t>)</w:t>
              </w:r>
            </w:hyperlink>
            <w:r w:rsidR="007820F4" w:rsidRPr="00A43F6E">
              <w:rPr>
                <w:i/>
                <w:iCs/>
                <w:sz w:val="22"/>
                <w:szCs w:val="22"/>
                <w:lang w:eastAsia="ko-KR"/>
              </w:rPr>
              <w:t>;</w:t>
            </w:r>
            <w:r w:rsidR="007820F4" w:rsidRPr="00A43F6E">
              <w:t xml:space="preserve"> </w:t>
            </w:r>
            <w:r w:rsidR="007820F4" w:rsidRPr="00A43F6E">
              <w:rPr>
                <w:i/>
                <w:iCs/>
                <w:sz w:val="22"/>
                <w:szCs w:val="22"/>
                <w:lang w:eastAsia="ko-KR"/>
              </w:rPr>
              <w:t xml:space="preserve">Resolutions </w:t>
            </w:r>
            <w:hyperlink r:id="rId12">
              <w:r w:rsidR="00BC0D01" w:rsidRPr="00A43F6E">
                <w:rPr>
                  <w:rStyle w:val="Hyperlink"/>
                  <w:i/>
                  <w:iCs/>
                  <w:sz w:val="22"/>
                  <w:szCs w:val="22"/>
                </w:rPr>
                <w:t>98 (Minneapolis, 1998)</w:t>
              </w:r>
            </w:hyperlink>
            <w:r w:rsidR="007820F4" w:rsidRPr="00A43F6E">
              <w:rPr>
                <w:i/>
                <w:iCs/>
                <w:sz w:val="22"/>
                <w:szCs w:val="22"/>
                <w:lang w:eastAsia="ko-KR"/>
              </w:rPr>
              <w:t xml:space="preserve"> and</w:t>
            </w:r>
            <w:r w:rsidR="00BC0D01" w:rsidRPr="00A43F6E">
              <w:rPr>
                <w:i/>
                <w:iCs/>
                <w:sz w:val="22"/>
                <w:szCs w:val="22"/>
              </w:rPr>
              <w:t xml:space="preserve"> </w:t>
            </w:r>
            <w:hyperlink r:id="rId13">
              <w:r w:rsidR="00BC0D01" w:rsidRPr="00A43F6E">
                <w:rPr>
                  <w:rStyle w:val="Hyperlink"/>
                  <w:i/>
                  <w:iCs/>
                  <w:sz w:val="22"/>
                  <w:szCs w:val="22"/>
                </w:rPr>
                <w:t>136</w:t>
              </w:r>
              <w:r w:rsidR="007820F4" w:rsidRPr="00A43F6E">
                <w:rPr>
                  <w:rStyle w:val="Hyperlink"/>
                  <w:i/>
                  <w:iCs/>
                  <w:sz w:val="22"/>
                  <w:szCs w:val="22"/>
                  <w:lang w:eastAsia="ko-KR"/>
                </w:rPr>
                <w:t> </w:t>
              </w:r>
              <w:r w:rsidR="00BC0D01" w:rsidRPr="00A43F6E">
                <w:rPr>
                  <w:rStyle w:val="Hyperlink"/>
                  <w:i/>
                  <w:iCs/>
                  <w:sz w:val="22"/>
                  <w:szCs w:val="22"/>
                </w:rPr>
                <w:t>(Rev. Bucharest, 2022)</w:t>
              </w:r>
            </w:hyperlink>
            <w:r w:rsidR="00555C44" w:rsidRPr="00A43F6E">
              <w:rPr>
                <w:i/>
                <w:iCs/>
                <w:sz w:val="22"/>
                <w:szCs w:val="22"/>
                <w:lang w:eastAsia="ko-KR"/>
              </w:rPr>
              <w:t xml:space="preserve"> of </w:t>
            </w:r>
            <w:r w:rsidR="008B774C" w:rsidRPr="00A43F6E">
              <w:rPr>
                <w:i/>
                <w:iCs/>
                <w:sz w:val="22"/>
                <w:szCs w:val="22"/>
                <w:lang w:eastAsia="ko-KR"/>
              </w:rPr>
              <w:t xml:space="preserve">the </w:t>
            </w:r>
            <w:r w:rsidR="00555C44" w:rsidRPr="00A43F6E">
              <w:rPr>
                <w:i/>
                <w:iCs/>
                <w:sz w:val="22"/>
                <w:szCs w:val="22"/>
                <w:lang w:eastAsia="ko-KR"/>
              </w:rPr>
              <w:t>Plenipotentiary</w:t>
            </w:r>
            <w:r w:rsidR="008B774C" w:rsidRPr="00A43F6E">
              <w:rPr>
                <w:i/>
                <w:iCs/>
                <w:sz w:val="22"/>
                <w:szCs w:val="22"/>
                <w:lang w:eastAsia="ko-KR"/>
              </w:rPr>
              <w:t xml:space="preserve"> Conference </w:t>
            </w:r>
          </w:p>
        </w:tc>
      </w:tr>
    </w:tbl>
    <w:p w14:paraId="3717F895" w14:textId="7CD57AB1" w:rsidR="0008540E" w:rsidRPr="00A43F6E" w:rsidRDefault="001A16ED" w:rsidP="1694A371">
      <w:pPr>
        <w:spacing w:before="0"/>
      </w:pPr>
      <w:r w:rsidRPr="00A43F6E">
        <w:br w:type="page"/>
      </w:r>
    </w:p>
    <w:p w14:paraId="41A85684" w14:textId="62C35917" w:rsidR="001F3C30" w:rsidRPr="00A43F6E" w:rsidRDefault="001F3C30" w:rsidP="00A43F6E">
      <w:pPr>
        <w:pStyle w:val="Heading1"/>
        <w:tabs>
          <w:tab w:val="clear" w:pos="2268"/>
          <w:tab w:val="clear" w:pos="2835"/>
          <w:tab w:val="center" w:pos="4822"/>
        </w:tabs>
      </w:pPr>
      <w:r w:rsidRPr="00A43F6E">
        <w:lastRenderedPageBreak/>
        <w:t xml:space="preserve">1 </w:t>
      </w:r>
      <w:r w:rsidR="007D2025" w:rsidRPr="00A43F6E">
        <w:tab/>
      </w:r>
      <w:r w:rsidRPr="00A43F6E">
        <w:t>Introduction</w:t>
      </w:r>
    </w:p>
    <w:p w14:paraId="720BE722" w14:textId="4BC786F0" w:rsidR="001F3C30" w:rsidRPr="00A43F6E" w:rsidRDefault="001F3C30" w:rsidP="000A5DAF">
      <w:pPr>
        <w:jc w:val="both"/>
      </w:pPr>
      <w:r w:rsidRPr="00A43F6E">
        <w:t>1.1</w:t>
      </w:r>
      <w:r w:rsidR="007D2025" w:rsidRPr="00A43F6E">
        <w:tab/>
      </w:r>
      <w:r w:rsidRPr="00A43F6E">
        <w:t>At the World Telecommunication Development Conference 2025 (WTDC-25) in Baku, Azerbaijan, Member States adopted the statement “</w:t>
      </w:r>
      <w:hyperlink r:id="rId14" w:anchor="721" w:history="1">
        <w:r w:rsidRPr="00A43F6E">
          <w:rPr>
            <w:rStyle w:val="Hyperlink"/>
          </w:rPr>
          <w:t>Recognition of the importance of Public Telecommunications Networks and Services to Essential Humanitarian Services to be Safeguarded and Facilitated during armed Conflicts and Disasters</w:t>
        </w:r>
      </w:hyperlink>
      <w:r w:rsidRPr="00A43F6E">
        <w:t xml:space="preserve">” </w:t>
      </w:r>
      <w:r w:rsidR="005029A3" w:rsidRPr="00A43F6E">
        <w:t xml:space="preserve">(Annex D) </w:t>
      </w:r>
      <w:r w:rsidRPr="00A43F6E">
        <w:t xml:space="preserve">recognizing, </w:t>
      </w:r>
      <w:r w:rsidRPr="00A43F6E">
        <w:rPr>
          <w:i/>
          <w:iCs/>
        </w:rPr>
        <w:t>inter alia</w:t>
      </w:r>
      <w:r w:rsidRPr="00A43F6E">
        <w:t>, the critical importance of telecommunication networks and services in saving lives, supporting rescue and emergency operations, delivering humanitarian assistance, and maintaining communication continuity for populations during such events.</w:t>
      </w:r>
    </w:p>
    <w:p w14:paraId="4DAEF3BE" w14:textId="497CC7C5" w:rsidR="001F3C30" w:rsidRPr="00A43F6E" w:rsidRDefault="001F3C30" w:rsidP="006C52B5">
      <w:pPr>
        <w:pStyle w:val="Heading1"/>
      </w:pPr>
      <w:r w:rsidRPr="00A43F6E">
        <w:t>2</w:t>
      </w:r>
      <w:r w:rsidR="00E6580E" w:rsidRPr="00A43F6E">
        <w:tab/>
      </w:r>
      <w:r w:rsidRPr="00A43F6E">
        <w:t>Collaboration across the UN system</w:t>
      </w:r>
    </w:p>
    <w:p w14:paraId="4BC9AB8C" w14:textId="5308B4AB" w:rsidR="001F3C30" w:rsidRPr="00A43F6E" w:rsidRDefault="1E3621E8" w:rsidP="008D5626">
      <w:pPr>
        <w:spacing w:line="259" w:lineRule="auto"/>
        <w:jc w:val="both"/>
      </w:pPr>
      <w:r w:rsidRPr="00A43F6E">
        <w:t>2.1</w:t>
      </w:r>
      <w:r w:rsidR="001F3C30" w:rsidRPr="00A43F6E">
        <w:tab/>
      </w:r>
      <w:r w:rsidRPr="00A43F6E">
        <w:t xml:space="preserve">Recognizing telecommunications as a fundamental humanitarian need and life-saving service, ITU consulted with the World Food Programme (WFP), as the coordinator of </w:t>
      </w:r>
      <w:hyperlink r:id="rId15" w:history="1">
        <w:r w:rsidRPr="00A43F6E">
          <w:rPr>
            <w:rStyle w:val="Hyperlink"/>
          </w:rPr>
          <w:t xml:space="preserve">the </w:t>
        </w:r>
        <w:r w:rsidR="008D5626" w:rsidRPr="00A43F6E">
          <w:rPr>
            <w:rStyle w:val="Hyperlink"/>
          </w:rPr>
          <w:t>Logistics</w:t>
        </w:r>
        <w:r w:rsidR="4F7DD952" w:rsidRPr="00A43F6E">
          <w:rPr>
            <w:rStyle w:val="Hyperlink"/>
          </w:rPr>
          <w:t xml:space="preserve"> and</w:t>
        </w:r>
        <w:r w:rsidRPr="00A43F6E">
          <w:rPr>
            <w:rStyle w:val="Hyperlink"/>
          </w:rPr>
          <w:t xml:space="preserve"> Telecommunications Cluster (</w:t>
        </w:r>
        <w:proofErr w:type="spellStart"/>
        <w:r w:rsidR="63A6BFFD" w:rsidRPr="00A43F6E">
          <w:rPr>
            <w:rStyle w:val="Hyperlink"/>
          </w:rPr>
          <w:t>L</w:t>
        </w:r>
        <w:r w:rsidRPr="00A43F6E">
          <w:rPr>
            <w:rStyle w:val="Hyperlink"/>
          </w:rPr>
          <w:t>TC</w:t>
        </w:r>
        <w:proofErr w:type="spellEnd"/>
        <w:r w:rsidRPr="00A43F6E">
          <w:rPr>
            <w:rStyle w:val="Hyperlink"/>
          </w:rPr>
          <w:t>)</w:t>
        </w:r>
      </w:hyperlink>
      <w:r w:rsidRPr="00A43F6E">
        <w:t>, and the International Federation of Red Cross and Red Crescent Societies (IFRC) to raise awareness of the WTDC statement and deepen understanding of the issues. ITU also collaborated with WFP and IFRC on an informal brainstorming meeting in February 2026 and engaged with interested Member States through their Missions in New York.</w:t>
      </w:r>
    </w:p>
    <w:p w14:paraId="12C6E670" w14:textId="5208BB69" w:rsidR="001F3C30" w:rsidRPr="00A43F6E" w:rsidRDefault="001F3C30" w:rsidP="000A5DAF">
      <w:pPr>
        <w:jc w:val="both"/>
      </w:pPr>
      <w:r w:rsidRPr="00A43F6E">
        <w:t>2.2</w:t>
      </w:r>
      <w:r w:rsidR="00196AA1" w:rsidRPr="00A43F6E">
        <w:tab/>
      </w:r>
      <w:r w:rsidRPr="00A43F6E">
        <w:t xml:space="preserve">Building on these efforts, ITU contributed to an informal briefing in March 2026 with interested Permanent Missions in Geneva, convened by the Permanent Mission of the United Kingdom, highlighting the urgent need to safeguard telecommunication infrastructure to keep humanitarian services operational during crises. The discussion also explored how resilient, responsible digital tools can strengthen disaster preparedness and response, including through support to </w:t>
      </w:r>
      <w:hyperlink r:id="rId16" w:history="1">
        <w:r w:rsidRPr="00A43F6E">
          <w:rPr>
            <w:rStyle w:val="Hyperlink"/>
          </w:rPr>
          <w:t>the Early Warnings for All (</w:t>
        </w:r>
        <w:proofErr w:type="spellStart"/>
        <w:r w:rsidRPr="00A43F6E">
          <w:rPr>
            <w:rStyle w:val="Hyperlink"/>
          </w:rPr>
          <w:t>EW4All</w:t>
        </w:r>
        <w:proofErr w:type="spellEnd"/>
        <w:r w:rsidRPr="00A43F6E">
          <w:rPr>
            <w:rStyle w:val="Hyperlink"/>
          </w:rPr>
          <w:t>) initiative</w:t>
        </w:r>
      </w:hyperlink>
      <w:r w:rsidRPr="00A43F6E">
        <w:t>, while helping to bridge the digital divide for vulnerable communities.</w:t>
      </w:r>
    </w:p>
    <w:p w14:paraId="73832296" w14:textId="784E2157" w:rsidR="001F3C30" w:rsidRPr="00A43F6E" w:rsidRDefault="1E3621E8" w:rsidP="000A5DAF">
      <w:pPr>
        <w:jc w:val="both"/>
      </w:pPr>
      <w:r>
        <w:t>2.3</w:t>
      </w:r>
      <w:r>
        <w:tab/>
        <w:t>Access to telecommunications has been a serious issue in several contexts, with limited success in importing telecommunications equipment</w:t>
      </w:r>
      <w:r w:rsidR="5655E429">
        <w:t xml:space="preserve"> for humanitarian assistance in certain settings,</w:t>
      </w:r>
      <w:r>
        <w:t xml:space="preserve"> and reports of GPS jamming and spoofing affecting navigation </w:t>
      </w:r>
      <w:r w:rsidR="006C52B5">
        <w:t>—</w:t>
      </w:r>
      <w:r>
        <w:t>particularly for flights and UN Humanitarian Air Service (</w:t>
      </w:r>
      <w:proofErr w:type="spellStart"/>
      <w:r>
        <w:t>UNHAS</w:t>
      </w:r>
      <w:proofErr w:type="spellEnd"/>
      <w:r>
        <w:t>) operations</w:t>
      </w:r>
      <w:r w:rsidR="006C52B5">
        <w:t>—</w:t>
      </w:r>
      <w:r>
        <w:t xml:space="preserve"> as well as satellite communication systems. In some cases, communications shutdowns have impacted both the general population and humanitarian organizations, hindering operational coordination, staff safety, and access to critical information. In other crisis settings, connectivity remains extremely limited for civilians and humanitarian personnel, with the </w:t>
      </w:r>
      <w:r w:rsidR="0339B8A2">
        <w:t>Logistics</w:t>
      </w:r>
      <w:r w:rsidR="008D5626" w:rsidRPr="768AFA35">
        <w:rPr>
          <w:rFonts w:eastAsiaTheme="minorEastAsia"/>
          <w:lang w:eastAsia="zh-CN"/>
        </w:rPr>
        <w:t xml:space="preserve"> </w:t>
      </w:r>
      <w:r w:rsidR="0339B8A2">
        <w:t>and</w:t>
      </w:r>
      <w:r>
        <w:t xml:space="preserve"> Telecommunications Cluster (</w:t>
      </w:r>
      <w:proofErr w:type="spellStart"/>
      <w:r w:rsidR="56002682">
        <w:t>L</w:t>
      </w:r>
      <w:r>
        <w:t>TC</w:t>
      </w:r>
      <w:proofErr w:type="spellEnd"/>
      <w:r>
        <w:t>) and partner agencies facing significant restrictions on bringing equipment, creating a high-risk environment for humanitarian operations.</w:t>
      </w:r>
    </w:p>
    <w:p w14:paraId="35068130" w14:textId="5BE2AD7C" w:rsidR="006A726C" w:rsidRPr="00A43F6E" w:rsidRDefault="1E3621E8" w:rsidP="000A5DAF">
      <w:pPr>
        <w:jc w:val="both"/>
      </w:pPr>
      <w:r>
        <w:t>2.4</w:t>
      </w:r>
      <w:r>
        <w:tab/>
      </w:r>
      <w:hyperlink r:id="rId17">
        <w:r w:rsidRPr="768AFA35">
          <w:rPr>
            <w:rStyle w:val="Hyperlink"/>
          </w:rPr>
          <w:t xml:space="preserve">The </w:t>
        </w:r>
        <w:r w:rsidR="3F5F21A7" w:rsidRPr="768AFA35">
          <w:rPr>
            <w:rStyle w:val="Hyperlink"/>
          </w:rPr>
          <w:t>Logistics</w:t>
        </w:r>
        <w:r w:rsidR="008D5626" w:rsidRPr="768AFA35">
          <w:rPr>
            <w:rStyle w:val="Hyperlink"/>
            <w:rFonts w:eastAsiaTheme="minorEastAsia"/>
            <w:lang w:eastAsia="zh-CN"/>
          </w:rPr>
          <w:t xml:space="preserve"> </w:t>
        </w:r>
        <w:r w:rsidR="3F5F21A7" w:rsidRPr="768AFA35">
          <w:rPr>
            <w:rStyle w:val="Hyperlink"/>
          </w:rPr>
          <w:t xml:space="preserve">and </w:t>
        </w:r>
        <w:r w:rsidRPr="768AFA35">
          <w:rPr>
            <w:rStyle w:val="Hyperlink"/>
          </w:rPr>
          <w:t>Telecommunications Cluster (</w:t>
        </w:r>
        <w:proofErr w:type="spellStart"/>
        <w:r w:rsidR="4F9AF09B" w:rsidRPr="768AFA35">
          <w:rPr>
            <w:rStyle w:val="Hyperlink"/>
          </w:rPr>
          <w:t>L</w:t>
        </w:r>
        <w:r w:rsidRPr="768AFA35">
          <w:rPr>
            <w:rStyle w:val="Hyperlink"/>
          </w:rPr>
          <w:t>TC</w:t>
        </w:r>
        <w:proofErr w:type="spellEnd"/>
        <w:r w:rsidRPr="768AFA35">
          <w:rPr>
            <w:rStyle w:val="Hyperlink"/>
          </w:rPr>
          <w:t>)</w:t>
        </w:r>
      </w:hyperlink>
      <w:r w:rsidR="006C52B5">
        <w:t xml:space="preserve">, </w:t>
      </w:r>
      <w:r>
        <w:t xml:space="preserve">led by the World Food Programme, is a global network of humanitarian, government, and private-sector organizations that work together to provide shared communications services in humanitarian emergencies. The </w:t>
      </w:r>
      <w:proofErr w:type="spellStart"/>
      <w:r w:rsidR="1BB60E34">
        <w:t>L</w:t>
      </w:r>
      <w:r>
        <w:t>TC</w:t>
      </w:r>
      <w:proofErr w:type="spellEnd"/>
      <w:r>
        <w:t xml:space="preserve"> is one of the clusters designated by the UN Inter-Agency Standing Committee (IASC). ITU is an active member</w:t>
      </w:r>
      <w:r w:rsidR="62B6EB59">
        <w:t xml:space="preserve"> </w:t>
      </w:r>
      <w:r>
        <w:t xml:space="preserve">of the </w:t>
      </w:r>
      <w:proofErr w:type="spellStart"/>
      <w:r w:rsidR="274BFB74">
        <w:t>L</w:t>
      </w:r>
      <w:r>
        <w:t>TC</w:t>
      </w:r>
      <w:proofErr w:type="spellEnd"/>
      <w:r>
        <w:t xml:space="preserve"> and contributes technical expertise, standards, and coordination capacities in emergency ICT and telecommunication operations. </w:t>
      </w:r>
      <w:hyperlink r:id="rId18" w:history="1"/>
    </w:p>
    <w:p w14:paraId="085789FD" w14:textId="69E34D85" w:rsidR="4EB85AC8" w:rsidRPr="00A43F6E" w:rsidRDefault="4EB85AC8" w:rsidP="45F3465D">
      <w:pPr>
        <w:jc w:val="both"/>
      </w:pPr>
      <w:r w:rsidRPr="00A43F6E">
        <w:t>2.5</w:t>
      </w:r>
      <w:r w:rsidRPr="00A43F6E">
        <w:tab/>
      </w:r>
      <w:r w:rsidRPr="00A43F6E">
        <w:rPr>
          <w:szCs w:val="24"/>
        </w:rPr>
        <w:t xml:space="preserve">Building on this collaboration, ITU and WFP have further strengthened their collaboration in telecommunications in conflict-related settings. Together, the two organisations have jointly supported a series of analyses of the impact of disruption and conflict on telecommunication/ICT infrastructure, with a focus on vulnerabilities and observed impacts. Under this collaboration, ITU and WFP have produced three rapid assessments, which have examined conflict-related damage </w:t>
      </w:r>
      <w:r w:rsidRPr="00A43F6E">
        <w:rPr>
          <w:szCs w:val="24"/>
        </w:rPr>
        <w:lastRenderedPageBreak/>
        <w:t>and service disruption affecting terrestrial networks, submarine cables, data centres and mobile services, as well as the implications of humanitarian operations. The findings have informed briefings to ad-hoc meetings of Principals of the United Nations Sustainable Development Group (</w:t>
      </w:r>
      <w:proofErr w:type="spellStart"/>
      <w:r w:rsidRPr="00A43F6E">
        <w:rPr>
          <w:szCs w:val="24"/>
        </w:rPr>
        <w:t>UNSDG</w:t>
      </w:r>
      <w:proofErr w:type="spellEnd"/>
      <w:r w:rsidRPr="00A43F6E">
        <w:rPr>
          <w:szCs w:val="24"/>
        </w:rPr>
        <w:t>) on the Middle East. A Telecommunications Resilience Framework for Conflict-Affected Settings and an accompanying Methodology Note have been developed as part of the collaboration.</w:t>
      </w:r>
    </w:p>
    <w:p w14:paraId="40E22EF8" w14:textId="721E646E" w:rsidR="006A726C" w:rsidRPr="00A43F6E" w:rsidRDefault="001F3C30" w:rsidP="00A43F6E">
      <w:r w:rsidRPr="00A43F6E">
        <w:t>2.</w:t>
      </w:r>
      <w:r w:rsidR="3CC375A0" w:rsidRPr="00A43F6E">
        <w:t>6</w:t>
      </w:r>
      <w:r w:rsidRPr="00A43F6E">
        <w:tab/>
        <w:t xml:space="preserve">ITU has also engaged with </w:t>
      </w:r>
      <w:hyperlink r:id="rId19">
        <w:r w:rsidRPr="00A43F6E">
          <w:rPr>
            <w:rStyle w:val="Hyperlink"/>
          </w:rPr>
          <w:t>the</w:t>
        </w:r>
        <w:r w:rsidR="006206CB" w:rsidRPr="00A43F6E">
          <w:rPr>
            <w:rStyle w:val="Hyperlink"/>
          </w:rPr>
          <w:t xml:space="preserve"> UN</w:t>
        </w:r>
        <w:r w:rsidRPr="00A43F6E">
          <w:rPr>
            <w:rStyle w:val="Hyperlink"/>
          </w:rPr>
          <w:t xml:space="preserve"> Inter-Agency Standing Committee (IASC)</w:t>
        </w:r>
      </w:hyperlink>
      <w:r w:rsidRPr="00A43F6E">
        <w:t xml:space="preserve"> by sharing the WTDC statement and expressing its commitment to strengthening collaboration and coordination with the Committee and its members to address these critical issues at the national, regional and global levels. </w:t>
      </w:r>
    </w:p>
    <w:p w14:paraId="3B8848D8" w14:textId="34E20918" w:rsidR="000C71F1" w:rsidRPr="00A43F6E" w:rsidRDefault="000C71F1" w:rsidP="006C52B5">
      <w:pPr>
        <w:pStyle w:val="Heading1"/>
      </w:pPr>
      <w:r w:rsidRPr="00A43F6E">
        <w:t>3</w:t>
      </w:r>
      <w:r w:rsidRPr="00A43F6E">
        <w:tab/>
      </w:r>
      <w:r w:rsidR="00AA6036" w:rsidRPr="00A43F6E">
        <w:t xml:space="preserve">Activities on </w:t>
      </w:r>
      <w:r w:rsidR="00196AA1" w:rsidRPr="00A43F6E">
        <w:t>telecommunications for humanitarian purposes</w:t>
      </w:r>
    </w:p>
    <w:p w14:paraId="195F5958" w14:textId="222653A7" w:rsidR="000C71F1" w:rsidRPr="00A43F6E" w:rsidRDefault="183D9256" w:rsidP="000A5DAF">
      <w:pPr>
        <w:jc w:val="both"/>
      </w:pPr>
      <w:r>
        <w:t>3.1</w:t>
      </w:r>
      <w:r>
        <w:tab/>
      </w:r>
      <w:r w:rsidR="4BB93A9E">
        <w:t xml:space="preserve">Telecommunications and ICTs constitute critical humanitarian infrastructure across the disaster management cycle, supporting </w:t>
      </w:r>
      <w:r w:rsidR="6058B7EB">
        <w:t xml:space="preserve">mitigation, </w:t>
      </w:r>
      <w:r w:rsidR="4BB93A9E">
        <w:t xml:space="preserve">preparedness, early warning, emergency response, and recovery. Within this broader framework, the work of the ITU demonstrates how communications systems can serve as essential enablers of humanitarian action and disaster resilience. </w:t>
      </w:r>
    </w:p>
    <w:p w14:paraId="74D1974A" w14:textId="0A1221AF" w:rsidR="00364F0B" w:rsidRPr="00A43F6E" w:rsidRDefault="50A12590" w:rsidP="00AB28F5">
      <w:pPr>
        <w:jc w:val="both"/>
      </w:pPr>
      <w:r>
        <w:t>3.2</w:t>
      </w:r>
      <w:r>
        <w:tab/>
      </w:r>
      <w:r w:rsidR="27E0BEF9">
        <w:t>T</w:t>
      </w:r>
      <w:r w:rsidRPr="00AB28F5">
        <w:t xml:space="preserve">he </w:t>
      </w:r>
      <w:hyperlink r:id="rId20" w:history="1">
        <w:r w:rsidRPr="00AB28F5">
          <w:rPr>
            <w:rStyle w:val="Hyperlink"/>
          </w:rPr>
          <w:t>Tampere Convention</w:t>
        </w:r>
      </w:hyperlink>
      <w:r w:rsidR="34DBFE0B" w:rsidRPr="00AB28F5">
        <w:t xml:space="preserve"> </w:t>
      </w:r>
      <w:r>
        <w:t>provides a</w:t>
      </w:r>
      <w:r w:rsidR="12A497C6">
        <w:t>n international</w:t>
      </w:r>
      <w:r>
        <w:t xml:space="preserve"> legal framework for </w:t>
      </w:r>
      <w:r w:rsidR="7A67FC49">
        <w:t xml:space="preserve">facilitating the provision and </w:t>
      </w:r>
      <w:r>
        <w:t>us</w:t>
      </w:r>
      <w:r w:rsidR="0E187F3C">
        <w:t>e</w:t>
      </w:r>
      <w:r w:rsidR="4757F8B3">
        <w:t xml:space="preserve"> of</w:t>
      </w:r>
      <w:r>
        <w:t xml:space="preserve"> telecommunication</w:t>
      </w:r>
      <w:r w:rsidR="6FFA7450">
        <w:t xml:space="preserve"> resources for disaster mitigation and relief operations</w:t>
      </w:r>
      <w:r>
        <w:t xml:space="preserve"> and for reducing regulatory barriers</w:t>
      </w:r>
      <w:r w:rsidR="3B4E1DBB">
        <w:t xml:space="preserve"> to the rapid deployment of telecommunications equipment and </w:t>
      </w:r>
      <w:r w:rsidR="008D5626">
        <w:t>personnel</w:t>
      </w:r>
      <w:r>
        <w:t>. In addition, as established in the Constitution of the Union, ITU Resolution 98 (Minneapolis, 1998) and Resolution 136 (Rev. Bucharest, 2022) of the Plenipotentiary Conference, as well as other resolutions from the World Radiocommunication Conference (WRC) recognize telecommunication infrastructure as a critical component of humanitarian assistance that requires legal protection and facilitation.</w:t>
      </w:r>
    </w:p>
    <w:p w14:paraId="001A8905" w14:textId="77777777" w:rsidR="0028119E" w:rsidRPr="00A43F6E" w:rsidRDefault="1592C9E5" w:rsidP="005135C8">
      <w:pPr>
        <w:jc w:val="both"/>
        <w:rPr>
          <w:rFonts w:eastAsiaTheme="minorEastAsia" w:cs="Calibri"/>
          <w:szCs w:val="24"/>
          <w:lang w:eastAsia="zh-CN"/>
        </w:rPr>
      </w:pPr>
      <w:r w:rsidRPr="00A43F6E">
        <w:t>3</w:t>
      </w:r>
      <w:r w:rsidR="577ED294" w:rsidRPr="00A43F6E">
        <w:t>.3</w:t>
      </w:r>
      <w:r w:rsidR="00A40631" w:rsidRPr="00A43F6E">
        <w:tab/>
      </w:r>
      <w:hyperlink r:id="rId21">
        <w:r w:rsidR="1FF77FCB" w:rsidRPr="00A43F6E">
          <w:rPr>
            <w:rStyle w:val="Hyperlink"/>
          </w:rPr>
          <w:t>The ITU’s Emergency Telecommunications Programme</w:t>
        </w:r>
      </w:hyperlink>
      <w:r w:rsidR="1FF77FCB" w:rsidRPr="00A43F6E">
        <w:t xml:space="preserve"> is built around the proposition that connectivity itself is a humanitarian enabler. When telecommunications infrastructure is functioning, governments, humanitarian organizations, first responders and affected populations can exchange information, coordinate relief, issue warnings and make decisions. When infrastructure fails, the consequences therefore can be much wider than simply losing Internet or connectivity access</w:t>
      </w:r>
      <w:r w:rsidR="21F3A9B9" w:rsidRPr="00A43F6E">
        <w:t xml:space="preserve">, </w:t>
      </w:r>
      <w:r w:rsidR="2161CE58" w:rsidRPr="00A43F6E">
        <w:rPr>
          <w:rFonts w:eastAsia="Calibri" w:cs="Calibri"/>
          <w:szCs w:val="24"/>
        </w:rPr>
        <w:t xml:space="preserve">affecting emergency coordination, access to vital information, early warning dissemination, the delivery of humanitarian assistance and the ability of authorities and communities to response effectively. </w:t>
      </w:r>
    </w:p>
    <w:p w14:paraId="26B2E0C2" w14:textId="519A8FEA" w:rsidR="00725693" w:rsidRPr="00A43F6E" w:rsidRDefault="0028119E" w:rsidP="005135C8">
      <w:pPr>
        <w:jc w:val="both"/>
        <w:rPr>
          <w:spacing w:val="-2"/>
        </w:rPr>
      </w:pPr>
      <w:r w:rsidRPr="00A43F6E">
        <w:rPr>
          <w:rFonts w:eastAsiaTheme="minorEastAsia" w:cs="Calibri" w:hint="eastAsia"/>
          <w:spacing w:val="-2"/>
          <w:szCs w:val="24"/>
          <w:lang w:eastAsia="zh-CN"/>
        </w:rPr>
        <w:t>3.4</w:t>
      </w:r>
      <w:r w:rsidRPr="00A43F6E">
        <w:rPr>
          <w:rFonts w:eastAsiaTheme="minorEastAsia" w:cs="Calibri"/>
          <w:spacing w:val="-2"/>
          <w:szCs w:val="24"/>
          <w:lang w:eastAsia="zh-CN"/>
        </w:rPr>
        <w:tab/>
      </w:r>
      <w:r w:rsidR="2161CE58" w:rsidRPr="00A43F6E">
        <w:rPr>
          <w:rFonts w:eastAsia="Calibri" w:cs="Calibri"/>
          <w:spacing w:val="-2"/>
          <w:szCs w:val="24"/>
        </w:rPr>
        <w:t xml:space="preserve">However, infrastructure alone is not enough. Countries need appropriate policy and regulatory frameworks, coordination mechanisms, contingency procedures and preparedness measures to ensure </w:t>
      </w:r>
      <w:r w:rsidR="3FD2E77F" w:rsidRPr="00A43F6E">
        <w:rPr>
          <w:rFonts w:eastAsia="Calibri" w:cs="Calibri"/>
          <w:spacing w:val="-2"/>
          <w:szCs w:val="24"/>
        </w:rPr>
        <w:t xml:space="preserve">the use of </w:t>
      </w:r>
      <w:r w:rsidR="2161CE58" w:rsidRPr="00A43F6E">
        <w:rPr>
          <w:rFonts w:eastAsia="Calibri" w:cs="Calibri"/>
          <w:spacing w:val="-2"/>
          <w:szCs w:val="24"/>
        </w:rPr>
        <w:t xml:space="preserve">technologies </w:t>
      </w:r>
      <w:r w:rsidR="682CE274" w:rsidRPr="00A43F6E">
        <w:rPr>
          <w:rFonts w:eastAsia="Calibri" w:cs="Calibri"/>
          <w:spacing w:val="-2"/>
          <w:szCs w:val="24"/>
        </w:rPr>
        <w:t>for disaster risk reduction.</w:t>
      </w:r>
      <w:r w:rsidR="2161CE58" w:rsidRPr="00A43F6E">
        <w:rPr>
          <w:rFonts w:eastAsia="Calibri" w:cs="Calibri"/>
          <w:spacing w:val="-2"/>
          <w:szCs w:val="24"/>
        </w:rPr>
        <w:t xml:space="preserve"> </w:t>
      </w:r>
      <w:hyperlink r:id="rId22" w:history="1">
        <w:r w:rsidR="2161CE58" w:rsidRPr="00A43F6E">
          <w:rPr>
            <w:rStyle w:val="Hyperlink"/>
            <w:rFonts w:eastAsia="Calibri" w:cs="Calibri"/>
            <w:spacing w:val="-2"/>
            <w:szCs w:val="24"/>
          </w:rPr>
          <w:t>National Emergency Telecommunication Plans (NETPs)</w:t>
        </w:r>
      </w:hyperlink>
      <w:r w:rsidR="2161CE58" w:rsidRPr="00A43F6E">
        <w:rPr>
          <w:rFonts w:eastAsia="Calibri" w:cs="Calibri"/>
          <w:spacing w:val="-2"/>
          <w:szCs w:val="24"/>
        </w:rPr>
        <w:t xml:space="preserve"> provide an appropriate framework for this purpose. NETPs establish national approaches</w:t>
      </w:r>
      <w:r w:rsidR="0B7D9876" w:rsidRPr="00A43F6E">
        <w:rPr>
          <w:rFonts w:eastAsia="Calibri" w:cs="Calibri"/>
          <w:spacing w:val="-2"/>
          <w:szCs w:val="24"/>
        </w:rPr>
        <w:t>, i</w:t>
      </w:r>
      <w:r w:rsidR="2161CE58" w:rsidRPr="00A43F6E">
        <w:rPr>
          <w:rFonts w:eastAsia="Calibri" w:cs="Calibri"/>
          <w:spacing w:val="-2"/>
          <w:szCs w:val="24"/>
        </w:rPr>
        <w:t xml:space="preserve">ncluding institutional roles and responsibilities, coordination mechanisms, regulatory measures, operational procedures and arrangements for the deployment and restoration of telecommunications resources. For conflict situations and other complex emergencies, countries could develop context-specific contingency plans within the NETP framework, adapted to their national circumstances, risks and needs. ITU has so far supported </w:t>
      </w:r>
      <w:hyperlink r:id="rId23" w:history="1">
        <w:r w:rsidR="2161CE58" w:rsidRPr="00A43F6E">
          <w:rPr>
            <w:rStyle w:val="Hyperlink"/>
            <w:spacing w:val="-2"/>
            <w:szCs w:val="24"/>
          </w:rPr>
          <w:t>44 countries</w:t>
        </w:r>
      </w:hyperlink>
      <w:r w:rsidR="2161CE58" w:rsidRPr="00A43F6E">
        <w:rPr>
          <w:rFonts w:eastAsia="Calibri" w:cs="Calibri"/>
          <w:spacing w:val="-2"/>
          <w:szCs w:val="24"/>
        </w:rPr>
        <w:t>, in developing National Emergency Telecommunication Plans, including two regional NETP models, and continues to provide assistance to Member States upon request.</w:t>
      </w:r>
    </w:p>
    <w:p w14:paraId="1B425DAD" w14:textId="7D983E77" w:rsidR="00DE5897" w:rsidRPr="00A43F6E" w:rsidRDefault="1F995C99" w:rsidP="005135C8">
      <w:pPr>
        <w:jc w:val="both"/>
      </w:pPr>
      <w:r>
        <w:lastRenderedPageBreak/>
        <w:t>3.</w:t>
      </w:r>
      <w:r w:rsidR="009F7361" w:rsidRPr="768AFA35">
        <w:rPr>
          <w:rFonts w:eastAsiaTheme="minorEastAsia"/>
          <w:lang w:eastAsia="zh-CN"/>
        </w:rPr>
        <w:t>5</w:t>
      </w:r>
      <w:r>
        <w:tab/>
      </w:r>
      <w:hyperlink r:id="rId24">
        <w:r w:rsidR="63A6AB5E" w:rsidRPr="768AFA35">
          <w:rPr>
            <w:rStyle w:val="Hyperlink"/>
          </w:rPr>
          <w:t>T</w:t>
        </w:r>
        <w:r w:rsidR="1694A371" w:rsidRPr="768AFA35">
          <w:rPr>
            <w:rStyle w:val="Hyperlink"/>
          </w:rPr>
          <w:t>he Early Warnings for All (</w:t>
        </w:r>
        <w:proofErr w:type="spellStart"/>
        <w:r w:rsidR="1694A371" w:rsidRPr="768AFA35">
          <w:rPr>
            <w:rStyle w:val="Hyperlink"/>
          </w:rPr>
          <w:t>EW4All</w:t>
        </w:r>
        <w:proofErr w:type="spellEnd"/>
        <w:r w:rsidR="1694A371" w:rsidRPr="768AFA35">
          <w:rPr>
            <w:rStyle w:val="Hyperlink"/>
          </w:rPr>
          <w:t>) initiative</w:t>
        </w:r>
      </w:hyperlink>
      <w:r w:rsidR="1694A371">
        <w:t xml:space="preserve"> </w:t>
      </w:r>
      <w:r w:rsidR="00BD158A" w:rsidRPr="768AFA35">
        <w:rPr>
          <w:rFonts w:eastAsiaTheme="minorEastAsia"/>
          <w:lang w:eastAsia="zh-CN"/>
        </w:rPr>
        <w:t xml:space="preserve">aims to ensure that everyone at risk is reached by timely and effective early warnings. Within the initiative, </w:t>
      </w:r>
      <w:r w:rsidR="1694A371">
        <w:t xml:space="preserve">ITU leads </w:t>
      </w:r>
      <w:hyperlink r:id="rId25">
        <w:r w:rsidR="1694A371" w:rsidRPr="768AFA35">
          <w:rPr>
            <w:rStyle w:val="Hyperlink"/>
          </w:rPr>
          <w:t>Pillar 3 on “Warning Dissemination and Communication”</w:t>
        </w:r>
      </w:hyperlink>
      <w:r w:rsidR="1694A371">
        <w:t xml:space="preserve">, focusing on ensuring that warnings reach people at risk through effective and accessible communication channels. </w:t>
      </w:r>
      <w:r w:rsidR="189BD8F6">
        <w:t>This includes the Common Alerting Protocol (CAP) and the deployment of Cell Broadcast, which enables authorities to send geo</w:t>
      </w:r>
      <w:r w:rsidR="6113534D">
        <w:t>graphically targeted alerts simultaneously to mobile devices within a defined area</w:t>
      </w:r>
      <w:r w:rsidR="15C2AAD0">
        <w:t xml:space="preserve">, and Location-Based SMS (LB-SMS) as </w:t>
      </w:r>
      <w:r w:rsidR="7B221CAC">
        <w:t xml:space="preserve">well as </w:t>
      </w:r>
      <w:r w:rsidR="15C2AAD0">
        <w:t xml:space="preserve">other mechanisms for targeted warning dissemination. </w:t>
      </w:r>
    </w:p>
    <w:p w14:paraId="585A9C0D" w14:textId="286649B0" w:rsidR="00DE5897" w:rsidRPr="00A43F6E" w:rsidRDefault="47EBFCB4" w:rsidP="00101F65">
      <w:pPr>
        <w:jc w:val="both"/>
      </w:pPr>
      <w:r w:rsidRPr="00A43F6E">
        <w:rPr>
          <w:rFonts w:eastAsia="Calibri" w:cs="Calibri"/>
          <w:szCs w:val="24"/>
        </w:rPr>
        <w:t>3.</w:t>
      </w:r>
      <w:r w:rsidR="00DB2D92" w:rsidRPr="00A43F6E">
        <w:rPr>
          <w:rFonts w:eastAsiaTheme="minorEastAsia" w:cs="Calibri" w:hint="eastAsia"/>
          <w:szCs w:val="24"/>
          <w:lang w:eastAsia="zh-CN"/>
        </w:rPr>
        <w:t>6</w:t>
      </w:r>
      <w:r w:rsidR="00DB2D92" w:rsidRPr="00A43F6E">
        <w:rPr>
          <w:rFonts w:eastAsiaTheme="minorEastAsia" w:cs="Calibri"/>
          <w:szCs w:val="24"/>
          <w:lang w:eastAsia="zh-CN"/>
        </w:rPr>
        <w:tab/>
      </w:r>
      <w:r w:rsidR="000C359B" w:rsidRPr="00A43F6E">
        <w:rPr>
          <w:rFonts w:eastAsiaTheme="minorEastAsia" w:cs="Calibri" w:hint="eastAsia"/>
          <w:szCs w:val="24"/>
          <w:lang w:eastAsia="zh-CN"/>
        </w:rPr>
        <w:t>ITU</w:t>
      </w:r>
      <w:r w:rsidR="000C359B" w:rsidRPr="00A43F6E">
        <w:rPr>
          <w:rFonts w:eastAsiaTheme="minorEastAsia" w:cs="Calibri"/>
          <w:szCs w:val="24"/>
          <w:lang w:eastAsia="zh-CN"/>
        </w:rPr>
        <w:t>’</w:t>
      </w:r>
      <w:r w:rsidR="000C359B" w:rsidRPr="00A43F6E">
        <w:rPr>
          <w:rFonts w:eastAsiaTheme="minorEastAsia" w:cs="Calibri" w:hint="eastAsia"/>
          <w:szCs w:val="24"/>
          <w:lang w:eastAsia="zh-CN"/>
        </w:rPr>
        <w:t xml:space="preserve">s </w:t>
      </w:r>
      <w:hyperlink r:id="rId26" w:history="1">
        <w:r w:rsidR="000C359B" w:rsidRPr="00A43F6E">
          <w:rPr>
            <w:rStyle w:val="Hyperlink"/>
            <w:rFonts w:eastAsiaTheme="minorEastAsia" w:hint="eastAsia"/>
            <w:szCs w:val="24"/>
            <w:lang w:eastAsia="zh-CN"/>
          </w:rPr>
          <w:t>e</w:t>
        </w:r>
        <w:r w:rsidR="048BAD94" w:rsidRPr="00A43F6E">
          <w:rPr>
            <w:rStyle w:val="Hyperlink"/>
            <w:szCs w:val="24"/>
          </w:rPr>
          <w:t>mergency telecommunications response</w:t>
        </w:r>
        <w:r w:rsidR="1859B9E3" w:rsidRPr="00A43F6E">
          <w:rPr>
            <w:rStyle w:val="Hyperlink"/>
            <w:szCs w:val="24"/>
          </w:rPr>
          <w:t xml:space="preserve"> programme</w:t>
        </w:r>
      </w:hyperlink>
      <w:r w:rsidR="1859B9E3" w:rsidRPr="00A43F6E">
        <w:rPr>
          <w:rFonts w:eastAsia="Calibri" w:cs="Calibri"/>
          <w:szCs w:val="24"/>
        </w:rPr>
        <w:t xml:space="preserve"> </w:t>
      </w:r>
      <w:r w:rsidR="546609EA" w:rsidRPr="00A43F6E">
        <w:rPr>
          <w:rFonts w:eastAsia="Calibri" w:cs="Calibri"/>
          <w:szCs w:val="24"/>
        </w:rPr>
        <w:t>provides operational support following disasters</w:t>
      </w:r>
      <w:r w:rsidR="5864E60E" w:rsidRPr="00A43F6E">
        <w:rPr>
          <w:rFonts w:eastAsia="Calibri" w:cs="Calibri"/>
          <w:szCs w:val="24"/>
        </w:rPr>
        <w:t xml:space="preserve"> from natural hazards</w:t>
      </w:r>
      <w:r w:rsidR="002016D0" w:rsidRPr="00A43F6E">
        <w:rPr>
          <w:rFonts w:eastAsiaTheme="minorEastAsia" w:cs="Calibri" w:hint="eastAsia"/>
          <w:szCs w:val="24"/>
          <w:lang w:eastAsia="zh-CN"/>
        </w:rPr>
        <w:t>. U</w:t>
      </w:r>
      <w:r w:rsidR="546609EA" w:rsidRPr="00A43F6E">
        <w:rPr>
          <w:rFonts w:eastAsia="Calibri" w:cs="Calibri"/>
          <w:szCs w:val="24"/>
        </w:rPr>
        <w:t>pon request from affected countries, ITU deploys satellite telecommunications equipment to help restore or provide vital communications when terrestrial networks have been damaged or disrupted. Most recently, ITU deployed emergency telecommunications equipment to Nepal following the devastating floods that struck the country in August 2026. The programme also contributes to preparedness by providing training on the use and operation of emergency satellite telecommunications equipment, including tabletop simulation exercises. These exercises enable countries to test, in a practical setting, whether their NETPs, standard operating procedures, regulatory arrangements, coordination mechanisms and available telecommunications equipment are operationally ready and fit for purpose. They can help identify gaps in advance, clarify roles and responsibilities, and strengthen national capacity to deploy and use emergency telecommunications resources effectively when a crisis occurs.</w:t>
      </w:r>
    </w:p>
    <w:p w14:paraId="0AD79DD6" w14:textId="50D4ADB5" w:rsidR="00DE5897" w:rsidRPr="00A43F6E" w:rsidRDefault="757776B6" w:rsidP="007F61AC">
      <w:pPr>
        <w:jc w:val="both"/>
      </w:pPr>
      <w:r w:rsidRPr="768AFA35">
        <w:rPr>
          <w:rFonts w:eastAsia="Calibri" w:cs="Calibri"/>
        </w:rPr>
        <w:t>3.</w:t>
      </w:r>
      <w:r w:rsidR="007F61AC" w:rsidRPr="768AFA35">
        <w:rPr>
          <w:rFonts w:eastAsiaTheme="minorEastAsia" w:cs="Calibri"/>
          <w:lang w:eastAsia="zh-CN"/>
        </w:rPr>
        <w:t>7</w:t>
      </w:r>
      <w:r>
        <w:tab/>
      </w:r>
      <w:r w:rsidRPr="768AFA35">
        <w:rPr>
          <w:rFonts w:eastAsia="Calibri" w:cs="Calibri"/>
        </w:rPr>
        <w:t xml:space="preserve">The </w:t>
      </w:r>
      <w:hyperlink r:id="rId27">
        <w:r w:rsidRPr="768AFA35">
          <w:rPr>
            <w:rStyle w:val="Hyperlink"/>
          </w:rPr>
          <w:t>Disaster Connectivity Map (DCM)</w:t>
        </w:r>
      </w:hyperlink>
      <w:r w:rsidRPr="768AFA35">
        <w:rPr>
          <w:rFonts w:eastAsia="Calibri" w:cs="Calibri"/>
        </w:rPr>
        <w:t xml:space="preserve"> provides governments, telecommunications operators and first responders with near-real-time information on the status of telecommunications connectivity before, during and after disasters</w:t>
      </w:r>
      <w:r w:rsidR="62C99BA7" w:rsidRPr="768AFA35">
        <w:rPr>
          <w:rFonts w:eastAsia="Calibri" w:cs="Calibri"/>
        </w:rPr>
        <w:t xml:space="preserve"> from natural hazards</w:t>
      </w:r>
      <w:r w:rsidRPr="768AFA35">
        <w:rPr>
          <w:rFonts w:eastAsia="Calibri" w:cs="Calibri"/>
        </w:rPr>
        <w:t xml:space="preserve">, </w:t>
      </w:r>
      <w:r w:rsidR="37BD8362" w:rsidRPr="768AFA35">
        <w:rPr>
          <w:rFonts w:eastAsia="Calibri" w:cs="Calibri"/>
        </w:rPr>
        <w:t xml:space="preserve">enabling the identification of connectivity outages or </w:t>
      </w:r>
      <w:r w:rsidR="7A406E08" w:rsidRPr="768AFA35">
        <w:rPr>
          <w:rFonts w:eastAsia="Calibri" w:cs="Calibri"/>
        </w:rPr>
        <w:t>degraded</w:t>
      </w:r>
      <w:r w:rsidR="5778D547" w:rsidRPr="768AFA35">
        <w:rPr>
          <w:rFonts w:eastAsia="Calibri" w:cs="Calibri"/>
        </w:rPr>
        <w:t xml:space="preserve"> service</w:t>
      </w:r>
      <w:r w:rsidR="37BD8362" w:rsidRPr="768AFA35">
        <w:rPr>
          <w:rFonts w:eastAsia="Calibri" w:cs="Calibri"/>
        </w:rPr>
        <w:t>.</w:t>
      </w:r>
      <w:r w:rsidRPr="768AFA35">
        <w:rPr>
          <w:rFonts w:eastAsia="Calibri" w:cs="Calibri"/>
        </w:rPr>
        <w:t xml:space="preserve"> </w:t>
      </w:r>
      <w:r w:rsidR="7529B212" w:rsidRPr="768AFA35">
        <w:rPr>
          <w:rFonts w:eastAsia="Calibri" w:cs="Calibri"/>
        </w:rPr>
        <w:t xml:space="preserve">It supports governments, telecommunication operators and first responders in </w:t>
      </w:r>
      <w:r w:rsidRPr="768AFA35">
        <w:rPr>
          <w:rFonts w:eastAsia="Calibri" w:cs="Calibri"/>
        </w:rPr>
        <w:t xml:space="preserve">decision-making by enabling </w:t>
      </w:r>
      <w:r w:rsidR="484EFC2B" w:rsidRPr="768AFA35">
        <w:rPr>
          <w:rFonts w:eastAsia="Calibri" w:cs="Calibri"/>
        </w:rPr>
        <w:t xml:space="preserve">earlier, faster, and more targeted allocation of resources to repair communication networks and restore connectivity and services. </w:t>
      </w:r>
      <w:r w:rsidRPr="768AFA35">
        <w:rPr>
          <w:rFonts w:eastAsia="Calibri" w:cs="Calibri"/>
        </w:rPr>
        <w:t xml:space="preserve">Launched in 2020, the DCM has been activated in more than 80 countries and disasters as of January 2026. It is a joint initiative of ITU and the </w:t>
      </w:r>
      <w:proofErr w:type="spellStart"/>
      <w:r w:rsidR="447EC8B3" w:rsidRPr="768AFA35">
        <w:rPr>
          <w:rFonts w:eastAsia="Calibri" w:cs="Calibri"/>
        </w:rPr>
        <w:t>L</w:t>
      </w:r>
      <w:r w:rsidRPr="768AFA35">
        <w:rPr>
          <w:rFonts w:eastAsia="Calibri" w:cs="Calibri"/>
        </w:rPr>
        <w:t>TC</w:t>
      </w:r>
      <w:proofErr w:type="spellEnd"/>
      <w:r w:rsidRPr="768AFA35">
        <w:rPr>
          <w:rFonts w:eastAsia="Calibri" w:cs="Calibri"/>
        </w:rPr>
        <w:t>, with support from GSMA, and is hosted by ITU.</w:t>
      </w:r>
    </w:p>
    <w:p w14:paraId="46274649" w14:textId="0A18E002" w:rsidR="00DE5897" w:rsidRPr="00A43F6E" w:rsidRDefault="38A11BAB" w:rsidP="003B5004">
      <w:pPr>
        <w:jc w:val="both"/>
      </w:pPr>
      <w:r>
        <w:t>3.</w:t>
      </w:r>
      <w:r w:rsidR="003B5004" w:rsidRPr="768AFA35">
        <w:rPr>
          <w:rFonts w:eastAsiaTheme="minorEastAsia"/>
          <w:lang w:eastAsia="zh-CN"/>
        </w:rPr>
        <w:t>8</w:t>
      </w:r>
      <w:r>
        <w:tab/>
      </w:r>
      <w:hyperlink r:id="rId28">
        <w:r w:rsidRPr="768AFA35">
          <w:rPr>
            <w:rStyle w:val="Hyperlink"/>
          </w:rPr>
          <w:t>The Early Warning Connectivity Map</w:t>
        </w:r>
        <w:r w:rsidR="7451A33C" w:rsidRPr="768AFA35">
          <w:rPr>
            <w:rStyle w:val="Hyperlink"/>
          </w:rPr>
          <w:t xml:space="preserve"> (</w:t>
        </w:r>
        <w:proofErr w:type="spellStart"/>
        <w:r w:rsidR="7451A33C" w:rsidRPr="768AFA35">
          <w:rPr>
            <w:rStyle w:val="Hyperlink"/>
          </w:rPr>
          <w:t>EWCM</w:t>
        </w:r>
        <w:proofErr w:type="spellEnd"/>
        <w:r w:rsidR="7451A33C" w:rsidRPr="768AFA35">
          <w:rPr>
            <w:rStyle w:val="Hyperlink"/>
          </w:rPr>
          <w:t>)</w:t>
        </w:r>
      </w:hyperlink>
      <w:r w:rsidR="007779DF" w:rsidRPr="768AFA35">
        <w:rPr>
          <w:rFonts w:eastAsiaTheme="minorEastAsia"/>
          <w:lang w:eastAsia="zh-CN"/>
        </w:rPr>
        <w:t xml:space="preserve"> b</w:t>
      </w:r>
      <w:r>
        <w:t>uild</w:t>
      </w:r>
      <w:r w:rsidR="007779DF" w:rsidRPr="768AFA35">
        <w:rPr>
          <w:rFonts w:eastAsiaTheme="minorEastAsia"/>
          <w:lang w:eastAsia="zh-CN"/>
        </w:rPr>
        <w:t>s</w:t>
      </w:r>
      <w:r>
        <w:t xml:space="preserve"> on the potential of the DCM</w:t>
      </w:r>
      <w:r w:rsidR="09CC1256">
        <w:t xml:space="preserve"> expand</w:t>
      </w:r>
      <w:r w:rsidR="00231AC4" w:rsidRPr="768AFA35">
        <w:rPr>
          <w:rFonts w:eastAsiaTheme="minorEastAsia"/>
          <w:lang w:eastAsia="zh-CN"/>
        </w:rPr>
        <w:t>ing</w:t>
      </w:r>
      <w:r w:rsidR="09CC1256">
        <w:t xml:space="preserve"> ITU’s mapping capabilities into the domain of multi-hazard early warning systems</w:t>
      </w:r>
      <w:r w:rsidR="00231AC4" w:rsidRPr="768AFA35">
        <w:rPr>
          <w:rFonts w:eastAsiaTheme="minorEastAsia"/>
          <w:lang w:eastAsia="zh-CN"/>
        </w:rPr>
        <w:t xml:space="preserve">. It integrates </w:t>
      </w:r>
      <w:r w:rsidR="09CC1256">
        <w:t>three core layers: network connectivity, population density, and hazard exposure</w:t>
      </w:r>
      <w:r w:rsidR="00C6020E" w:rsidRPr="768AFA35">
        <w:rPr>
          <w:rFonts w:eastAsiaTheme="minorEastAsia"/>
          <w:lang w:eastAsia="zh-CN"/>
        </w:rPr>
        <w:t xml:space="preserve"> </w:t>
      </w:r>
      <w:r w:rsidR="00E11B09" w:rsidRPr="768AFA35">
        <w:rPr>
          <w:rFonts w:eastAsiaTheme="minorEastAsia"/>
          <w:lang w:eastAsia="zh-CN"/>
        </w:rPr>
        <w:t>—</w:t>
      </w:r>
      <w:r w:rsidR="00C6020E" w:rsidRPr="768AFA35">
        <w:rPr>
          <w:rFonts w:eastAsiaTheme="minorEastAsia"/>
          <w:lang w:eastAsia="zh-CN"/>
        </w:rPr>
        <w:t xml:space="preserve">to provide a more risk-informed analysis of connectivity gaps. By leveraging </w:t>
      </w:r>
      <w:r w:rsidR="09CC1256">
        <w:t xml:space="preserve">AI and satellite imagery, the </w:t>
      </w:r>
      <w:proofErr w:type="spellStart"/>
      <w:r w:rsidR="09CC1256">
        <w:t>EWCM</w:t>
      </w:r>
      <w:proofErr w:type="spellEnd"/>
      <w:r w:rsidR="09CC1256">
        <w:t xml:space="preserve"> helps identify high-risk communities </w:t>
      </w:r>
      <w:r w:rsidR="00C6020E" w:rsidRPr="768AFA35">
        <w:rPr>
          <w:rFonts w:eastAsiaTheme="minorEastAsia"/>
          <w:lang w:eastAsia="zh-CN"/>
        </w:rPr>
        <w:t xml:space="preserve">that may not be reached </w:t>
      </w:r>
      <w:r w:rsidR="09CC1256">
        <w:t xml:space="preserve">by early warning alerts </w:t>
      </w:r>
      <w:r w:rsidR="00C6020E" w:rsidRPr="768AFA35">
        <w:rPr>
          <w:rFonts w:eastAsiaTheme="minorEastAsia"/>
          <w:lang w:eastAsia="zh-CN"/>
        </w:rPr>
        <w:t>because of</w:t>
      </w:r>
      <w:r w:rsidR="09CC1256">
        <w:t xml:space="preserve"> limited or no network coverage.</w:t>
      </w:r>
      <w:r w:rsidR="5DB00FE7">
        <w:t xml:space="preserve"> </w:t>
      </w:r>
      <w:r w:rsidR="00C6020E" w:rsidRPr="768AFA35">
        <w:rPr>
          <w:rFonts w:eastAsiaTheme="minorEastAsia"/>
          <w:lang w:eastAsia="zh-CN"/>
        </w:rPr>
        <w:t xml:space="preserve">The </w:t>
      </w:r>
      <w:proofErr w:type="spellStart"/>
      <w:r w:rsidR="00C6020E" w:rsidRPr="768AFA35">
        <w:rPr>
          <w:rFonts w:eastAsiaTheme="minorEastAsia"/>
          <w:lang w:eastAsia="zh-CN"/>
        </w:rPr>
        <w:t>EWCM</w:t>
      </w:r>
      <w:proofErr w:type="spellEnd"/>
      <w:r w:rsidR="00C6020E" w:rsidRPr="768AFA35">
        <w:rPr>
          <w:rFonts w:eastAsiaTheme="minorEastAsia"/>
          <w:lang w:eastAsia="zh-CN"/>
        </w:rPr>
        <w:t xml:space="preserve"> </w:t>
      </w:r>
      <w:r w:rsidR="5DB00FE7">
        <w:t xml:space="preserve">was developed as a flagship tool of the </w:t>
      </w:r>
      <w:hyperlink r:id="rId29">
        <w:r w:rsidR="5DB00FE7" w:rsidRPr="768AFA35">
          <w:rPr>
            <w:rStyle w:val="Hyperlink"/>
          </w:rPr>
          <w:t>Early Warnings for All initiative's AI Group</w:t>
        </w:r>
      </w:hyperlink>
      <w:r w:rsidR="5DB00FE7">
        <w:t>, in collaboration with key initiative partners</w:t>
      </w:r>
      <w:r w:rsidR="00E54035" w:rsidRPr="768AFA35">
        <w:rPr>
          <w:rFonts w:eastAsiaTheme="minorEastAsia"/>
          <w:lang w:eastAsia="zh-CN"/>
        </w:rPr>
        <w:t>, including</w:t>
      </w:r>
      <w:r w:rsidR="5DB00FE7">
        <w:t xml:space="preserve"> Microsoft, Planet Labs, and the University of Washington’s Institute for Health Metrics and Evaluation (IHME).</w:t>
      </w:r>
    </w:p>
    <w:p w14:paraId="695E09A8" w14:textId="3ACF3C1E" w:rsidR="00DE5897" w:rsidRPr="00A43F6E" w:rsidRDefault="5B33BB01" w:rsidP="003B5004">
      <w:pPr>
        <w:jc w:val="both"/>
        <w:rPr>
          <w:rFonts w:eastAsia="Calibri" w:cs="Calibri"/>
          <w:szCs w:val="24"/>
        </w:rPr>
      </w:pPr>
      <w:r w:rsidRPr="00A43F6E">
        <w:t>3.</w:t>
      </w:r>
      <w:r w:rsidR="00E54035" w:rsidRPr="00A43F6E">
        <w:rPr>
          <w:rFonts w:eastAsiaTheme="minorEastAsia" w:hint="eastAsia"/>
          <w:lang w:eastAsia="zh-CN"/>
        </w:rPr>
        <w:t>9</w:t>
      </w:r>
      <w:r w:rsidR="00E54035" w:rsidRPr="00A43F6E">
        <w:rPr>
          <w:rFonts w:eastAsiaTheme="minorEastAsia"/>
          <w:lang w:eastAsia="zh-CN"/>
        </w:rPr>
        <w:tab/>
      </w:r>
      <w:r w:rsidR="02A9BDDC" w:rsidRPr="00A43F6E">
        <w:rPr>
          <w:rFonts w:eastAsia="Calibri" w:cs="Calibri"/>
          <w:szCs w:val="24"/>
        </w:rPr>
        <w:t>ITU also strengthens national capacity through</w:t>
      </w:r>
      <w:r w:rsidR="005C0A66" w:rsidRPr="00A43F6E">
        <w:rPr>
          <w:rFonts w:eastAsiaTheme="minorEastAsia" w:cs="Calibri" w:hint="eastAsia"/>
          <w:szCs w:val="24"/>
          <w:lang w:eastAsia="zh-CN"/>
        </w:rPr>
        <w:t xml:space="preserve"> capacity building and knowledge </w:t>
      </w:r>
      <w:r w:rsidR="005C0A66" w:rsidRPr="00A43F6E">
        <w:rPr>
          <w:rFonts w:eastAsiaTheme="minorEastAsia" w:cs="Calibri"/>
          <w:szCs w:val="24"/>
          <w:lang w:eastAsia="zh-CN"/>
        </w:rPr>
        <w:t>development</w:t>
      </w:r>
      <w:r w:rsidR="005C0A66" w:rsidRPr="00A43F6E">
        <w:rPr>
          <w:rFonts w:eastAsiaTheme="minorEastAsia" w:cs="Calibri" w:hint="eastAsia"/>
          <w:szCs w:val="24"/>
          <w:lang w:eastAsia="zh-CN"/>
        </w:rPr>
        <w:t xml:space="preserve"> for emergency telecommunications, including</w:t>
      </w:r>
      <w:r w:rsidR="02A9BDDC" w:rsidRPr="00A43F6E">
        <w:rPr>
          <w:rFonts w:eastAsia="Calibri" w:cs="Calibri"/>
          <w:szCs w:val="24"/>
        </w:rPr>
        <w:t xml:space="preserve"> dedicated online training available through the ITU Academy. These self-paced courses provide practical knowledge for policymakers, regulators and other stakeholders involved in emergency preparedness and response. The training portfolio </w:t>
      </w:r>
      <w:r w:rsidR="00106BDC" w:rsidRPr="00A43F6E">
        <w:rPr>
          <w:rFonts w:eastAsiaTheme="minorEastAsia" w:cs="Calibri" w:hint="eastAsia"/>
          <w:szCs w:val="24"/>
          <w:lang w:eastAsia="zh-CN"/>
        </w:rPr>
        <w:t xml:space="preserve">covers key areas, including </w:t>
      </w:r>
      <w:hyperlink r:id="rId30" w:history="1">
        <w:r w:rsidR="02A9BDDC" w:rsidRPr="00A43F6E">
          <w:rPr>
            <w:rStyle w:val="Hyperlink"/>
            <w:szCs w:val="24"/>
          </w:rPr>
          <w:t>developing National Emergency Telecommunication Plans</w:t>
        </w:r>
        <w:r w:rsidR="00106BDC" w:rsidRPr="00A43F6E">
          <w:rPr>
            <w:rStyle w:val="Hyperlink"/>
            <w:rFonts w:eastAsiaTheme="minorEastAsia"/>
            <w:lang w:eastAsia="zh-CN"/>
          </w:rPr>
          <w:t xml:space="preserve"> (NETPs)</w:t>
        </w:r>
      </w:hyperlink>
      <w:r w:rsidR="02A9BDDC" w:rsidRPr="00A43F6E">
        <w:rPr>
          <w:rFonts w:eastAsia="Calibri" w:cs="Calibri"/>
          <w:szCs w:val="24"/>
        </w:rPr>
        <w:t xml:space="preserve">, </w:t>
      </w:r>
      <w:hyperlink r:id="rId31" w:history="1">
        <w:r w:rsidR="02A9BDDC" w:rsidRPr="00A43F6E">
          <w:rPr>
            <w:rStyle w:val="Hyperlink"/>
            <w:szCs w:val="24"/>
          </w:rPr>
          <w:t>designing tabletop simulation exercises</w:t>
        </w:r>
      </w:hyperlink>
      <w:r w:rsidR="02A9BDDC" w:rsidRPr="00A43F6E">
        <w:rPr>
          <w:rFonts w:eastAsia="Calibri" w:cs="Calibri"/>
          <w:szCs w:val="24"/>
        </w:rPr>
        <w:t xml:space="preserve">, </w:t>
      </w:r>
      <w:hyperlink r:id="rId32" w:history="1">
        <w:r w:rsidR="02A9BDDC" w:rsidRPr="00A43F6E">
          <w:rPr>
            <w:rStyle w:val="Hyperlink"/>
            <w:szCs w:val="24"/>
          </w:rPr>
          <w:t>implementing the Tampere Convention</w:t>
        </w:r>
      </w:hyperlink>
      <w:r w:rsidR="02A9BDDC" w:rsidRPr="00A43F6E">
        <w:rPr>
          <w:rFonts w:eastAsia="Calibri" w:cs="Calibri"/>
          <w:szCs w:val="24"/>
        </w:rPr>
        <w:t xml:space="preserve"> and </w:t>
      </w:r>
      <w:hyperlink r:id="rId33" w:history="1">
        <w:r w:rsidR="02A9BDDC" w:rsidRPr="00A43F6E">
          <w:rPr>
            <w:rStyle w:val="Hyperlink"/>
            <w:szCs w:val="24"/>
          </w:rPr>
          <w:t>monitoring and evaluating Early Warnings for All</w:t>
        </w:r>
      </w:hyperlink>
      <w:r w:rsidR="00E11B09" w:rsidRPr="00A43F6E">
        <w:t>.</w:t>
      </w:r>
    </w:p>
    <w:p w14:paraId="0E94FDF3" w14:textId="49C5A371" w:rsidR="009E6CC8" w:rsidRPr="00A43F6E" w:rsidRDefault="00725693" w:rsidP="006C52B5">
      <w:pPr>
        <w:pStyle w:val="Heading1"/>
      </w:pPr>
      <w:r w:rsidRPr="00A43F6E">
        <w:lastRenderedPageBreak/>
        <w:t>4</w:t>
      </w:r>
      <w:r w:rsidR="00196AA1" w:rsidRPr="00A43F6E">
        <w:tab/>
      </w:r>
      <w:r w:rsidR="00DB4BF1" w:rsidRPr="00A43F6E">
        <w:t xml:space="preserve">Strategic </w:t>
      </w:r>
      <w:r w:rsidR="00E11B09" w:rsidRPr="00A43F6E">
        <w:t>implementation and resource mobilization</w:t>
      </w:r>
    </w:p>
    <w:p w14:paraId="7730F593" w14:textId="3E1BF267" w:rsidR="00464A1B" w:rsidRPr="00A43F6E" w:rsidRDefault="26858A31" w:rsidP="003B5004">
      <w:pPr>
        <w:spacing w:line="259" w:lineRule="auto"/>
        <w:jc w:val="both"/>
        <w:rPr>
          <w:rFonts w:eastAsiaTheme="minorEastAsia"/>
          <w:lang w:eastAsia="zh-CN"/>
        </w:rPr>
      </w:pPr>
      <w:r w:rsidRPr="00A43F6E">
        <w:t>4</w:t>
      </w:r>
      <w:r w:rsidR="1E3621E8" w:rsidRPr="00A43F6E">
        <w:t>.1</w:t>
      </w:r>
      <w:r w:rsidR="00196AA1" w:rsidRPr="00A43F6E">
        <w:tab/>
      </w:r>
      <w:r w:rsidR="1E3621E8" w:rsidRPr="00A43F6E">
        <w:t xml:space="preserve">The WTDC statement instructs the Secretary-General, in consultation with Member States and relevant stakeholders, to </w:t>
      </w:r>
      <w:r w:rsidR="3D6C1984" w:rsidRPr="00A43F6E">
        <w:t xml:space="preserve">continue </w:t>
      </w:r>
      <w:r w:rsidR="1E3621E8" w:rsidRPr="00A43F6E">
        <w:t>implement</w:t>
      </w:r>
      <w:r w:rsidR="12DB5006" w:rsidRPr="00A43F6E">
        <w:t>ing</w:t>
      </w:r>
      <w:r w:rsidR="1E3621E8" w:rsidRPr="00A43F6E">
        <w:t xml:space="preserve"> a number of actions to promote emergency communication services for critical, life-saving, humanitarian aid and public safety and continuity of public telecommunication networks and services during </w:t>
      </w:r>
      <w:r w:rsidR="3B4A46AB" w:rsidRPr="00A43F6E">
        <w:t xml:space="preserve">disasters including </w:t>
      </w:r>
      <w:r w:rsidR="1E3621E8" w:rsidRPr="00A43F6E">
        <w:t>armed conflicts</w:t>
      </w:r>
      <w:r w:rsidR="6163453B" w:rsidRPr="00A43F6E">
        <w:t>.</w:t>
      </w:r>
      <w:r w:rsidR="1E3621E8" w:rsidRPr="00A43F6E">
        <w:t xml:space="preserve"> The Secretary-General </w:t>
      </w:r>
      <w:r w:rsidR="00464A1B" w:rsidRPr="00A43F6E">
        <w:rPr>
          <w:rFonts w:eastAsiaTheme="minorEastAsia" w:hint="eastAsia"/>
          <w:lang w:eastAsia="zh-CN"/>
        </w:rPr>
        <w:t xml:space="preserve">is continuing </w:t>
      </w:r>
      <w:r w:rsidR="009F5EFD" w:rsidRPr="00A43F6E">
        <w:rPr>
          <w:rFonts w:eastAsiaTheme="minorEastAsia" w:hint="eastAsia"/>
          <w:lang w:eastAsia="zh-CN"/>
        </w:rPr>
        <w:t>to</w:t>
      </w:r>
      <w:r w:rsidR="1E3621E8" w:rsidRPr="00A43F6E">
        <w:t xml:space="preserve"> work on a strategic plan to ensure implementation of such actions</w:t>
      </w:r>
      <w:r w:rsidR="5A9834E7" w:rsidRPr="00A43F6E">
        <w:t xml:space="preserve"> and to strengthen coordination across the relevant areas of ITU's work.</w:t>
      </w:r>
      <w:r w:rsidR="32E6905A" w:rsidRPr="00A43F6E">
        <w:t xml:space="preserve"> </w:t>
      </w:r>
    </w:p>
    <w:p w14:paraId="77F718CE" w14:textId="452DF0F3" w:rsidR="009F5EFD" w:rsidRPr="00A43F6E" w:rsidRDefault="00464A1B" w:rsidP="003B5004">
      <w:pPr>
        <w:spacing w:line="259" w:lineRule="auto"/>
        <w:jc w:val="both"/>
        <w:rPr>
          <w:rFonts w:eastAsiaTheme="minorEastAsia" w:cs="Calibri"/>
          <w:szCs w:val="24"/>
          <w:lang w:eastAsia="zh-CN"/>
        </w:rPr>
      </w:pPr>
      <w:r w:rsidRPr="00A43F6E">
        <w:rPr>
          <w:rFonts w:eastAsiaTheme="minorEastAsia" w:hint="eastAsia"/>
          <w:lang w:eastAsia="zh-CN"/>
        </w:rPr>
        <w:t>4.2</w:t>
      </w:r>
      <w:r w:rsidRPr="00A43F6E">
        <w:rPr>
          <w:rFonts w:eastAsiaTheme="minorEastAsia"/>
          <w:lang w:eastAsia="zh-CN"/>
        </w:rPr>
        <w:tab/>
      </w:r>
      <w:r w:rsidR="1888B710" w:rsidRPr="00A43F6E">
        <w:rPr>
          <w:rFonts w:eastAsia="Calibri" w:cs="Calibri"/>
          <w:szCs w:val="24"/>
        </w:rPr>
        <w:t xml:space="preserve">The strategic implementation </w:t>
      </w:r>
      <w:r w:rsidR="009F5EFD" w:rsidRPr="00A43F6E">
        <w:rPr>
          <w:rFonts w:eastAsiaTheme="minorEastAsia" w:cs="Calibri" w:hint="eastAsia"/>
          <w:szCs w:val="24"/>
          <w:lang w:eastAsia="zh-CN"/>
        </w:rPr>
        <w:t>will</w:t>
      </w:r>
      <w:r w:rsidR="1888B710" w:rsidRPr="00A43F6E">
        <w:rPr>
          <w:rFonts w:eastAsia="Calibri" w:cs="Calibri"/>
          <w:szCs w:val="24"/>
        </w:rPr>
        <w:t xml:space="preserve"> build on ITU's existing emergency telecommunications programme and its support to Member States in strengthening preparedness, resilience and response capacities. In particular, adequate and sustained resources will be required to support the development and implementation of NETPs, including the associated policy, regulatory, institutional and operational </w:t>
      </w:r>
      <w:r w:rsidR="1888B710" w:rsidRPr="00A43F6E">
        <w:t>frameworks</w:t>
      </w:r>
      <w:r w:rsidR="1888B710" w:rsidRPr="00A43F6E">
        <w:rPr>
          <w:rFonts w:eastAsia="Calibri" w:cs="Calibri"/>
          <w:szCs w:val="24"/>
        </w:rPr>
        <w:t>; strengthen national preparedness and capacity building</w:t>
      </w:r>
      <w:r w:rsidR="00E1329B" w:rsidRPr="00A43F6E">
        <w:rPr>
          <w:rFonts w:eastAsiaTheme="minorEastAsia" w:cs="Calibri" w:hint="eastAsia"/>
          <w:szCs w:val="24"/>
          <w:lang w:eastAsia="zh-CN"/>
        </w:rPr>
        <w:t xml:space="preserve"> efforts</w:t>
      </w:r>
      <w:r w:rsidR="1888B710" w:rsidRPr="00A43F6E">
        <w:rPr>
          <w:rFonts w:eastAsia="Calibri" w:cs="Calibri"/>
          <w:szCs w:val="24"/>
        </w:rPr>
        <w:t>; support the deployment and effective use of emergency telecommunications resources; and maintain and further develop tools such as the DCM</w:t>
      </w:r>
      <w:r w:rsidR="3D11EFC6" w:rsidRPr="00A43F6E">
        <w:rPr>
          <w:rFonts w:eastAsia="Calibri" w:cs="Calibri"/>
          <w:szCs w:val="24"/>
        </w:rPr>
        <w:t xml:space="preserve"> and the </w:t>
      </w:r>
      <w:proofErr w:type="spellStart"/>
      <w:r w:rsidR="3D11EFC6" w:rsidRPr="00A43F6E">
        <w:rPr>
          <w:rFonts w:eastAsia="Calibri" w:cs="Calibri"/>
          <w:szCs w:val="24"/>
        </w:rPr>
        <w:t>EWCM</w:t>
      </w:r>
      <w:proofErr w:type="spellEnd"/>
      <w:r w:rsidR="1888B710" w:rsidRPr="00A43F6E">
        <w:rPr>
          <w:rFonts w:eastAsia="Calibri" w:cs="Calibri"/>
          <w:szCs w:val="24"/>
        </w:rPr>
        <w:t xml:space="preserve">. </w:t>
      </w:r>
    </w:p>
    <w:p w14:paraId="1B396236" w14:textId="497028A5" w:rsidR="001F3C30" w:rsidRPr="00A43F6E" w:rsidRDefault="007F40FD">
      <w:pPr>
        <w:spacing w:line="259" w:lineRule="auto"/>
        <w:jc w:val="both"/>
      </w:pPr>
      <w:r w:rsidRPr="768AFA35">
        <w:rPr>
          <w:rFonts w:eastAsiaTheme="minorEastAsia" w:cs="Calibri"/>
          <w:lang w:eastAsia="zh-CN"/>
        </w:rPr>
        <w:t>4.3</w:t>
      </w:r>
      <w:r>
        <w:tab/>
      </w:r>
      <w:r w:rsidR="00E1329B" w:rsidRPr="768AFA35">
        <w:rPr>
          <w:rFonts w:eastAsiaTheme="minorEastAsia" w:cs="Calibri"/>
          <w:lang w:eastAsia="zh-CN"/>
        </w:rPr>
        <w:t>ITU</w:t>
      </w:r>
      <w:r w:rsidR="1888B710" w:rsidRPr="768AFA35">
        <w:rPr>
          <w:rFonts w:eastAsia="Calibri" w:cs="Calibri"/>
        </w:rPr>
        <w:t xml:space="preserve"> </w:t>
      </w:r>
      <w:r w:rsidR="5DE51765" w:rsidRPr="768AFA35">
        <w:rPr>
          <w:rFonts w:eastAsiaTheme="minorEastAsia" w:cs="Calibri"/>
          <w:lang w:eastAsia="zh-CN"/>
        </w:rPr>
        <w:t xml:space="preserve">is </w:t>
      </w:r>
      <w:r w:rsidR="1888B710" w:rsidRPr="768AFA35">
        <w:rPr>
          <w:rFonts w:eastAsia="Calibri" w:cs="Calibri"/>
        </w:rPr>
        <w:t xml:space="preserve">also </w:t>
      </w:r>
      <w:r w:rsidR="1BCBC466" w:rsidRPr="768AFA35">
        <w:rPr>
          <w:rFonts w:eastAsia="Calibri" w:cs="Calibri"/>
        </w:rPr>
        <w:t xml:space="preserve">planning to </w:t>
      </w:r>
      <w:r w:rsidR="1888B710" w:rsidRPr="768AFA35">
        <w:rPr>
          <w:rFonts w:eastAsia="Calibri" w:cs="Calibri"/>
        </w:rPr>
        <w:t xml:space="preserve">continue strengthening cooperation with relevant United Nations and humanitarian mechanisms, including through the </w:t>
      </w:r>
      <w:proofErr w:type="spellStart"/>
      <w:r w:rsidR="447B89A0" w:rsidRPr="768AFA35">
        <w:rPr>
          <w:rFonts w:eastAsia="Calibri" w:cs="Calibri"/>
        </w:rPr>
        <w:t>LTC</w:t>
      </w:r>
      <w:proofErr w:type="spellEnd"/>
      <w:r w:rsidR="1888B710" w:rsidRPr="768AFA35">
        <w:rPr>
          <w:rFonts w:eastAsia="Calibri" w:cs="Calibri"/>
        </w:rPr>
        <w:t xml:space="preserve">, to ensure that ITU's technical expertise and emergency telecommunications capabilities can contribute effectively to humanitarian response. Resource mobilization and clear prioritization will therefore be essential to translate the WTDC-25 actions into sustained support for Member States, particularly those facing </w:t>
      </w:r>
      <w:r w:rsidR="7D13A2DE" w:rsidRPr="768AFA35">
        <w:rPr>
          <w:rFonts w:eastAsia="Calibri" w:cs="Calibri"/>
        </w:rPr>
        <w:t>highly</w:t>
      </w:r>
      <w:r w:rsidR="7D13A2DE">
        <w:t xml:space="preserve"> </w:t>
      </w:r>
      <w:r w:rsidR="1888B710" w:rsidRPr="768AFA35">
        <w:rPr>
          <w:rFonts w:eastAsia="Calibri" w:cs="Calibri"/>
        </w:rPr>
        <w:t>exposure to disasters, armed conflicts and other crises affecting telecommunications infrastructure and services.</w:t>
      </w:r>
      <w:r w:rsidR="5E67DC09" w:rsidRPr="768AFA35">
        <w:rPr>
          <w:rFonts w:eastAsia="Calibri" w:cs="Calibri"/>
        </w:rPr>
        <w:t xml:space="preserve"> </w:t>
      </w:r>
    </w:p>
    <w:p w14:paraId="49986C22" w14:textId="69E1D96E" w:rsidR="00B273BF" w:rsidRPr="00A43F6E" w:rsidRDefault="26858A31" w:rsidP="45F3465D">
      <w:pPr>
        <w:jc w:val="both"/>
        <w:rPr>
          <w:rFonts w:eastAsiaTheme="minorEastAsia" w:cs="Calibri"/>
          <w:spacing w:val="-3"/>
          <w:lang w:eastAsia="zh-CN"/>
        </w:rPr>
      </w:pPr>
      <w:r w:rsidRPr="00A43F6E">
        <w:rPr>
          <w:spacing w:val="-3"/>
        </w:rPr>
        <w:t>4</w:t>
      </w:r>
      <w:r w:rsidR="1E3621E8" w:rsidRPr="00A43F6E">
        <w:rPr>
          <w:spacing w:val="-3"/>
        </w:rPr>
        <w:t>.</w:t>
      </w:r>
      <w:r w:rsidR="007F40FD" w:rsidRPr="00A43F6E">
        <w:rPr>
          <w:rFonts w:eastAsiaTheme="minorEastAsia"/>
          <w:spacing w:val="-3"/>
          <w:lang w:eastAsia="zh-CN"/>
        </w:rPr>
        <w:t>4</w:t>
      </w:r>
      <w:r w:rsidR="00196AA1" w:rsidRPr="00A43F6E">
        <w:rPr>
          <w:rFonts w:eastAsiaTheme="minorEastAsia"/>
          <w:spacing w:val="-3"/>
          <w:lang w:eastAsia="zh-CN"/>
        </w:rPr>
        <w:tab/>
      </w:r>
      <w:r w:rsidR="1E3621E8" w:rsidRPr="00A43F6E">
        <w:rPr>
          <w:spacing w:val="-3"/>
        </w:rPr>
        <w:t xml:space="preserve">The WTDC Statement also requests the Secretary-General to </w:t>
      </w:r>
      <w:r w:rsidR="1E3621E8" w:rsidRPr="00A43F6E">
        <w:t xml:space="preserve">identify any potential additional budgetary needs for the secretariat to support efforts to promote the need for UN bodies to support the protection of public telecommunication networks and services during times of </w:t>
      </w:r>
      <w:r w:rsidR="65D0EB1F" w:rsidRPr="00A43F6E">
        <w:rPr>
          <w:spacing w:val="-3"/>
        </w:rPr>
        <w:t xml:space="preserve">disasters including </w:t>
      </w:r>
      <w:r w:rsidR="1E3621E8" w:rsidRPr="00A43F6E">
        <w:rPr>
          <w:spacing w:val="-3"/>
        </w:rPr>
        <w:t>armed conflict</w:t>
      </w:r>
      <w:r w:rsidR="418428DB" w:rsidRPr="00A43F6E">
        <w:rPr>
          <w:spacing w:val="-3"/>
        </w:rPr>
        <w:t xml:space="preserve">. </w:t>
      </w:r>
      <w:r w:rsidR="6B7BBC3A" w:rsidRPr="00A43F6E">
        <w:rPr>
          <w:rFonts w:eastAsia="Calibri" w:cs="Calibri"/>
          <w:spacing w:val="-3"/>
        </w:rPr>
        <w:t xml:space="preserve">Additional resources would support </w:t>
      </w:r>
      <w:r w:rsidR="007A18C8" w:rsidRPr="00A43F6E">
        <w:rPr>
          <w:rFonts w:eastAsiaTheme="minorEastAsia" w:cs="Calibri"/>
          <w:spacing w:val="-3"/>
          <w:lang w:eastAsia="zh-CN"/>
        </w:rPr>
        <w:t>ITU</w:t>
      </w:r>
      <w:r w:rsidR="6B7BBC3A" w:rsidRPr="00A43F6E">
        <w:rPr>
          <w:rFonts w:eastAsia="Calibri" w:cs="Calibri"/>
          <w:spacing w:val="-3"/>
        </w:rPr>
        <w:t xml:space="preserve"> in strengthening and scaling up its existing emergency telecommunications activities, including the development and implementation of </w:t>
      </w:r>
      <w:r w:rsidR="007A18C8" w:rsidRPr="00A43F6E">
        <w:rPr>
          <w:rFonts w:eastAsia="Calibri" w:cs="Calibri"/>
          <w:spacing w:val="-3"/>
        </w:rPr>
        <w:t>NETPs</w:t>
      </w:r>
      <w:r w:rsidR="6B7BBC3A" w:rsidRPr="00A43F6E">
        <w:rPr>
          <w:rFonts w:eastAsia="Calibri" w:cs="Calibri"/>
          <w:spacing w:val="-3"/>
        </w:rPr>
        <w:t xml:space="preserve">, preparedness and capacity-building activities, emergency telecommunications response, connectivity monitoring through the DCM and </w:t>
      </w:r>
      <w:proofErr w:type="spellStart"/>
      <w:r w:rsidR="6B7BBC3A" w:rsidRPr="00A43F6E">
        <w:rPr>
          <w:rFonts w:eastAsia="Calibri" w:cs="Calibri"/>
          <w:spacing w:val="-3"/>
        </w:rPr>
        <w:t>EWCM</w:t>
      </w:r>
      <w:proofErr w:type="spellEnd"/>
      <w:r w:rsidR="6B7BBC3A" w:rsidRPr="00A43F6E">
        <w:rPr>
          <w:rFonts w:eastAsia="Calibri" w:cs="Calibri"/>
          <w:spacing w:val="-3"/>
        </w:rPr>
        <w:t xml:space="preserve">, and engagement with relevant UN and humanitarian partners. Member States are therefore invited to consider providing voluntary funding, staff </w:t>
      </w:r>
      <w:r w:rsidR="6B7BBC3A" w:rsidRPr="00A43F6E">
        <w:rPr>
          <w:rFonts w:eastAsia="Calibri" w:cs="Calibri"/>
        </w:rPr>
        <w:t xml:space="preserve">loans or secondments to support </w:t>
      </w:r>
      <w:r w:rsidR="007A18C8" w:rsidRPr="00A43F6E">
        <w:rPr>
          <w:rFonts w:eastAsiaTheme="minorEastAsia" w:cs="Calibri"/>
          <w:spacing w:val="-3"/>
          <w:lang w:eastAsia="zh-CN"/>
        </w:rPr>
        <w:t>ITU</w:t>
      </w:r>
      <w:r w:rsidR="6B7BBC3A" w:rsidRPr="00A43F6E">
        <w:rPr>
          <w:rFonts w:eastAsia="Calibri" w:cs="Calibri"/>
          <w:spacing w:val="-3"/>
        </w:rPr>
        <w:t>'s existing capacity and enable the continued implementation and expansion of these activities in support of the WTDC</w:t>
      </w:r>
      <w:r w:rsidRPr="00A43F6E">
        <w:noBreakHyphen/>
      </w:r>
      <w:r w:rsidR="6B7BBC3A" w:rsidRPr="00A43F6E">
        <w:rPr>
          <w:rFonts w:eastAsia="Calibri" w:cs="Calibri"/>
          <w:spacing w:val="-3"/>
        </w:rPr>
        <w:t>25 actions.</w:t>
      </w:r>
    </w:p>
    <w:p w14:paraId="0E7B1DC0" w14:textId="77777777" w:rsidR="006F7FFD" w:rsidRPr="00A43F6E" w:rsidRDefault="006F7FFD" w:rsidP="005D6E86">
      <w:pPr>
        <w:jc w:val="both"/>
        <w:rPr>
          <w:rFonts w:eastAsiaTheme="minorEastAsia"/>
          <w:lang w:eastAsia="zh-CN"/>
        </w:rPr>
      </w:pPr>
    </w:p>
    <w:p w14:paraId="7BF4C782" w14:textId="7EB97429" w:rsidR="007102C9" w:rsidRPr="005D6E86" w:rsidRDefault="006F7FFD" w:rsidP="006F7FFD">
      <w:pPr>
        <w:jc w:val="center"/>
        <w:rPr>
          <w:rFonts w:eastAsiaTheme="minorEastAsia"/>
          <w:lang w:eastAsia="zh-CN"/>
        </w:rPr>
      </w:pPr>
      <w:r w:rsidRPr="00A43F6E">
        <w:rPr>
          <w:rFonts w:eastAsiaTheme="minorEastAsia"/>
          <w:lang w:eastAsia="zh-CN"/>
        </w:rPr>
        <w:t>______________</w:t>
      </w:r>
    </w:p>
    <w:sectPr w:rsidR="007102C9" w:rsidRPr="005D6E86" w:rsidSect="00361097">
      <w:headerReference w:type="default" r:id="rId34"/>
      <w:footerReference w:type="first" r:id="rId35"/>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903D4" w14:textId="77777777" w:rsidR="00B746F6" w:rsidRDefault="00B746F6">
      <w:r>
        <w:separator/>
      </w:r>
    </w:p>
  </w:endnote>
  <w:endnote w:type="continuationSeparator" w:id="0">
    <w:p w14:paraId="7EE5A8AE" w14:textId="77777777" w:rsidR="00B746F6" w:rsidRDefault="00B74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6736D" w14:textId="5366208C"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2B06F" w14:textId="77777777" w:rsidR="00B746F6" w:rsidRDefault="00B746F6">
      <w:r>
        <w:t>____________________</w:t>
      </w:r>
    </w:p>
  </w:footnote>
  <w:footnote w:type="continuationSeparator" w:id="0">
    <w:p w14:paraId="59B8834A" w14:textId="77777777" w:rsidR="00B746F6" w:rsidRDefault="00B74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D05B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CC23671" w14:textId="7A831804" w:rsidR="00CE1B90" w:rsidRDefault="00CE1B90" w:rsidP="004F7925">
    <w:pPr>
      <w:pStyle w:val="Header"/>
    </w:pPr>
    <w:proofErr w:type="spellStart"/>
    <w:r>
      <w:t>PP</w:t>
    </w:r>
    <w:r w:rsidR="000235EC">
      <w:t>2</w:t>
    </w:r>
    <w:r w:rsidR="00EF3B7A">
      <w:t>6</w:t>
    </w:r>
    <w:proofErr w:type="spellEnd"/>
    <w:r>
      <w:t>/</w:t>
    </w:r>
    <w:r w:rsidR="00A43F6E">
      <w:t>60</w:t>
    </w:r>
    <w:r w:rsidR="0044665A">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5FC"/>
    <w:rsid w:val="000048E4"/>
    <w:rsid w:val="00004F8B"/>
    <w:rsid w:val="00010B2A"/>
    <w:rsid w:val="00011208"/>
    <w:rsid w:val="000132FF"/>
    <w:rsid w:val="000143FA"/>
    <w:rsid w:val="00014808"/>
    <w:rsid w:val="00015E97"/>
    <w:rsid w:val="000235EC"/>
    <w:rsid w:val="00033BF5"/>
    <w:rsid w:val="00041924"/>
    <w:rsid w:val="000507C1"/>
    <w:rsid w:val="00052FBC"/>
    <w:rsid w:val="00053B97"/>
    <w:rsid w:val="00055294"/>
    <w:rsid w:val="000565AA"/>
    <w:rsid w:val="00056854"/>
    <w:rsid w:val="00057ADE"/>
    <w:rsid w:val="00060BC6"/>
    <w:rsid w:val="000676FB"/>
    <w:rsid w:val="00082EB9"/>
    <w:rsid w:val="000842DF"/>
    <w:rsid w:val="0008540E"/>
    <w:rsid w:val="000906E4"/>
    <w:rsid w:val="00094B4F"/>
    <w:rsid w:val="000A0593"/>
    <w:rsid w:val="000A1015"/>
    <w:rsid w:val="000A5DAF"/>
    <w:rsid w:val="000B03F9"/>
    <w:rsid w:val="000B0A77"/>
    <w:rsid w:val="000B0D6C"/>
    <w:rsid w:val="000B596F"/>
    <w:rsid w:val="000B5BB9"/>
    <w:rsid w:val="000B7152"/>
    <w:rsid w:val="000C2F16"/>
    <w:rsid w:val="000C359B"/>
    <w:rsid w:val="000C4701"/>
    <w:rsid w:val="000C71F1"/>
    <w:rsid w:val="000E4C7A"/>
    <w:rsid w:val="000E5E15"/>
    <w:rsid w:val="000F5697"/>
    <w:rsid w:val="000F5A9A"/>
    <w:rsid w:val="000F73D1"/>
    <w:rsid w:val="001001C5"/>
    <w:rsid w:val="00101F65"/>
    <w:rsid w:val="00105EFE"/>
    <w:rsid w:val="00106777"/>
    <w:rsid w:val="00106BDC"/>
    <w:rsid w:val="001117C6"/>
    <w:rsid w:val="0011489E"/>
    <w:rsid w:val="00114BA3"/>
    <w:rsid w:val="00115DEC"/>
    <w:rsid w:val="0012014C"/>
    <w:rsid w:val="00123F09"/>
    <w:rsid w:val="00127FA6"/>
    <w:rsid w:val="001307B4"/>
    <w:rsid w:val="00132642"/>
    <w:rsid w:val="00136175"/>
    <w:rsid w:val="00140FF0"/>
    <w:rsid w:val="00142F28"/>
    <w:rsid w:val="00146057"/>
    <w:rsid w:val="00146354"/>
    <w:rsid w:val="00147945"/>
    <w:rsid w:val="00161C12"/>
    <w:rsid w:val="00161CDA"/>
    <w:rsid w:val="0016590F"/>
    <w:rsid w:val="0016633C"/>
    <w:rsid w:val="00171990"/>
    <w:rsid w:val="00186BFC"/>
    <w:rsid w:val="00193D09"/>
    <w:rsid w:val="00195B70"/>
    <w:rsid w:val="00196AA1"/>
    <w:rsid w:val="001A0EEB"/>
    <w:rsid w:val="001A16ED"/>
    <w:rsid w:val="001B18AB"/>
    <w:rsid w:val="001B18CA"/>
    <w:rsid w:val="001B70D1"/>
    <w:rsid w:val="001C2D51"/>
    <w:rsid w:val="001C3804"/>
    <w:rsid w:val="001D3322"/>
    <w:rsid w:val="001D383C"/>
    <w:rsid w:val="001D3B3A"/>
    <w:rsid w:val="001E01A5"/>
    <w:rsid w:val="001E18AB"/>
    <w:rsid w:val="001E1C8F"/>
    <w:rsid w:val="001F0A77"/>
    <w:rsid w:val="001F0B24"/>
    <w:rsid w:val="001F3C30"/>
    <w:rsid w:val="001F4060"/>
    <w:rsid w:val="002016D0"/>
    <w:rsid w:val="00201BE4"/>
    <w:rsid w:val="002115E0"/>
    <w:rsid w:val="00215F12"/>
    <w:rsid w:val="00217C58"/>
    <w:rsid w:val="0022702B"/>
    <w:rsid w:val="00230B1A"/>
    <w:rsid w:val="00231AC4"/>
    <w:rsid w:val="00232B31"/>
    <w:rsid w:val="002352E4"/>
    <w:rsid w:val="00235A3B"/>
    <w:rsid w:val="00241C20"/>
    <w:rsid w:val="00243BE4"/>
    <w:rsid w:val="00257188"/>
    <w:rsid w:val="002578B4"/>
    <w:rsid w:val="0026052C"/>
    <w:rsid w:val="00260DBF"/>
    <w:rsid w:val="002646C6"/>
    <w:rsid w:val="00267D12"/>
    <w:rsid w:val="00275C47"/>
    <w:rsid w:val="0028119E"/>
    <w:rsid w:val="00281792"/>
    <w:rsid w:val="0028799E"/>
    <w:rsid w:val="002962A8"/>
    <w:rsid w:val="002A041F"/>
    <w:rsid w:val="002A56C0"/>
    <w:rsid w:val="002E77F4"/>
    <w:rsid w:val="002F36B9"/>
    <w:rsid w:val="002F5FA2"/>
    <w:rsid w:val="003038E3"/>
    <w:rsid w:val="003126B0"/>
    <w:rsid w:val="00314127"/>
    <w:rsid w:val="00314C12"/>
    <w:rsid w:val="003261C3"/>
    <w:rsid w:val="003450E9"/>
    <w:rsid w:val="003453DA"/>
    <w:rsid w:val="00357754"/>
    <w:rsid w:val="003578E4"/>
    <w:rsid w:val="00361097"/>
    <w:rsid w:val="00364F0B"/>
    <w:rsid w:val="00373A0D"/>
    <w:rsid w:val="003740BC"/>
    <w:rsid w:val="00375076"/>
    <w:rsid w:val="00375BBA"/>
    <w:rsid w:val="00376A6B"/>
    <w:rsid w:val="003826EA"/>
    <w:rsid w:val="003903CE"/>
    <w:rsid w:val="00395CE4"/>
    <w:rsid w:val="003A32AD"/>
    <w:rsid w:val="003A33F1"/>
    <w:rsid w:val="003A3938"/>
    <w:rsid w:val="003A4E67"/>
    <w:rsid w:val="003A5FFB"/>
    <w:rsid w:val="003A7923"/>
    <w:rsid w:val="003A7FB6"/>
    <w:rsid w:val="003B3751"/>
    <w:rsid w:val="003B5004"/>
    <w:rsid w:val="003D097B"/>
    <w:rsid w:val="003F0763"/>
    <w:rsid w:val="003F2121"/>
    <w:rsid w:val="003F2E54"/>
    <w:rsid w:val="003F5771"/>
    <w:rsid w:val="003F61F3"/>
    <w:rsid w:val="004014B0"/>
    <w:rsid w:val="004059B0"/>
    <w:rsid w:val="004103D9"/>
    <w:rsid w:val="00426AC1"/>
    <w:rsid w:val="004321DC"/>
    <w:rsid w:val="00435AA4"/>
    <w:rsid w:val="00435EA8"/>
    <w:rsid w:val="004360BB"/>
    <w:rsid w:val="0044665A"/>
    <w:rsid w:val="004529ED"/>
    <w:rsid w:val="0045533C"/>
    <w:rsid w:val="004606DA"/>
    <w:rsid w:val="00463092"/>
    <w:rsid w:val="00464A1B"/>
    <w:rsid w:val="004676C0"/>
    <w:rsid w:val="00467B5D"/>
    <w:rsid w:val="00474E00"/>
    <w:rsid w:val="004835DB"/>
    <w:rsid w:val="00491D2D"/>
    <w:rsid w:val="00494797"/>
    <w:rsid w:val="004A28E4"/>
    <w:rsid w:val="004B0C10"/>
    <w:rsid w:val="004B167B"/>
    <w:rsid w:val="004C0EF7"/>
    <w:rsid w:val="004C19D7"/>
    <w:rsid w:val="004C297B"/>
    <w:rsid w:val="004C73C9"/>
    <w:rsid w:val="004D7CC5"/>
    <w:rsid w:val="004E01FA"/>
    <w:rsid w:val="004E6764"/>
    <w:rsid w:val="004F041D"/>
    <w:rsid w:val="004F1C55"/>
    <w:rsid w:val="004F7925"/>
    <w:rsid w:val="005029A3"/>
    <w:rsid w:val="00504FE5"/>
    <w:rsid w:val="00507348"/>
    <w:rsid w:val="005101F1"/>
    <w:rsid w:val="005135C8"/>
    <w:rsid w:val="00522C97"/>
    <w:rsid w:val="005356FD"/>
    <w:rsid w:val="00547D75"/>
    <w:rsid w:val="00551C8B"/>
    <w:rsid w:val="00554E24"/>
    <w:rsid w:val="0055524B"/>
    <w:rsid w:val="00555A0F"/>
    <w:rsid w:val="00555C44"/>
    <w:rsid w:val="00563381"/>
    <w:rsid w:val="00567130"/>
    <w:rsid w:val="0057034B"/>
    <w:rsid w:val="00572A14"/>
    <w:rsid w:val="00581E8F"/>
    <w:rsid w:val="00586A98"/>
    <w:rsid w:val="00591C15"/>
    <w:rsid w:val="005927A4"/>
    <w:rsid w:val="00592E8C"/>
    <w:rsid w:val="00596B48"/>
    <w:rsid w:val="005B10E8"/>
    <w:rsid w:val="005B5026"/>
    <w:rsid w:val="005B661F"/>
    <w:rsid w:val="005C0A66"/>
    <w:rsid w:val="005C2CAD"/>
    <w:rsid w:val="005C3315"/>
    <w:rsid w:val="005D6E86"/>
    <w:rsid w:val="005E1CC3"/>
    <w:rsid w:val="005F05C8"/>
    <w:rsid w:val="00604079"/>
    <w:rsid w:val="00606A6A"/>
    <w:rsid w:val="00617BE4"/>
    <w:rsid w:val="00617DB5"/>
    <w:rsid w:val="00620233"/>
    <w:rsid w:val="006206CB"/>
    <w:rsid w:val="00627DF4"/>
    <w:rsid w:val="00634FFE"/>
    <w:rsid w:val="006404B0"/>
    <w:rsid w:val="0065011D"/>
    <w:rsid w:val="0066499C"/>
    <w:rsid w:val="00676E68"/>
    <w:rsid w:val="006A7108"/>
    <w:rsid w:val="006A726C"/>
    <w:rsid w:val="006B2035"/>
    <w:rsid w:val="006B40DA"/>
    <w:rsid w:val="006C33A6"/>
    <w:rsid w:val="006C52B5"/>
    <w:rsid w:val="006C5D5D"/>
    <w:rsid w:val="006C7FA7"/>
    <w:rsid w:val="006D139F"/>
    <w:rsid w:val="006D1655"/>
    <w:rsid w:val="006E215D"/>
    <w:rsid w:val="006E4015"/>
    <w:rsid w:val="006E57C8"/>
    <w:rsid w:val="006E70E1"/>
    <w:rsid w:val="006F565E"/>
    <w:rsid w:val="006F794B"/>
    <w:rsid w:val="006F7FFD"/>
    <w:rsid w:val="00701ABB"/>
    <w:rsid w:val="007028EC"/>
    <w:rsid w:val="00705526"/>
    <w:rsid w:val="007102C9"/>
    <w:rsid w:val="00711035"/>
    <w:rsid w:val="007130ED"/>
    <w:rsid w:val="007140CF"/>
    <w:rsid w:val="0071582A"/>
    <w:rsid w:val="00722595"/>
    <w:rsid w:val="00725693"/>
    <w:rsid w:val="0073319E"/>
    <w:rsid w:val="00733C8A"/>
    <w:rsid w:val="00737F2E"/>
    <w:rsid w:val="00745A37"/>
    <w:rsid w:val="00750829"/>
    <w:rsid w:val="007538C9"/>
    <w:rsid w:val="00753F63"/>
    <w:rsid w:val="007542C4"/>
    <w:rsid w:val="00754C0B"/>
    <w:rsid w:val="00755067"/>
    <w:rsid w:val="00755AF6"/>
    <w:rsid w:val="007561B6"/>
    <w:rsid w:val="007648ED"/>
    <w:rsid w:val="007649DA"/>
    <w:rsid w:val="00765553"/>
    <w:rsid w:val="00771B0D"/>
    <w:rsid w:val="007779DF"/>
    <w:rsid w:val="00777B8B"/>
    <w:rsid w:val="007820F4"/>
    <w:rsid w:val="00794795"/>
    <w:rsid w:val="007949EA"/>
    <w:rsid w:val="00796849"/>
    <w:rsid w:val="00796DAE"/>
    <w:rsid w:val="007A18C8"/>
    <w:rsid w:val="007A55B7"/>
    <w:rsid w:val="007A59C3"/>
    <w:rsid w:val="007B0E06"/>
    <w:rsid w:val="007B30FC"/>
    <w:rsid w:val="007B32FC"/>
    <w:rsid w:val="007C3643"/>
    <w:rsid w:val="007C617F"/>
    <w:rsid w:val="007D0964"/>
    <w:rsid w:val="007D2025"/>
    <w:rsid w:val="007D5061"/>
    <w:rsid w:val="007D7003"/>
    <w:rsid w:val="007E00D2"/>
    <w:rsid w:val="007E2AD4"/>
    <w:rsid w:val="007E3469"/>
    <w:rsid w:val="007E7B63"/>
    <w:rsid w:val="007F40FD"/>
    <w:rsid w:val="007F466D"/>
    <w:rsid w:val="007F61AC"/>
    <w:rsid w:val="007F7F4B"/>
    <w:rsid w:val="00805A32"/>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77B36"/>
    <w:rsid w:val="00893039"/>
    <w:rsid w:val="00895CE3"/>
    <w:rsid w:val="0089603F"/>
    <w:rsid w:val="00896495"/>
    <w:rsid w:val="00897970"/>
    <w:rsid w:val="008B5A71"/>
    <w:rsid w:val="008B774C"/>
    <w:rsid w:val="008C3227"/>
    <w:rsid w:val="008D3BE2"/>
    <w:rsid w:val="008D4D98"/>
    <w:rsid w:val="008D5626"/>
    <w:rsid w:val="008D6D27"/>
    <w:rsid w:val="008E2A7B"/>
    <w:rsid w:val="008E6E9B"/>
    <w:rsid w:val="008F185F"/>
    <w:rsid w:val="008F2C56"/>
    <w:rsid w:val="008F3C99"/>
    <w:rsid w:val="00900D5B"/>
    <w:rsid w:val="00905F32"/>
    <w:rsid w:val="009236FE"/>
    <w:rsid w:val="00940E00"/>
    <w:rsid w:val="00945D4B"/>
    <w:rsid w:val="0094741F"/>
    <w:rsid w:val="00950B99"/>
    <w:rsid w:val="00950E0F"/>
    <w:rsid w:val="00956298"/>
    <w:rsid w:val="0096150D"/>
    <w:rsid w:val="009626C6"/>
    <w:rsid w:val="009630FA"/>
    <w:rsid w:val="0096384E"/>
    <w:rsid w:val="00967103"/>
    <w:rsid w:val="00967670"/>
    <w:rsid w:val="00970996"/>
    <w:rsid w:val="009800CC"/>
    <w:rsid w:val="009866F0"/>
    <w:rsid w:val="00991B61"/>
    <w:rsid w:val="009A078E"/>
    <w:rsid w:val="009A2B30"/>
    <w:rsid w:val="009A4211"/>
    <w:rsid w:val="009A47A2"/>
    <w:rsid w:val="009B25A0"/>
    <w:rsid w:val="009E425E"/>
    <w:rsid w:val="009E4322"/>
    <w:rsid w:val="009E6CC8"/>
    <w:rsid w:val="009F4384"/>
    <w:rsid w:val="009F442D"/>
    <w:rsid w:val="009F50DA"/>
    <w:rsid w:val="009F5EFD"/>
    <w:rsid w:val="009F7361"/>
    <w:rsid w:val="00A06D56"/>
    <w:rsid w:val="00A21C6C"/>
    <w:rsid w:val="00A25E2C"/>
    <w:rsid w:val="00A314A2"/>
    <w:rsid w:val="00A40631"/>
    <w:rsid w:val="00A43F6E"/>
    <w:rsid w:val="00A516BB"/>
    <w:rsid w:val="00A619C5"/>
    <w:rsid w:val="00A67E56"/>
    <w:rsid w:val="00A74AC3"/>
    <w:rsid w:val="00A808E1"/>
    <w:rsid w:val="00A8262F"/>
    <w:rsid w:val="00A84B32"/>
    <w:rsid w:val="00A84B3A"/>
    <w:rsid w:val="00A87124"/>
    <w:rsid w:val="00A93B71"/>
    <w:rsid w:val="00AA6036"/>
    <w:rsid w:val="00AB0B32"/>
    <w:rsid w:val="00AB190D"/>
    <w:rsid w:val="00AB28F5"/>
    <w:rsid w:val="00AB2D04"/>
    <w:rsid w:val="00AB5C39"/>
    <w:rsid w:val="00AB6655"/>
    <w:rsid w:val="00AB75A9"/>
    <w:rsid w:val="00AD1C5C"/>
    <w:rsid w:val="00AD566F"/>
    <w:rsid w:val="00AE0E53"/>
    <w:rsid w:val="00AF0849"/>
    <w:rsid w:val="00B014E5"/>
    <w:rsid w:val="00B0576E"/>
    <w:rsid w:val="00B156F9"/>
    <w:rsid w:val="00B1733E"/>
    <w:rsid w:val="00B23CD4"/>
    <w:rsid w:val="00B25A86"/>
    <w:rsid w:val="00B273BF"/>
    <w:rsid w:val="00B304B9"/>
    <w:rsid w:val="00B35FDC"/>
    <w:rsid w:val="00B5522E"/>
    <w:rsid w:val="00B55E1A"/>
    <w:rsid w:val="00B57988"/>
    <w:rsid w:val="00B62032"/>
    <w:rsid w:val="00B64134"/>
    <w:rsid w:val="00B65F8C"/>
    <w:rsid w:val="00B7263B"/>
    <w:rsid w:val="00B73F47"/>
    <w:rsid w:val="00B746F6"/>
    <w:rsid w:val="00B7511A"/>
    <w:rsid w:val="00B7638A"/>
    <w:rsid w:val="00B80DF9"/>
    <w:rsid w:val="00B81C62"/>
    <w:rsid w:val="00B840D8"/>
    <w:rsid w:val="00B96467"/>
    <w:rsid w:val="00BA154E"/>
    <w:rsid w:val="00BA37CE"/>
    <w:rsid w:val="00BA4692"/>
    <w:rsid w:val="00BB6108"/>
    <w:rsid w:val="00BC0D01"/>
    <w:rsid w:val="00BC6FDB"/>
    <w:rsid w:val="00BC7DE8"/>
    <w:rsid w:val="00BD158A"/>
    <w:rsid w:val="00BD1D95"/>
    <w:rsid w:val="00BE0966"/>
    <w:rsid w:val="00BF43BA"/>
    <w:rsid w:val="00BF4C7F"/>
    <w:rsid w:val="00BF5722"/>
    <w:rsid w:val="00BF6268"/>
    <w:rsid w:val="00BF720B"/>
    <w:rsid w:val="00C04511"/>
    <w:rsid w:val="00C112A3"/>
    <w:rsid w:val="00C16846"/>
    <w:rsid w:val="00C30B8C"/>
    <w:rsid w:val="00C34851"/>
    <w:rsid w:val="00C42A5B"/>
    <w:rsid w:val="00C5419D"/>
    <w:rsid w:val="00C56038"/>
    <w:rsid w:val="00C6020E"/>
    <w:rsid w:val="00C6729F"/>
    <w:rsid w:val="00C70164"/>
    <w:rsid w:val="00C72664"/>
    <w:rsid w:val="00C7548F"/>
    <w:rsid w:val="00C86F24"/>
    <w:rsid w:val="00C954BE"/>
    <w:rsid w:val="00C9649C"/>
    <w:rsid w:val="00CA38C9"/>
    <w:rsid w:val="00CA5022"/>
    <w:rsid w:val="00CB4984"/>
    <w:rsid w:val="00CB5DD7"/>
    <w:rsid w:val="00CB7795"/>
    <w:rsid w:val="00CB77D5"/>
    <w:rsid w:val="00CC14F0"/>
    <w:rsid w:val="00CC6BEB"/>
    <w:rsid w:val="00CE1B90"/>
    <w:rsid w:val="00CE3B0F"/>
    <w:rsid w:val="00CE40BB"/>
    <w:rsid w:val="00CF1C71"/>
    <w:rsid w:val="00CF510F"/>
    <w:rsid w:val="00D07696"/>
    <w:rsid w:val="00D11956"/>
    <w:rsid w:val="00D15A98"/>
    <w:rsid w:val="00D266E7"/>
    <w:rsid w:val="00D2739E"/>
    <w:rsid w:val="00D36638"/>
    <w:rsid w:val="00D500DC"/>
    <w:rsid w:val="00D54B39"/>
    <w:rsid w:val="00D60879"/>
    <w:rsid w:val="00D64FF3"/>
    <w:rsid w:val="00D657A2"/>
    <w:rsid w:val="00D75620"/>
    <w:rsid w:val="00D760C8"/>
    <w:rsid w:val="00D76D2A"/>
    <w:rsid w:val="00D83FFD"/>
    <w:rsid w:val="00D8451F"/>
    <w:rsid w:val="00D8617D"/>
    <w:rsid w:val="00D92563"/>
    <w:rsid w:val="00DA1663"/>
    <w:rsid w:val="00DB2D92"/>
    <w:rsid w:val="00DB4BF1"/>
    <w:rsid w:val="00DC7C10"/>
    <w:rsid w:val="00DD26B1"/>
    <w:rsid w:val="00DD5177"/>
    <w:rsid w:val="00DD5AD1"/>
    <w:rsid w:val="00DE16B8"/>
    <w:rsid w:val="00DE20DF"/>
    <w:rsid w:val="00DE4CC2"/>
    <w:rsid w:val="00DE5897"/>
    <w:rsid w:val="00DF06A9"/>
    <w:rsid w:val="00DF23FC"/>
    <w:rsid w:val="00DF39CD"/>
    <w:rsid w:val="00DF3BBE"/>
    <w:rsid w:val="00E0094D"/>
    <w:rsid w:val="00E05F1F"/>
    <w:rsid w:val="00E10A17"/>
    <w:rsid w:val="00E11B09"/>
    <w:rsid w:val="00E1329B"/>
    <w:rsid w:val="00E13427"/>
    <w:rsid w:val="00E1374D"/>
    <w:rsid w:val="00E20134"/>
    <w:rsid w:val="00E23645"/>
    <w:rsid w:val="00E24CB2"/>
    <w:rsid w:val="00E2650E"/>
    <w:rsid w:val="00E31D1C"/>
    <w:rsid w:val="00E32981"/>
    <w:rsid w:val="00E34312"/>
    <w:rsid w:val="00E3536D"/>
    <w:rsid w:val="00E44456"/>
    <w:rsid w:val="00E54035"/>
    <w:rsid w:val="00E553B9"/>
    <w:rsid w:val="00E56E57"/>
    <w:rsid w:val="00E62EC4"/>
    <w:rsid w:val="00E6580E"/>
    <w:rsid w:val="00E6599B"/>
    <w:rsid w:val="00E65FF6"/>
    <w:rsid w:val="00E726DE"/>
    <w:rsid w:val="00E75C7A"/>
    <w:rsid w:val="00E844D5"/>
    <w:rsid w:val="00E86536"/>
    <w:rsid w:val="00E871C2"/>
    <w:rsid w:val="00E9532D"/>
    <w:rsid w:val="00EA1BAA"/>
    <w:rsid w:val="00EB1F1F"/>
    <w:rsid w:val="00EB6EFD"/>
    <w:rsid w:val="00ED401C"/>
    <w:rsid w:val="00EE333B"/>
    <w:rsid w:val="00EE3DB2"/>
    <w:rsid w:val="00EF23A3"/>
    <w:rsid w:val="00EF2642"/>
    <w:rsid w:val="00EF3681"/>
    <w:rsid w:val="00EF3B7A"/>
    <w:rsid w:val="00EF45C7"/>
    <w:rsid w:val="00EF4AAB"/>
    <w:rsid w:val="00F10648"/>
    <w:rsid w:val="00F10790"/>
    <w:rsid w:val="00F10C42"/>
    <w:rsid w:val="00F10E7C"/>
    <w:rsid w:val="00F13C1E"/>
    <w:rsid w:val="00F16F17"/>
    <w:rsid w:val="00F20BC2"/>
    <w:rsid w:val="00F3225F"/>
    <w:rsid w:val="00F342E4"/>
    <w:rsid w:val="00F35330"/>
    <w:rsid w:val="00F41C91"/>
    <w:rsid w:val="00F433A4"/>
    <w:rsid w:val="00F4421A"/>
    <w:rsid w:val="00F44B1A"/>
    <w:rsid w:val="00F47316"/>
    <w:rsid w:val="00F55DA5"/>
    <w:rsid w:val="00F644E8"/>
    <w:rsid w:val="00F94BC2"/>
    <w:rsid w:val="00F95ABE"/>
    <w:rsid w:val="00F974BB"/>
    <w:rsid w:val="00F9756D"/>
    <w:rsid w:val="00FA6838"/>
    <w:rsid w:val="00FB4BBB"/>
    <w:rsid w:val="00FB4CA3"/>
    <w:rsid w:val="00FB5F12"/>
    <w:rsid w:val="00FC238F"/>
    <w:rsid w:val="00FC5117"/>
    <w:rsid w:val="00FD3E9D"/>
    <w:rsid w:val="00FD417F"/>
    <w:rsid w:val="00FD6BFD"/>
    <w:rsid w:val="00FD7255"/>
    <w:rsid w:val="00FD7B1D"/>
    <w:rsid w:val="00FE1E22"/>
    <w:rsid w:val="00FF04D6"/>
    <w:rsid w:val="00FF4D2C"/>
    <w:rsid w:val="013771DF"/>
    <w:rsid w:val="01F6A56C"/>
    <w:rsid w:val="02589036"/>
    <w:rsid w:val="0267074F"/>
    <w:rsid w:val="028E8F46"/>
    <w:rsid w:val="02A9BDDC"/>
    <w:rsid w:val="02E84EEB"/>
    <w:rsid w:val="0339B8A2"/>
    <w:rsid w:val="0444C68B"/>
    <w:rsid w:val="048BAD94"/>
    <w:rsid w:val="052E101F"/>
    <w:rsid w:val="07CA582D"/>
    <w:rsid w:val="0822C315"/>
    <w:rsid w:val="087D4AEC"/>
    <w:rsid w:val="08B46B8D"/>
    <w:rsid w:val="08FA4114"/>
    <w:rsid w:val="09B8C0E3"/>
    <w:rsid w:val="09CC1256"/>
    <w:rsid w:val="0A6CFC2A"/>
    <w:rsid w:val="0A8C8CD0"/>
    <w:rsid w:val="0AC08DD0"/>
    <w:rsid w:val="0B7D9876"/>
    <w:rsid w:val="0D3AB3C8"/>
    <w:rsid w:val="0D62F336"/>
    <w:rsid w:val="0D77319C"/>
    <w:rsid w:val="0D853F53"/>
    <w:rsid w:val="0E187F3C"/>
    <w:rsid w:val="0EE7BB2F"/>
    <w:rsid w:val="0F5434C2"/>
    <w:rsid w:val="1079A218"/>
    <w:rsid w:val="10B361FB"/>
    <w:rsid w:val="116E913D"/>
    <w:rsid w:val="12171881"/>
    <w:rsid w:val="127E0A9E"/>
    <w:rsid w:val="12A497C6"/>
    <w:rsid w:val="12CD3DD0"/>
    <w:rsid w:val="12DB5006"/>
    <w:rsid w:val="12EBCBC8"/>
    <w:rsid w:val="14CABA63"/>
    <w:rsid w:val="1515DC57"/>
    <w:rsid w:val="1592C9E5"/>
    <w:rsid w:val="15C2AAD0"/>
    <w:rsid w:val="16301F77"/>
    <w:rsid w:val="163C043D"/>
    <w:rsid w:val="1694A371"/>
    <w:rsid w:val="16E5CE66"/>
    <w:rsid w:val="16F8E772"/>
    <w:rsid w:val="183D9256"/>
    <w:rsid w:val="1859B9E3"/>
    <w:rsid w:val="1888B710"/>
    <w:rsid w:val="189BD8F6"/>
    <w:rsid w:val="1908B576"/>
    <w:rsid w:val="192DFF58"/>
    <w:rsid w:val="193C64B3"/>
    <w:rsid w:val="19AB047D"/>
    <w:rsid w:val="1A84BA1E"/>
    <w:rsid w:val="1AD5EE7C"/>
    <w:rsid w:val="1BB60E34"/>
    <w:rsid w:val="1BCBC466"/>
    <w:rsid w:val="1C33E4DA"/>
    <w:rsid w:val="1C498684"/>
    <w:rsid w:val="1C821772"/>
    <w:rsid w:val="1E3621E8"/>
    <w:rsid w:val="1E67C21E"/>
    <w:rsid w:val="1F54F4A6"/>
    <w:rsid w:val="1F7A84E2"/>
    <w:rsid w:val="1F8461BD"/>
    <w:rsid w:val="1F995C99"/>
    <w:rsid w:val="1FF77FCB"/>
    <w:rsid w:val="207E5D66"/>
    <w:rsid w:val="2084069C"/>
    <w:rsid w:val="208CF0DA"/>
    <w:rsid w:val="20CC548E"/>
    <w:rsid w:val="2134D385"/>
    <w:rsid w:val="2161CE58"/>
    <w:rsid w:val="21F3A9B9"/>
    <w:rsid w:val="2320D389"/>
    <w:rsid w:val="23218BF9"/>
    <w:rsid w:val="23AEE024"/>
    <w:rsid w:val="23CAC6DF"/>
    <w:rsid w:val="24119A9B"/>
    <w:rsid w:val="24354739"/>
    <w:rsid w:val="25C2F25D"/>
    <w:rsid w:val="267EB7B4"/>
    <w:rsid w:val="26858A31"/>
    <w:rsid w:val="26BEE511"/>
    <w:rsid w:val="274BFB74"/>
    <w:rsid w:val="27E0BEF9"/>
    <w:rsid w:val="281E9033"/>
    <w:rsid w:val="283A6AF8"/>
    <w:rsid w:val="28525288"/>
    <w:rsid w:val="29634D43"/>
    <w:rsid w:val="29A0061C"/>
    <w:rsid w:val="29D3283D"/>
    <w:rsid w:val="2B268BD7"/>
    <w:rsid w:val="2BB989F7"/>
    <w:rsid w:val="2C0B20AB"/>
    <w:rsid w:val="2C34EB72"/>
    <w:rsid w:val="2CC9DC73"/>
    <w:rsid w:val="2CE53A8F"/>
    <w:rsid w:val="2CE6EA27"/>
    <w:rsid w:val="2DB3A190"/>
    <w:rsid w:val="305152E7"/>
    <w:rsid w:val="30DE6959"/>
    <w:rsid w:val="31575DC5"/>
    <w:rsid w:val="31580F2E"/>
    <w:rsid w:val="31ACC749"/>
    <w:rsid w:val="32E6905A"/>
    <w:rsid w:val="3312CEFA"/>
    <w:rsid w:val="346A0F68"/>
    <w:rsid w:val="34DBFE0B"/>
    <w:rsid w:val="34EDD987"/>
    <w:rsid w:val="360B6DA6"/>
    <w:rsid w:val="368061DB"/>
    <w:rsid w:val="36A747E0"/>
    <w:rsid w:val="36A75811"/>
    <w:rsid w:val="3784F7CC"/>
    <w:rsid w:val="37BD8362"/>
    <w:rsid w:val="380011CA"/>
    <w:rsid w:val="3832A75D"/>
    <w:rsid w:val="38A11BAB"/>
    <w:rsid w:val="38BD6943"/>
    <w:rsid w:val="3A915E98"/>
    <w:rsid w:val="3AE046A2"/>
    <w:rsid w:val="3B426D65"/>
    <w:rsid w:val="3B4A46AB"/>
    <w:rsid w:val="3B4E1DBB"/>
    <w:rsid w:val="3BC475C3"/>
    <w:rsid w:val="3C77481D"/>
    <w:rsid w:val="3C8AEFAE"/>
    <w:rsid w:val="3CC375A0"/>
    <w:rsid w:val="3D11EFC6"/>
    <w:rsid w:val="3D668415"/>
    <w:rsid w:val="3D6B9ECF"/>
    <w:rsid w:val="3D6C1984"/>
    <w:rsid w:val="3DE2CAA6"/>
    <w:rsid w:val="3E438B5A"/>
    <w:rsid w:val="3E47910B"/>
    <w:rsid w:val="3E8FF283"/>
    <w:rsid w:val="3EB6D775"/>
    <w:rsid w:val="3EC1655E"/>
    <w:rsid w:val="3F5F21A7"/>
    <w:rsid w:val="3F7EA99E"/>
    <w:rsid w:val="3FD2E77F"/>
    <w:rsid w:val="4039F463"/>
    <w:rsid w:val="418428DB"/>
    <w:rsid w:val="425FFCE7"/>
    <w:rsid w:val="437DF89A"/>
    <w:rsid w:val="4422DE79"/>
    <w:rsid w:val="447B89A0"/>
    <w:rsid w:val="447EC8B3"/>
    <w:rsid w:val="45F3465D"/>
    <w:rsid w:val="46A2B0E1"/>
    <w:rsid w:val="4757F8B3"/>
    <w:rsid w:val="47EBFCB4"/>
    <w:rsid w:val="4816DC9E"/>
    <w:rsid w:val="484EFC2B"/>
    <w:rsid w:val="4852DDAB"/>
    <w:rsid w:val="48C60081"/>
    <w:rsid w:val="49B463CA"/>
    <w:rsid w:val="4A662961"/>
    <w:rsid w:val="4B685630"/>
    <w:rsid w:val="4BB93A9E"/>
    <w:rsid w:val="4E653A5C"/>
    <w:rsid w:val="4EB85AC8"/>
    <w:rsid w:val="4EBBAB36"/>
    <w:rsid w:val="4F0DE0DA"/>
    <w:rsid w:val="4F2C4F1B"/>
    <w:rsid w:val="4F7DD952"/>
    <w:rsid w:val="4F9AF09B"/>
    <w:rsid w:val="50055CD1"/>
    <w:rsid w:val="500589B5"/>
    <w:rsid w:val="507FC4B0"/>
    <w:rsid w:val="50A12590"/>
    <w:rsid w:val="518D8CEA"/>
    <w:rsid w:val="52B6FB09"/>
    <w:rsid w:val="52C0C607"/>
    <w:rsid w:val="52C15D23"/>
    <w:rsid w:val="546609EA"/>
    <w:rsid w:val="5488617F"/>
    <w:rsid w:val="54B8FA5F"/>
    <w:rsid w:val="54D18332"/>
    <w:rsid w:val="5561238B"/>
    <w:rsid w:val="56002682"/>
    <w:rsid w:val="560A6F91"/>
    <w:rsid w:val="5655E429"/>
    <w:rsid w:val="5745EE6A"/>
    <w:rsid w:val="5778D547"/>
    <w:rsid w:val="577ED294"/>
    <w:rsid w:val="577F758C"/>
    <w:rsid w:val="57B046C0"/>
    <w:rsid w:val="5856BDE8"/>
    <w:rsid w:val="5864E60E"/>
    <w:rsid w:val="5A9834E7"/>
    <w:rsid w:val="5B33BB01"/>
    <w:rsid w:val="5B3CD85C"/>
    <w:rsid w:val="5B47E883"/>
    <w:rsid w:val="5B823CEB"/>
    <w:rsid w:val="5B86978D"/>
    <w:rsid w:val="5BFD9C25"/>
    <w:rsid w:val="5DB00FE7"/>
    <w:rsid w:val="5DE51765"/>
    <w:rsid w:val="5E05414E"/>
    <w:rsid w:val="5E67DC09"/>
    <w:rsid w:val="5F6FA4BD"/>
    <w:rsid w:val="5F708941"/>
    <w:rsid w:val="5F792F9B"/>
    <w:rsid w:val="6036101F"/>
    <w:rsid w:val="6058B7EB"/>
    <w:rsid w:val="60B05D69"/>
    <w:rsid w:val="6113534D"/>
    <w:rsid w:val="6144404B"/>
    <w:rsid w:val="6163453B"/>
    <w:rsid w:val="61868461"/>
    <w:rsid w:val="62B6EB59"/>
    <w:rsid w:val="62C99BA7"/>
    <w:rsid w:val="62D072FC"/>
    <w:rsid w:val="63234CBD"/>
    <w:rsid w:val="63A6AB5E"/>
    <w:rsid w:val="63A6BFFD"/>
    <w:rsid w:val="653D2336"/>
    <w:rsid w:val="65D0EB1F"/>
    <w:rsid w:val="66EA3E6D"/>
    <w:rsid w:val="682CE274"/>
    <w:rsid w:val="6A6C1587"/>
    <w:rsid w:val="6B7BBC3A"/>
    <w:rsid w:val="6BBD345E"/>
    <w:rsid w:val="6BC3176E"/>
    <w:rsid w:val="6D37FAD5"/>
    <w:rsid w:val="6D89BAAD"/>
    <w:rsid w:val="6DB4CE93"/>
    <w:rsid w:val="6DCFFB9B"/>
    <w:rsid w:val="6E106ACE"/>
    <w:rsid w:val="6EF870E6"/>
    <w:rsid w:val="6F7B7FB6"/>
    <w:rsid w:val="6FEA4050"/>
    <w:rsid w:val="6FFA7450"/>
    <w:rsid w:val="7111C992"/>
    <w:rsid w:val="73F94D09"/>
    <w:rsid w:val="7451A33C"/>
    <w:rsid w:val="7529B212"/>
    <w:rsid w:val="757776B6"/>
    <w:rsid w:val="76240189"/>
    <w:rsid w:val="768AFA35"/>
    <w:rsid w:val="7758E3C8"/>
    <w:rsid w:val="78137A23"/>
    <w:rsid w:val="79EDB9F7"/>
    <w:rsid w:val="7A0C5A0E"/>
    <w:rsid w:val="7A406E08"/>
    <w:rsid w:val="7A67FC49"/>
    <w:rsid w:val="7B221CAC"/>
    <w:rsid w:val="7B63BF99"/>
    <w:rsid w:val="7C2FBCBF"/>
    <w:rsid w:val="7D13A2DE"/>
    <w:rsid w:val="7E48AA23"/>
    <w:rsid w:val="7F4801A7"/>
    <w:rsid w:val="7FCD3D4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00D3AC"/>
  <w15:docId w15:val="{CD17897C-9D8F-4532-9408-3F9CFC677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Batang"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6C52B5"/>
    <w:pPr>
      <w:keepNext/>
      <w:keepLines/>
      <w:spacing w:before="36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table" w:styleId="TableGrid">
    <w:name w:val="Table Grid"/>
    <w:basedOn w:val="TableNormal"/>
    <w:rsid w:val="00B27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73BF"/>
    <w:rPr>
      <w:color w:val="666666"/>
    </w:rPr>
  </w:style>
  <w:style w:type="paragraph" w:styleId="NormalWeb">
    <w:name w:val="Normal (Web)"/>
    <w:basedOn w:val="Normal"/>
    <w:semiHidden/>
    <w:unhideWhenUsed/>
    <w:rsid w:val="00BC0D01"/>
    <w:rPr>
      <w:rFonts w:ascii="Times New Roman" w:hAnsi="Times New Roman"/>
      <w:szCs w:val="24"/>
    </w:rPr>
  </w:style>
  <w:style w:type="paragraph" w:styleId="Revision">
    <w:name w:val="Revision"/>
    <w:hidden/>
    <w:uiPriority w:val="99"/>
    <w:semiHidden/>
    <w:rsid w:val="00056854"/>
    <w:rPr>
      <w:rFonts w:ascii="Calibri" w:hAnsi="Calibri"/>
      <w:sz w:val="24"/>
      <w:lang w:val="en-GB" w:eastAsia="en-US"/>
    </w:rPr>
  </w:style>
  <w:style w:type="character" w:styleId="CommentReference">
    <w:name w:val="annotation reference"/>
    <w:basedOn w:val="DefaultParagraphFont"/>
    <w:semiHidden/>
    <w:unhideWhenUsed/>
    <w:rsid w:val="006E4015"/>
    <w:rPr>
      <w:sz w:val="16"/>
      <w:szCs w:val="16"/>
    </w:rPr>
  </w:style>
  <w:style w:type="paragraph" w:styleId="CommentText">
    <w:name w:val="annotation text"/>
    <w:basedOn w:val="Normal"/>
    <w:link w:val="CommentTextChar"/>
    <w:unhideWhenUsed/>
    <w:rsid w:val="006E4015"/>
    <w:rPr>
      <w:sz w:val="20"/>
    </w:rPr>
  </w:style>
  <w:style w:type="character" w:customStyle="1" w:styleId="CommentTextChar">
    <w:name w:val="Comment Text Char"/>
    <w:basedOn w:val="DefaultParagraphFont"/>
    <w:link w:val="CommentText"/>
    <w:rsid w:val="006E4015"/>
    <w:rPr>
      <w:rFonts w:ascii="Calibri" w:hAnsi="Calibri"/>
      <w:lang w:val="en-GB" w:eastAsia="en-US"/>
    </w:rPr>
  </w:style>
  <w:style w:type="paragraph" w:styleId="CommentSubject">
    <w:name w:val="annotation subject"/>
    <w:basedOn w:val="CommentText"/>
    <w:next w:val="CommentText"/>
    <w:link w:val="CommentSubjectChar"/>
    <w:semiHidden/>
    <w:unhideWhenUsed/>
    <w:rsid w:val="006E4015"/>
    <w:rPr>
      <w:b/>
      <w:bCs/>
    </w:rPr>
  </w:style>
  <w:style w:type="character" w:customStyle="1" w:styleId="CommentSubjectChar">
    <w:name w:val="Comment Subject Char"/>
    <w:basedOn w:val="CommentTextChar"/>
    <w:link w:val="CommentSubject"/>
    <w:semiHidden/>
    <w:rsid w:val="006E4015"/>
    <w:rPr>
      <w:rFonts w:ascii="Calibri" w:hAnsi="Calibri"/>
      <w:b/>
      <w:bCs/>
      <w:lang w:val="en-GB" w:eastAsia="en-US"/>
    </w:rPr>
  </w:style>
  <w:style w:type="character" w:styleId="Mention">
    <w:name w:val="Mention"/>
    <w:basedOn w:val="DefaultParagraphFont"/>
    <w:uiPriority w:val="99"/>
    <w:unhideWhenUsed/>
    <w:rsid w:val="0022702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en/council/Documents/basic-texts-2023/RES-136-E.pdf" TargetMode="External"/><Relationship Id="rId18" Type="http://schemas.openxmlformats.org/officeDocument/2006/relationships/hyperlink" Target="https://www.itu.int/en/ITU-D/Emergency-Telecommunications/Pages/NETPs.aspx" TargetMode="External"/><Relationship Id="rId26" Type="http://schemas.openxmlformats.org/officeDocument/2006/relationships/hyperlink" Target="https://www.itu.int/en/ITU-D/Emergency-Telecommunications/Pages/Response.aspx" TargetMode="External"/><Relationship Id="rId21" Type="http://schemas.openxmlformats.org/officeDocument/2006/relationships/hyperlink" Target="https://www.itu.int/itu-d/sites/emergency-telecommunications/?utm"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itu.int/en/council/Documents/basic-texts-2023/RES-098-E.pdf" TargetMode="External"/><Relationship Id="rId17" Type="http://schemas.openxmlformats.org/officeDocument/2006/relationships/hyperlink" Target="https://ltcluster.org/" TargetMode="External"/><Relationship Id="rId25" Type="http://schemas.openxmlformats.org/officeDocument/2006/relationships/hyperlink" Target="https://www.itu.int/en/ITU-D/Emergency-Telecommunications/Pages/Early-Warnings-for-All-Initiative.aspx" TargetMode="External"/><Relationship Id="rId33" Type="http://schemas.openxmlformats.org/officeDocument/2006/relationships/hyperlink" Target="https://academy.itu.int/training-courses/full-catalogue/monitoring-evaluation-early-warning-all" TargetMode="External"/><Relationship Id="rId2" Type="http://schemas.openxmlformats.org/officeDocument/2006/relationships/customXml" Target="../customXml/item2.xml"/><Relationship Id="rId16" Type="http://schemas.openxmlformats.org/officeDocument/2006/relationships/hyperlink" Target="https://www.itu.int/en/ITU-D/Emergency-Telecommunications/Pages/Early-Warnings-for-All-Initiative.aspx" TargetMode="External"/><Relationship Id="rId20" Type="http://schemas.openxmlformats.org/officeDocument/2006/relationships/hyperlink" Target="https://www.itu.int/en/ITU-D/Emergency-Telecommunications/Pages/TampereConvention.aspx" TargetMode="External"/><Relationship Id="rId29" Type="http://schemas.openxmlformats.org/officeDocument/2006/relationships/hyperlink" Target="https://www.itu.int/en/ITU-D/Emergency-Telecommunications/Pages/AI-Sub-Group-EW4All-.asp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tu.int/dms_pub/itu-d/opb/tdc/D-TDC-WTDC-2025-PDF-E.pdf" TargetMode="External"/><Relationship Id="rId24" Type="http://schemas.openxmlformats.org/officeDocument/2006/relationships/hyperlink" Target="https://earlywarningsforall.org/site/early-warnings-all" TargetMode="External"/><Relationship Id="rId32" Type="http://schemas.openxmlformats.org/officeDocument/2006/relationships/hyperlink" Target="https://academy.itu.int/training-courses/full-catalogue/tampere-convention-and-telecommunications-deployments-when-disasters-strike-2"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ltcluster.org/" TargetMode="External"/><Relationship Id="rId23" Type="http://schemas.openxmlformats.org/officeDocument/2006/relationships/hyperlink" Target="https://www.itu.int/en/ITU-D/Emergency-Telecommunications/Pages/NETPs.aspx" TargetMode="External"/><Relationship Id="rId28" Type="http://schemas.openxmlformats.org/officeDocument/2006/relationships/hyperlink" Target="https://www.itu.int/en/ITU-D/Emergency-Telecommunications/Pages/EW4ALL/Early-Warning-Connectivity-Map.aspx" TargetMode="Externa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interagencystandingcommittee.org/" TargetMode="External"/><Relationship Id="rId31" Type="http://schemas.openxmlformats.org/officeDocument/2006/relationships/hyperlink" Target="https://academy.itu.int/training-courses/full-catalogue/practical-disaster-response-how-develop-table-top-simulation-exercises-ttx-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tu.int/dms_pub/itu-d/opb/tdc/D-TDC-WTDC-2025-PDF-E.pdf" TargetMode="External"/><Relationship Id="rId22" Type="http://schemas.openxmlformats.org/officeDocument/2006/relationships/hyperlink" Target="https://www.itu.int/en/ITU-D/Emergency-Telecommunications/Pages/NETPs.aspx" TargetMode="External"/><Relationship Id="rId27" Type="http://schemas.openxmlformats.org/officeDocument/2006/relationships/hyperlink" Target="https://www.itu.int/en/ITU-D/Emergency-Telecommunications/Pages/EW4ALL/Connectivity-maps.aspx" TargetMode="External"/><Relationship Id="rId30" Type="http://schemas.openxmlformats.org/officeDocument/2006/relationships/hyperlink" Target="https://academy.itu.int/training-courses/full-catalogue/introduction-developing-national-emergency-telecommunication-plans-2" TargetMode="External"/><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DA9BF3-1D4D-4172-9564-B55324CF67E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B4B593-75E4-492A-98E6-32303BCEF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F8A486-96EB-47D8-9710-ABFB6718D6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2221</Words>
  <Characters>14687</Characters>
  <Application>Microsoft Office Word</Application>
  <DocSecurity>0</DocSecurity>
  <Lines>219</Lines>
  <Paragraphs>53</Paragraphs>
  <ScaleCrop>false</ScaleCrop>
  <HeadingPairs>
    <vt:vector size="2" baseType="variant">
      <vt:variant>
        <vt:lpstr>Title</vt:lpstr>
      </vt:variant>
      <vt:variant>
        <vt:i4>1</vt:i4>
      </vt:variant>
    </vt:vector>
  </HeadingPairs>
  <TitlesOfParts>
    <vt:vector size="1" baseType="lpstr">
      <vt:lpstr>Efforts to safeguard humanitarian telecommunications in conflicts and disasters</vt:lpstr>
    </vt:vector>
  </TitlesOfParts>
  <Manager/>
  <Company/>
  <LinksUpToDate>false</LinksUpToDate>
  <CharactersWithSpaces>16855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Efforts to safeguard humanitarian telecommunications in conflicts and disasters</dc:title>
  <dc:subject>ITU Plenipotentiary Conference (PP-26)</dc:subject>
  <cp:keywords>PP-26, PP26, ITU</cp:keywords>
  <dcterms:created xsi:type="dcterms:W3CDTF">2026-10-06T13:13:00Z</dcterms:created>
  <dcterms:modified xsi:type="dcterms:W3CDTF">2026-10-06T13:16:00Z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docLang">
    <vt:lpwstr>en</vt:lpwstr>
  </property>
  <property fmtid="{D5CDD505-2E9C-101B-9397-08002B2CF9AE}" pid="4" name="MediaServiceImageTags">
    <vt:lpwstr/>
  </property>
</Properties>
</file>