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53E2F3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3F9FD0" w14:textId="1C1F7963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7E8093DE" wp14:editId="4C22358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7936D6C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F82F2F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420A698C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DB16D7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B0821EE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bookmarkEnd w:id="1"/>
      <w:tr w:rsidR="00075113" w:rsidRPr="0002785D" w14:paraId="6E5D99D3" w14:textId="77777777" w:rsidTr="005A329F">
        <w:trPr>
          <w:cantSplit/>
          <w:jc w:val="center"/>
        </w:trPr>
        <w:tc>
          <w:tcPr>
            <w:tcW w:w="7229" w:type="dxa"/>
          </w:tcPr>
          <w:p w14:paraId="248001A5" w14:textId="3DA1C374" w:rsidR="00075113" w:rsidRPr="004C22ED" w:rsidRDefault="00075113" w:rsidP="00075113">
            <w:pPr>
              <w:pStyle w:val="Committee"/>
              <w:framePr w:hSpace="0" w:wrap="auto" w:hAnchor="text" w:yAlign="inline"/>
              <w:spacing w:after="0" w:line="240" w:lineRule="auto"/>
            </w:pPr>
            <w:r w:rsidRPr="00075113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5DCBCBFD" w14:textId="10C46744" w:rsidR="00075113" w:rsidRPr="00AD49AE" w:rsidRDefault="00075113" w:rsidP="00075113">
            <w:pPr>
              <w:spacing w:before="0"/>
              <w:rPr>
                <w:b/>
                <w:bCs/>
                <w:lang w:val="es-ES"/>
              </w:rPr>
            </w:pPr>
            <w:r w:rsidRPr="00AD49AE">
              <w:rPr>
                <w:b/>
                <w:bCs/>
                <w:lang w:val="es-ES"/>
              </w:rPr>
              <w:t xml:space="preserve">Documento </w:t>
            </w:r>
            <w:r w:rsidR="007D64D8" w:rsidRPr="00AD49AE">
              <w:rPr>
                <w:b/>
                <w:bCs/>
                <w:lang w:val="es-ES"/>
              </w:rPr>
              <w:t>58</w:t>
            </w:r>
            <w:r w:rsidRPr="00AD49AE">
              <w:rPr>
                <w:b/>
                <w:bCs/>
                <w:lang w:val="es-ES"/>
              </w:rPr>
              <w:t>-S</w:t>
            </w:r>
          </w:p>
        </w:tc>
      </w:tr>
      <w:tr w:rsidR="00075113" w:rsidRPr="0002785D" w14:paraId="483D078B" w14:textId="77777777" w:rsidTr="005A329F">
        <w:trPr>
          <w:cantSplit/>
          <w:jc w:val="center"/>
        </w:trPr>
        <w:tc>
          <w:tcPr>
            <w:tcW w:w="7229" w:type="dxa"/>
          </w:tcPr>
          <w:p w14:paraId="17E32998" w14:textId="36F0CCB2" w:rsidR="00075113" w:rsidRPr="00BF5475" w:rsidRDefault="00075113" w:rsidP="00075113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00BF5C1A" w14:textId="48B6E2D9" w:rsidR="00075113" w:rsidRPr="00AD49AE" w:rsidRDefault="0039264A" w:rsidP="00AD49AE">
            <w:pPr>
              <w:spacing w:before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2</w:t>
            </w:r>
            <w:r w:rsidR="007D64D8" w:rsidRPr="00AD49AE">
              <w:rPr>
                <w:b/>
                <w:bCs/>
                <w:lang w:val="es-ES"/>
              </w:rPr>
              <w:t xml:space="preserve"> de </w:t>
            </w:r>
            <w:r>
              <w:rPr>
                <w:b/>
                <w:bCs/>
                <w:lang w:val="es-ES"/>
              </w:rPr>
              <w:t>octu</w:t>
            </w:r>
            <w:r w:rsidR="007D64D8" w:rsidRPr="00AD49AE">
              <w:rPr>
                <w:b/>
                <w:bCs/>
                <w:lang w:val="es-ES"/>
              </w:rPr>
              <w:t>bre de 2026</w:t>
            </w:r>
          </w:p>
        </w:tc>
      </w:tr>
      <w:tr w:rsidR="00075113" w:rsidRPr="0002785D" w14:paraId="7EE17784" w14:textId="77777777" w:rsidTr="005A329F">
        <w:trPr>
          <w:cantSplit/>
          <w:jc w:val="center"/>
        </w:trPr>
        <w:tc>
          <w:tcPr>
            <w:tcW w:w="7229" w:type="dxa"/>
          </w:tcPr>
          <w:p w14:paraId="68573EE1" w14:textId="77777777" w:rsidR="00075113" w:rsidRPr="004C22ED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76142BCE" w14:textId="03B29E45" w:rsidR="00075113" w:rsidRPr="00AD49AE" w:rsidRDefault="00075113" w:rsidP="00075113">
            <w:pPr>
              <w:spacing w:before="0"/>
              <w:rPr>
                <w:b/>
                <w:bCs/>
                <w:lang w:val="es-ES"/>
              </w:rPr>
            </w:pPr>
            <w:r w:rsidRPr="00AD49AE">
              <w:rPr>
                <w:b/>
                <w:bCs/>
                <w:lang w:val="es-ES"/>
              </w:rPr>
              <w:t>Original: inglés</w:t>
            </w:r>
          </w:p>
        </w:tc>
      </w:tr>
      <w:tr w:rsidR="00075113" w:rsidRPr="0002785D" w14:paraId="3075E8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B3028F" w14:textId="77777777" w:rsidR="00075113" w:rsidRPr="004C22ED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075113" w:rsidRPr="0002785D" w14:paraId="53FF73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65E2007" w14:textId="77160B49" w:rsidR="00075113" w:rsidRPr="007D64D8" w:rsidRDefault="007D64D8" w:rsidP="00075113">
            <w:pPr>
              <w:pStyle w:val="Source"/>
              <w:rPr>
                <w:lang w:val="es-ES"/>
              </w:rPr>
            </w:pPr>
            <w:bookmarkStart w:id="2" w:name="dsource" w:colFirst="0" w:colLast="0"/>
            <w:r w:rsidRPr="007D64D8">
              <w:rPr>
                <w:lang w:val="es-ES"/>
              </w:rPr>
              <w:t>Nota de la Secretaria General</w:t>
            </w:r>
          </w:p>
        </w:tc>
      </w:tr>
      <w:tr w:rsidR="00075113" w:rsidRPr="0002785D" w14:paraId="6C06012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048F9C" w14:textId="13E60E43" w:rsidR="00075113" w:rsidRPr="007D64D8" w:rsidRDefault="00EA5410" w:rsidP="00075113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7D64D8">
              <w:rPr>
                <w:caps w:val="0"/>
                <w:lang w:val="es-ES"/>
              </w:rPr>
              <w:t xml:space="preserve">RESOLUCIONES DE LA CONFERENCIA MUNDIAL DE DESARROLLO </w:t>
            </w:r>
            <w:r>
              <w:rPr>
                <w:caps w:val="0"/>
                <w:lang w:val="es-ES"/>
              </w:rPr>
              <w:br/>
            </w:r>
            <w:r w:rsidRPr="007D64D8">
              <w:rPr>
                <w:caps w:val="0"/>
                <w:lang w:val="es-ES"/>
              </w:rPr>
              <w:t>DE LAS TELECOMUNICACIONES (</w:t>
            </w:r>
            <w:proofErr w:type="spellStart"/>
            <w:r w:rsidRPr="007D64D8">
              <w:rPr>
                <w:caps w:val="0"/>
                <w:lang w:val="es-ES"/>
              </w:rPr>
              <w:t>CMDT</w:t>
            </w:r>
            <w:proofErr w:type="spellEnd"/>
            <w:r w:rsidRPr="007D64D8">
              <w:rPr>
                <w:caps w:val="0"/>
                <w:lang w:val="es-ES"/>
              </w:rPr>
              <w:t xml:space="preserve">-25) QUE SE PONEN EN CONOCIMIENTO </w:t>
            </w:r>
            <w:r>
              <w:rPr>
                <w:caps w:val="0"/>
                <w:lang w:val="es-ES"/>
              </w:rPr>
              <w:br/>
            </w:r>
            <w:r w:rsidRPr="007D64D8">
              <w:rPr>
                <w:caps w:val="0"/>
                <w:lang w:val="es-ES"/>
              </w:rPr>
              <w:t>DE LA CONFERENCIA DE PLENIPOTENCIARIOS</w:t>
            </w:r>
          </w:p>
        </w:tc>
      </w:tr>
      <w:tr w:rsidR="00075113" w:rsidRPr="0002785D" w14:paraId="3730209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D6718D3" w14:textId="1B74083A" w:rsidR="00075113" w:rsidRPr="0039264A" w:rsidRDefault="00075113" w:rsidP="00075113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075113" w14:paraId="1029F4F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C5FBEDD" w14:textId="061137F3" w:rsidR="00075113" w:rsidRDefault="00075113" w:rsidP="00075113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7EA20FD8" w14:textId="6E3F8AAB" w:rsidR="007D64D8" w:rsidRPr="007D64D8" w:rsidRDefault="007D64D8" w:rsidP="002D60B5">
      <w:pPr>
        <w:pStyle w:val="Normalaftertitle"/>
        <w:jc w:val="both"/>
        <w:rPr>
          <w:lang w:val="es-ES"/>
        </w:rPr>
      </w:pPr>
      <w:r w:rsidRPr="007D64D8">
        <w:rPr>
          <w:lang w:val="es-ES"/>
        </w:rPr>
        <w:t>La Conferencia Mundial de Desarrollo de las Telecomunicaciones (CMDT-25), que se celebró del 17 al 28 de noviembre de 2025 en Bakú (Azerbaiyán), revisó una serie de Resoluciones y adoptó cuatro (4) Resoluciones nuevas, algunas de las cuales han de ponerse en conocimiento de la Conferencia de Plenipotenciarios. Adjunto puede encontrarse el texto de esas Resoluciones.</w:t>
      </w:r>
    </w:p>
    <w:p w14:paraId="2A46C443" w14:textId="449248D2" w:rsidR="007D64D8" w:rsidRPr="007D64D8" w:rsidRDefault="007D64D8" w:rsidP="002D60B5">
      <w:pPr>
        <w:jc w:val="both"/>
        <w:rPr>
          <w:lang w:val="es-ES"/>
        </w:rPr>
      </w:pPr>
      <w:r w:rsidRPr="007D64D8">
        <w:rPr>
          <w:lang w:val="es-ES"/>
        </w:rPr>
        <w:t xml:space="preserve">La lista completa de Resoluciones adoptadas por la CMDT-25 puede encontrarse en el </w:t>
      </w:r>
      <w:hyperlink r:id="rId8" w:history="1">
        <w:r w:rsidRPr="007D64D8">
          <w:rPr>
            <w:rStyle w:val="Hyperlink"/>
            <w:lang w:val="es-ES"/>
          </w:rPr>
          <w:t>Informe Final de la Conferencia Mundial de Desarrollo de las Telecomunicaciones 2025</w:t>
        </w:r>
      </w:hyperlink>
      <w:r w:rsidRPr="007D64D8">
        <w:rPr>
          <w:lang w:val="es-ES"/>
        </w:rPr>
        <w:t>.</w:t>
      </w:r>
    </w:p>
    <w:p w14:paraId="17ACB67E" w14:textId="2C7C84A5" w:rsidR="007D64D8" w:rsidRDefault="007D64D8" w:rsidP="007D64D8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4395"/>
        </w:tabs>
        <w:spacing w:before="720"/>
        <w:jc w:val="center"/>
        <w:rPr>
          <w:lang w:val="es-ES"/>
        </w:rPr>
      </w:pPr>
      <w:r>
        <w:rPr>
          <w:lang w:val="es-ES"/>
        </w:rPr>
        <w:tab/>
      </w:r>
      <w:r w:rsidRPr="002B195B">
        <w:rPr>
          <w:lang w:val="es-ES"/>
        </w:rPr>
        <w:t>Doreen BOGDAN-MARTIN</w:t>
      </w:r>
      <w:r>
        <w:rPr>
          <w:lang w:val="es-ES"/>
        </w:rPr>
        <w:br/>
      </w:r>
      <w:r w:rsidRPr="002B195B">
        <w:rPr>
          <w:lang w:val="es-ES"/>
        </w:rPr>
        <w:tab/>
        <w:t>Secretaria General</w:t>
      </w:r>
    </w:p>
    <w:p w14:paraId="0A9D794B" w14:textId="1F75682A" w:rsidR="007D64D8" w:rsidRPr="007D64D8" w:rsidRDefault="007D64D8" w:rsidP="007D64D8">
      <w:pPr>
        <w:spacing w:before="840"/>
        <w:rPr>
          <w:lang w:val="es-ES"/>
        </w:rPr>
      </w:pPr>
      <w:r w:rsidRPr="007D64D8">
        <w:rPr>
          <w:b/>
          <w:bCs/>
          <w:lang w:val="es-ES"/>
        </w:rPr>
        <w:t>Anexo:</w:t>
      </w:r>
      <w:r w:rsidRPr="007D64D8">
        <w:rPr>
          <w:lang w:val="es-ES"/>
        </w:rPr>
        <w:t xml:space="preserve"> 1</w:t>
      </w:r>
    </w:p>
    <w:p w14:paraId="33BC3D57" w14:textId="22F988ED" w:rsidR="00255FA1" w:rsidRPr="007D64D8" w:rsidRDefault="00255FA1" w:rsidP="007D64D8">
      <w:pPr>
        <w:rPr>
          <w:lang w:val="es-ES"/>
        </w:rPr>
      </w:pPr>
      <w:r w:rsidRPr="007D64D8">
        <w:rPr>
          <w:lang w:val="es-ES"/>
        </w:rPr>
        <w:br w:type="page"/>
      </w:r>
    </w:p>
    <w:p w14:paraId="16B7FBD3" w14:textId="77777777" w:rsidR="007D64D8" w:rsidRPr="007D64D8" w:rsidRDefault="007D64D8" w:rsidP="007D64D8">
      <w:pPr>
        <w:pStyle w:val="AnnexNo"/>
        <w:rPr>
          <w:lang w:val="es-ES"/>
        </w:rPr>
      </w:pPr>
      <w:r w:rsidRPr="007D64D8">
        <w:rPr>
          <w:lang w:val="es-ES"/>
        </w:rPr>
        <w:lastRenderedPageBreak/>
        <w:t>ANEXO</w:t>
      </w:r>
    </w:p>
    <w:p w14:paraId="2B44986F" w14:textId="1CB61186" w:rsidR="007D64D8" w:rsidRPr="007D64D8" w:rsidRDefault="007D64D8" w:rsidP="007D64D8">
      <w:pPr>
        <w:pStyle w:val="Annextitle"/>
        <w:rPr>
          <w:lang w:val="es-ES"/>
        </w:rPr>
      </w:pPr>
      <w:r w:rsidRPr="007D64D8">
        <w:rPr>
          <w:lang w:val="es-ES"/>
        </w:rPr>
        <w:t>Resoluciones de la Conferencia Mundial de Desarrollo de las Telecomunicaciones (CMDT-25)</w:t>
      </w:r>
      <w:r>
        <w:rPr>
          <w:lang w:val="es-ES"/>
        </w:rPr>
        <w:t xml:space="preserve"> </w:t>
      </w:r>
      <w:r w:rsidRPr="007D64D8">
        <w:rPr>
          <w:lang w:val="es-ES"/>
        </w:rPr>
        <w:t>que se ponen en conocimiento de la Conferencia de Plenipotenciarios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5"/>
        <w:gridCol w:w="6984"/>
      </w:tblGrid>
      <w:tr w:rsidR="007D64D8" w:rsidRPr="007D64D8" w14:paraId="2F4DF84F" w14:textId="77777777" w:rsidTr="007D64D8">
        <w:trPr>
          <w:cantSplit/>
          <w:tblHeader/>
          <w:jc w:val="center"/>
        </w:trPr>
        <w:tc>
          <w:tcPr>
            <w:tcW w:w="1377" w:type="pct"/>
            <w:noWrap/>
          </w:tcPr>
          <w:p w14:paraId="01989872" w14:textId="77777777" w:rsidR="007D64D8" w:rsidRPr="007D64D8" w:rsidRDefault="007D64D8" w:rsidP="007D64D8">
            <w:pPr>
              <w:pStyle w:val="Tablehead"/>
              <w:rPr>
                <w:lang w:val="es-ES"/>
              </w:rPr>
            </w:pPr>
            <w:r w:rsidRPr="007D64D8">
              <w:rPr>
                <w:lang w:val="es-ES"/>
              </w:rPr>
              <w:t>Resolución</w:t>
            </w:r>
          </w:p>
        </w:tc>
        <w:tc>
          <w:tcPr>
            <w:tcW w:w="3623" w:type="pct"/>
          </w:tcPr>
          <w:p w14:paraId="561CF0C7" w14:textId="77777777" w:rsidR="007D64D8" w:rsidRPr="007D64D8" w:rsidRDefault="007D64D8" w:rsidP="007D64D8">
            <w:pPr>
              <w:pStyle w:val="Tablehead"/>
              <w:rPr>
                <w:lang w:val="es-ES"/>
              </w:rPr>
            </w:pPr>
            <w:r w:rsidRPr="007D64D8">
              <w:rPr>
                <w:lang w:val="es-ES"/>
              </w:rPr>
              <w:t>Título</w:t>
            </w:r>
          </w:p>
        </w:tc>
      </w:tr>
      <w:tr w:rsidR="007D64D8" w:rsidRPr="007D64D8" w14:paraId="5EDE2DC6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5D3BB0DC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9" w:history="1">
              <w:r w:rsidRPr="007D64D8">
                <w:rPr>
                  <w:rStyle w:val="Hyperlink"/>
                  <w:lang w:val="es-ES"/>
                </w:rPr>
                <w:t>5 (Rev. Bakú, 2025)</w:t>
              </w:r>
            </w:hyperlink>
          </w:p>
        </w:tc>
        <w:tc>
          <w:tcPr>
            <w:tcW w:w="3623" w:type="pct"/>
          </w:tcPr>
          <w:p w14:paraId="55FCD0AC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Aumento de la participación de los países en desarrollo en las actividades de la UIT</w:t>
            </w:r>
          </w:p>
        </w:tc>
      </w:tr>
      <w:tr w:rsidR="007D64D8" w:rsidRPr="007D64D8" w14:paraId="0E8B5E55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0C8EF63A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0" w:history="1">
              <w:r w:rsidRPr="007D64D8">
                <w:rPr>
                  <w:rStyle w:val="Hyperlink"/>
                  <w:lang w:val="es-ES"/>
                </w:rPr>
                <w:t>16 (Rev. Bakú, 2025)</w:t>
              </w:r>
            </w:hyperlink>
          </w:p>
        </w:tc>
        <w:tc>
          <w:tcPr>
            <w:tcW w:w="3623" w:type="pct"/>
          </w:tcPr>
          <w:p w14:paraId="6388B4C2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Acciones y medidas especiales para los países menos adelantados, los pequeños Estados insulares en desarrollo, los países en desarrollo sin litoral y los países con economías en transición</w:t>
            </w:r>
          </w:p>
        </w:tc>
      </w:tr>
      <w:tr w:rsidR="007D64D8" w:rsidRPr="007D64D8" w14:paraId="5D26AB19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13AE8CEB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1" w:history="1">
              <w:r w:rsidRPr="007D64D8">
                <w:rPr>
                  <w:rStyle w:val="Hyperlink"/>
                  <w:lang w:val="es-ES"/>
                </w:rPr>
                <w:t>17 (Rev. Bakú, 2025)</w:t>
              </w:r>
            </w:hyperlink>
          </w:p>
        </w:tc>
        <w:tc>
          <w:tcPr>
            <w:tcW w:w="3623" w:type="pct"/>
          </w:tcPr>
          <w:p w14:paraId="2A60C307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Movilización de recursos, ejecución y colaboración para las Iniciativas Regionales aprobadas</w:t>
            </w:r>
          </w:p>
        </w:tc>
      </w:tr>
      <w:tr w:rsidR="007D64D8" w:rsidRPr="007D64D8" w14:paraId="76ED0D09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2F7EC9D5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2" w:history="1">
              <w:r w:rsidRPr="007D64D8">
                <w:rPr>
                  <w:rStyle w:val="Hyperlink"/>
                  <w:lang w:val="es-ES"/>
                </w:rPr>
                <w:t>18 (Rev. Bakú, 2025)</w:t>
              </w:r>
            </w:hyperlink>
          </w:p>
        </w:tc>
        <w:tc>
          <w:tcPr>
            <w:tcW w:w="3623" w:type="pct"/>
          </w:tcPr>
          <w:p w14:paraId="2E11AB80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Asistencia técnica especial a Palestina</w:t>
            </w:r>
          </w:p>
        </w:tc>
      </w:tr>
      <w:tr w:rsidR="007D64D8" w:rsidRPr="007D64D8" w14:paraId="6AA0E112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7F1A13AB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3" w:history="1">
              <w:r w:rsidRPr="007D64D8">
                <w:rPr>
                  <w:rStyle w:val="Hyperlink"/>
                  <w:lang w:val="es-ES"/>
                </w:rPr>
                <w:t>30 (Rev. Bakú, 2025)</w:t>
              </w:r>
            </w:hyperlink>
          </w:p>
        </w:tc>
        <w:tc>
          <w:tcPr>
            <w:tcW w:w="3623" w:type="pct"/>
          </w:tcPr>
          <w:p w14:paraId="26717BA3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Función del Sector de Desarrollo de las Telecomunicaciones de la UIT en la aplicación de los resultados de la Cumbre Mundial sobre la Sociedad de la Información y la Agenda 2030 para el Desarrollo Sostenible</w:t>
            </w:r>
          </w:p>
        </w:tc>
      </w:tr>
      <w:tr w:rsidR="007D64D8" w:rsidRPr="007D64D8" w14:paraId="059F411A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38E76CF8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4" w:history="1">
              <w:r w:rsidRPr="007D64D8">
                <w:rPr>
                  <w:rStyle w:val="Hyperlink"/>
                  <w:lang w:val="es-ES"/>
                </w:rPr>
                <w:t>34 (Rev. Bakú, 2025)</w:t>
              </w:r>
            </w:hyperlink>
          </w:p>
        </w:tc>
        <w:tc>
          <w:tcPr>
            <w:tcW w:w="3623" w:type="pct"/>
          </w:tcPr>
          <w:p w14:paraId="214C427C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Función de las telecomunicaciones/tecnologías de la información y la comunicación en la preparación, alerta temprana, rescate, mitigación, socorro y respuesta en situaciones de catástrofe</w:t>
            </w:r>
          </w:p>
        </w:tc>
      </w:tr>
      <w:tr w:rsidR="007D64D8" w:rsidRPr="007D64D8" w14:paraId="3C0A445E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499142CF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5" w:history="1">
              <w:r w:rsidRPr="007D64D8">
                <w:rPr>
                  <w:rStyle w:val="Hyperlink"/>
                  <w:lang w:val="es-ES"/>
                </w:rPr>
                <w:t>45 (Rev. Bakú, 2025)</w:t>
              </w:r>
            </w:hyperlink>
          </w:p>
        </w:tc>
        <w:tc>
          <w:tcPr>
            <w:tcW w:w="3623" w:type="pct"/>
          </w:tcPr>
          <w:p w14:paraId="64BCDA29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 xml:space="preserve">Mecanismos para mejorar la cooperación en materia de ciberseguridad, incluida la lucha contra el </w:t>
            </w:r>
            <w:r w:rsidRPr="007D64D8">
              <w:rPr>
                <w:i/>
                <w:iCs/>
                <w:lang w:val="es-ES"/>
              </w:rPr>
              <w:t>spam</w:t>
            </w:r>
          </w:p>
        </w:tc>
      </w:tr>
      <w:tr w:rsidR="007D64D8" w:rsidRPr="007D64D8" w14:paraId="53812479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70ED8C15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6" w:history="1">
              <w:r w:rsidRPr="007D64D8">
                <w:rPr>
                  <w:rStyle w:val="Hyperlink"/>
                  <w:lang w:val="es-ES"/>
                </w:rPr>
                <w:t>46 (Rev. Bakú, 2025)</w:t>
              </w:r>
            </w:hyperlink>
          </w:p>
        </w:tc>
        <w:tc>
          <w:tcPr>
            <w:tcW w:w="3623" w:type="pct"/>
          </w:tcPr>
          <w:p w14:paraId="6423FBD6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Prestación de asistencia a los pueblos y comunidades indígenas a través de las tecnologías de la información y la comunicación</w:t>
            </w:r>
          </w:p>
        </w:tc>
      </w:tr>
      <w:tr w:rsidR="007D64D8" w:rsidRPr="007D64D8" w14:paraId="6C9F8346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1C6106BB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7" w:history="1">
              <w:r w:rsidRPr="007D64D8">
                <w:rPr>
                  <w:rStyle w:val="Hyperlink"/>
                  <w:lang w:val="es-ES"/>
                </w:rPr>
                <w:t>48 (Rev. Bakú, 2025)</w:t>
              </w:r>
            </w:hyperlink>
          </w:p>
        </w:tc>
        <w:tc>
          <w:tcPr>
            <w:tcW w:w="3623" w:type="pct"/>
          </w:tcPr>
          <w:p w14:paraId="514C066E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Fortalecimiento de la cooperación entre organismos reguladores de las telecomunicaciones</w:t>
            </w:r>
          </w:p>
        </w:tc>
      </w:tr>
      <w:tr w:rsidR="007D64D8" w:rsidRPr="007D64D8" w14:paraId="3B26A50E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3E7C020D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8" w:history="1">
              <w:r w:rsidRPr="007D64D8">
                <w:rPr>
                  <w:rStyle w:val="Hyperlink"/>
                  <w:lang w:val="es-ES"/>
                </w:rPr>
                <w:t>55 (Rev. Bakú, 2025)</w:t>
              </w:r>
            </w:hyperlink>
          </w:p>
        </w:tc>
        <w:tc>
          <w:tcPr>
            <w:tcW w:w="3623" w:type="pct"/>
          </w:tcPr>
          <w:p w14:paraId="36677CAC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Integración de una perspectiva de género en el Sector de Desarrollo de las Telecomunicaciones de la UIT y promoción de la igualdad de género y del empoderamiento de las mujeres y las niñas por medio de las telecomunicaciones/tecnologías de la información y la comunicación</w:t>
            </w:r>
          </w:p>
        </w:tc>
      </w:tr>
      <w:tr w:rsidR="007D64D8" w:rsidRPr="007D64D8" w14:paraId="610E0D8D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5496EA5E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19" w:history="1">
              <w:r w:rsidRPr="007D64D8">
                <w:rPr>
                  <w:rStyle w:val="Hyperlink"/>
                  <w:lang w:val="es-ES"/>
                </w:rPr>
                <w:t>58 (Rev. Bakú, 2025)</w:t>
              </w:r>
            </w:hyperlink>
          </w:p>
        </w:tc>
        <w:tc>
          <w:tcPr>
            <w:tcW w:w="3623" w:type="pct"/>
          </w:tcPr>
          <w:p w14:paraId="3CAA01A6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Accesibilidad de las telecomunicaciones/tecnologías de la información y la comunicación para las personas con discapacidad y las personas con necesidades especiales</w:t>
            </w:r>
          </w:p>
        </w:tc>
      </w:tr>
      <w:tr w:rsidR="007D64D8" w:rsidRPr="007D64D8" w14:paraId="66DF7D71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732AC8AA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20" w:history="1">
              <w:r w:rsidRPr="007D64D8">
                <w:rPr>
                  <w:rStyle w:val="Hyperlink"/>
                  <w:lang w:val="es-ES"/>
                </w:rPr>
                <w:t>76 (Rev. Bakú, 2025)</w:t>
              </w:r>
            </w:hyperlink>
          </w:p>
        </w:tc>
        <w:tc>
          <w:tcPr>
            <w:tcW w:w="3623" w:type="pct"/>
          </w:tcPr>
          <w:p w14:paraId="4B6117EB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Promoción de las tecnologías de la información y la comunicación ente los hombres y mujeres jóvenes para su empoderamiento social y económico</w:t>
            </w:r>
          </w:p>
        </w:tc>
      </w:tr>
      <w:tr w:rsidR="007D64D8" w:rsidRPr="007D64D8" w14:paraId="1426974B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26DC478C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21" w:history="1">
              <w:r w:rsidRPr="007D64D8">
                <w:rPr>
                  <w:rStyle w:val="Hyperlink"/>
                  <w:lang w:val="es-ES"/>
                </w:rPr>
                <w:t>82 (Rev. Bakú, 2025)</w:t>
              </w:r>
            </w:hyperlink>
          </w:p>
        </w:tc>
        <w:tc>
          <w:tcPr>
            <w:tcW w:w="3623" w:type="pct"/>
          </w:tcPr>
          <w:p w14:paraId="6BB1841F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Preservación y promoción del plurilingüismo en Internet, en favor de una sociedad de la información integradora</w:t>
            </w:r>
          </w:p>
        </w:tc>
      </w:tr>
      <w:tr w:rsidR="007D64D8" w:rsidRPr="007D64D8" w14:paraId="70CFF0D3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2786DFCE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22" w:history="1">
              <w:r w:rsidRPr="007D64D8">
                <w:rPr>
                  <w:rStyle w:val="Hyperlink"/>
                  <w:lang w:val="es-ES"/>
                </w:rPr>
                <w:t>83 (Rev. Bakú, 2025)</w:t>
              </w:r>
            </w:hyperlink>
          </w:p>
        </w:tc>
        <w:tc>
          <w:tcPr>
            <w:tcW w:w="3623" w:type="pct"/>
          </w:tcPr>
          <w:p w14:paraId="7C44A737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Asistencia especial y apoyo al Gobierno de Libia para la reconstrucción de sus redes de telecomunicaciones</w:t>
            </w:r>
          </w:p>
        </w:tc>
      </w:tr>
      <w:tr w:rsidR="007D64D8" w:rsidRPr="007D64D8" w14:paraId="1CD7C00A" w14:textId="77777777" w:rsidTr="007D64D8">
        <w:trPr>
          <w:cantSplit/>
          <w:jc w:val="center"/>
        </w:trPr>
        <w:tc>
          <w:tcPr>
            <w:tcW w:w="1377" w:type="pct"/>
            <w:noWrap/>
          </w:tcPr>
          <w:p w14:paraId="7456B4A0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hyperlink r:id="rId23" w:history="1">
              <w:r w:rsidRPr="007D64D8">
                <w:rPr>
                  <w:rStyle w:val="Hyperlink"/>
                  <w:lang w:val="es-ES"/>
                </w:rPr>
                <w:t>93 (Bakú, 2025)</w:t>
              </w:r>
            </w:hyperlink>
          </w:p>
        </w:tc>
        <w:tc>
          <w:tcPr>
            <w:tcW w:w="3623" w:type="pct"/>
          </w:tcPr>
          <w:p w14:paraId="3D5C6692" w14:textId="77777777" w:rsidR="007D64D8" w:rsidRPr="007D64D8" w:rsidRDefault="007D64D8" w:rsidP="007D64D8">
            <w:pPr>
              <w:pStyle w:val="Tabletext"/>
              <w:rPr>
                <w:lang w:val="es-ES"/>
              </w:rPr>
            </w:pPr>
            <w:r w:rsidRPr="007D64D8">
              <w:rPr>
                <w:lang w:val="es-ES"/>
              </w:rPr>
              <w:t>Asistencia y apoyo al Sudán para la reconstrucción de la infraestructura dañada de telecomunicaciones/tecnologías de la información y la comunicación y reducir la brecha digital</w:t>
            </w:r>
          </w:p>
        </w:tc>
      </w:tr>
    </w:tbl>
    <w:p w14:paraId="0C299223" w14:textId="77777777" w:rsidR="007D64D8" w:rsidRDefault="007D64D8" w:rsidP="00880EB6">
      <w:pPr>
        <w:spacing w:before="40"/>
        <w:jc w:val="center"/>
      </w:pPr>
      <w:r>
        <w:t>______________</w:t>
      </w:r>
    </w:p>
    <w:sectPr w:rsidR="007D64D8" w:rsidSect="00A70E95">
      <w:headerReference w:type="default" r:id="rId24"/>
      <w:footerReference w:type="first" r:id="rId25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B4CF" w14:textId="77777777" w:rsidR="00354A97" w:rsidRDefault="00354A97">
      <w:r>
        <w:separator/>
      </w:r>
    </w:p>
  </w:endnote>
  <w:endnote w:type="continuationSeparator" w:id="0">
    <w:p w14:paraId="117E9083" w14:textId="77777777" w:rsidR="00354A97" w:rsidRDefault="0035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EDA9" w14:textId="37EDE90D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3B5DC9" w:rsidRPr="009415B6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3B5DC9" w:rsidRPr="002D60B5">
      <w:rPr>
        <w:color w:val="0000FF"/>
        <w:sz w:val="22"/>
        <w:szCs w:val="22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480E" w14:textId="77777777" w:rsidR="00354A97" w:rsidRDefault="00354A97">
      <w:r>
        <w:t>____________________</w:t>
      </w:r>
    </w:p>
  </w:footnote>
  <w:footnote w:type="continuationSeparator" w:id="0">
    <w:p w14:paraId="25A66C9D" w14:textId="77777777" w:rsidR="00354A97" w:rsidRDefault="00354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64C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D6C2C56" w14:textId="19D5212D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r w:rsidR="007D64D8">
      <w:t>58</w:t>
    </w:r>
    <w:r w:rsidR="00075113">
      <w:t>-S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55FA1"/>
    <w:rsid w:val="00262FF4"/>
    <w:rsid w:val="00277985"/>
    <w:rsid w:val="002C6527"/>
    <w:rsid w:val="002D60B5"/>
    <w:rsid w:val="002E44FC"/>
    <w:rsid w:val="003537B5"/>
    <w:rsid w:val="00354A97"/>
    <w:rsid w:val="003707E5"/>
    <w:rsid w:val="00375610"/>
    <w:rsid w:val="00391611"/>
    <w:rsid w:val="0039264A"/>
    <w:rsid w:val="003B5DC9"/>
    <w:rsid w:val="003D0027"/>
    <w:rsid w:val="003E5764"/>
    <w:rsid w:val="003E6E73"/>
    <w:rsid w:val="0046080D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0056"/>
    <w:rsid w:val="005A329F"/>
    <w:rsid w:val="005D1164"/>
    <w:rsid w:val="005D25E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75D2"/>
    <w:rsid w:val="007D61E2"/>
    <w:rsid w:val="007D64D8"/>
    <w:rsid w:val="007F6EBC"/>
    <w:rsid w:val="00810D8B"/>
    <w:rsid w:val="00880EB6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559EC"/>
    <w:rsid w:val="00A70E95"/>
    <w:rsid w:val="00A75E31"/>
    <w:rsid w:val="00AA1F73"/>
    <w:rsid w:val="00AB190D"/>
    <w:rsid w:val="00AB34CA"/>
    <w:rsid w:val="00AD400E"/>
    <w:rsid w:val="00AD49AE"/>
    <w:rsid w:val="00AF0DC5"/>
    <w:rsid w:val="00B012B7"/>
    <w:rsid w:val="00B10609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A5410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239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2D60B5"/>
    <w:rPr>
      <w:rFonts w:ascii="Calibri" w:hAnsi="Calibri"/>
      <w:color w:val="0070C0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80EB6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d/opb/tdc/D-TDC-WTDC-2025-PDF-S.pdf" TargetMode="External"/><Relationship Id="rId13" Type="http://schemas.openxmlformats.org/officeDocument/2006/relationships/hyperlink" Target="https://www.itu.int/net4/ITU-D/CDS/Resolutions/Resolution-30-Rev-Baku-2025.pdf" TargetMode="External"/><Relationship Id="rId18" Type="http://schemas.openxmlformats.org/officeDocument/2006/relationships/hyperlink" Target="https://www.itu.int/net4/ITU-D/CDS/Resolutions/Resolution-55-Rev-Baku-2025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itu.int/net4/ITU-D/CDS/Resolutions/Resolution-82-Rev-Baku-2025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itu.int/net4/ITU-D/CDS/Resolutions/Resolution-18-Rev-Baku-2025.pdf" TargetMode="External"/><Relationship Id="rId17" Type="http://schemas.openxmlformats.org/officeDocument/2006/relationships/hyperlink" Target="https://www.itu.int/net4/ITU-D/CDS/Resolutions/Resolution-48-Rev-Baku-2025.pdf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itu.int/net4/ITU-D/CDS/Resolutions/Resolution-46-Rev-Baku-2025.pdf" TargetMode="External"/><Relationship Id="rId20" Type="http://schemas.openxmlformats.org/officeDocument/2006/relationships/hyperlink" Target="https://www.itu.int/net4/ITU-D/CDS/Resolutions/Resolution-76-Rev-Baku-2025.pdf" TargetMode="Externa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yperlink" Target="https://www.itu.int/net4/ITU-D/CDS/Resolutions/Resolution-17-Rev-Baku-2025.pdf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itu.int/net4/ITU-D/CDS/Resolutions/Resolution-45-Rev-Baku-2025.pdf" TargetMode="External"/><Relationship Id="rId23" Type="http://schemas.openxmlformats.org/officeDocument/2006/relationships/hyperlink" Target="https://www.itu.int/net4/ITU-D/CDS/Resolutions/Resolution-93-Baku-2025.pdf" TargetMode="External"/><Relationship Id="rId10" Type="http://schemas.openxmlformats.org/officeDocument/2006/relationships/hyperlink" Target="https://www.itu.int/net4/ITU-D/CDS/Resolutions/Resolution-16-Rev-Baku-2025.pdf" TargetMode="External"/><Relationship Id="rId19" Type="http://schemas.openxmlformats.org/officeDocument/2006/relationships/hyperlink" Target="https://www.itu.int/net4/ITU-D/CDS/Resolutions/Resolution-58-Rev-Baku-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net4/ITU-D/CDS/Resolutions/Resolution-05-Rev-Baku-2025.pdf" TargetMode="External"/><Relationship Id="rId14" Type="http://schemas.openxmlformats.org/officeDocument/2006/relationships/hyperlink" Target="https://www.itu.int/net4/ITU-D/CDS/Resolutions/Resolution-34-Rev-Baku-2025.pdf" TargetMode="External"/><Relationship Id="rId22" Type="http://schemas.openxmlformats.org/officeDocument/2006/relationships/hyperlink" Target="https://www.itu.int/net4/ITU-D/CDS/Resolutions/Resolution-83-Rev-Baku-2025.pdf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744</Words>
  <Characters>4234</Characters>
  <Application>Microsoft Office Word</Application>
  <DocSecurity>0</DocSecurity>
  <Lines>124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Resoluciones de la Conferencia Mundial de Desarrollo de las Telecomunicaciones (CMDT-25) que se ponen en conocimiento de la Conferencia de Plenipotenciarios</dc:title>
  <dc:subject>ITU Plenipotentiary Conference (PP-26)</dc:subject>
  <cp:keywords>PP-26, PP26, ITU</cp:keywords>
  <dc:description/>
  <dcterms:created xsi:type="dcterms:W3CDTF">2026-10-13T15:06:00Z</dcterms:created>
  <dcterms:modified xsi:type="dcterms:W3CDTF">2026-10-13T15:09:00Z</dcterms:modified>
  <cp:category>Conference document</cp:category>
</cp:coreProperties>
</file>