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B14451"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B14451" w:rsidRDefault="00CE496F" w:rsidP="00CE496F">
            <w:pPr>
              <w:spacing w:before="0" w:line="240" w:lineRule="atLeast"/>
              <w:rPr>
                <w:rFonts w:cstheme="minorHAnsi"/>
              </w:rPr>
            </w:pPr>
            <w:bookmarkStart w:id="0" w:name="ditulogo"/>
            <w:bookmarkEnd w:id="0"/>
            <w:r w:rsidRPr="00B14451">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B14451" w14:paraId="3120A8D9" w14:textId="77777777" w:rsidTr="00BD5C12">
        <w:trPr>
          <w:cantSplit/>
          <w:jc w:val="center"/>
        </w:trPr>
        <w:tc>
          <w:tcPr>
            <w:tcW w:w="10031" w:type="dxa"/>
            <w:gridSpan w:val="2"/>
            <w:tcBorders>
              <w:bottom w:val="single" w:sz="12" w:space="0" w:color="71716F"/>
            </w:tcBorders>
          </w:tcPr>
          <w:p w14:paraId="57068B73" w14:textId="77777777" w:rsidR="002E1AF7" w:rsidRPr="00B14451" w:rsidRDefault="002E1AF7" w:rsidP="00CE496F">
            <w:pPr>
              <w:spacing w:before="0" w:line="240" w:lineRule="atLeast"/>
              <w:rPr>
                <w:rFonts w:cstheme="minorHAnsi"/>
                <w:b/>
                <w:smallCaps/>
                <w:szCs w:val="24"/>
              </w:rPr>
            </w:pPr>
            <w:bookmarkStart w:id="1" w:name="dhead"/>
          </w:p>
        </w:tc>
      </w:tr>
      <w:tr w:rsidR="00BD1614" w:rsidRPr="00B14451" w14:paraId="20A2296F" w14:textId="77777777" w:rsidTr="00EC1877">
        <w:trPr>
          <w:cantSplit/>
          <w:jc w:val="center"/>
        </w:trPr>
        <w:tc>
          <w:tcPr>
            <w:tcW w:w="7229" w:type="dxa"/>
            <w:tcBorders>
              <w:top w:val="single" w:sz="12" w:space="0" w:color="71716F"/>
            </w:tcBorders>
          </w:tcPr>
          <w:p w14:paraId="4CFA6027" w14:textId="77777777" w:rsidR="00BD1614" w:rsidRPr="00B14451"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B14451" w:rsidRDefault="00BD1614" w:rsidP="007A47E9">
            <w:pPr>
              <w:spacing w:before="0"/>
              <w:rPr>
                <w:rFonts w:cstheme="minorHAnsi"/>
                <w:szCs w:val="24"/>
              </w:rPr>
            </w:pPr>
          </w:p>
        </w:tc>
      </w:tr>
      <w:tr w:rsidR="00BD1614" w:rsidRPr="00B14451" w14:paraId="5EBA9561" w14:textId="77777777" w:rsidTr="00CE496F">
        <w:trPr>
          <w:cantSplit/>
          <w:jc w:val="center"/>
        </w:trPr>
        <w:tc>
          <w:tcPr>
            <w:tcW w:w="7229" w:type="dxa"/>
          </w:tcPr>
          <w:p w14:paraId="081C5B53" w14:textId="208B41EF" w:rsidR="00BD1614" w:rsidRPr="00B14451" w:rsidRDefault="00801154" w:rsidP="00801154">
            <w:pPr>
              <w:pStyle w:val="Committee"/>
              <w:framePr w:hSpace="0" w:wrap="auto" w:hAnchor="text" w:yAlign="inline"/>
              <w:spacing w:after="0" w:line="240" w:lineRule="auto"/>
              <w:rPr>
                <w:lang w:val="fr-FR"/>
              </w:rPr>
            </w:pPr>
            <w:r w:rsidRPr="00B14451">
              <w:rPr>
                <w:lang w:val="fr-FR"/>
              </w:rPr>
              <w:t>SÉANCE PLÉNIÈRE</w:t>
            </w:r>
          </w:p>
        </w:tc>
        <w:tc>
          <w:tcPr>
            <w:tcW w:w="2802" w:type="dxa"/>
            <w:tcMar>
              <w:left w:w="142" w:type="dxa"/>
              <w:right w:w="0" w:type="dxa"/>
            </w:tcMar>
          </w:tcPr>
          <w:p w14:paraId="42E82404" w14:textId="4B874A89" w:rsidR="00BD1614" w:rsidRPr="00B14451" w:rsidRDefault="00801154" w:rsidP="007A47E9">
            <w:pPr>
              <w:spacing w:before="0"/>
              <w:rPr>
                <w:rFonts w:cstheme="minorHAnsi"/>
                <w:szCs w:val="24"/>
              </w:rPr>
            </w:pPr>
            <w:r w:rsidRPr="00B14451">
              <w:rPr>
                <w:rFonts w:cstheme="minorHAnsi"/>
                <w:b/>
                <w:szCs w:val="24"/>
              </w:rPr>
              <w:t xml:space="preserve">Document </w:t>
            </w:r>
            <w:r w:rsidR="00E75F8E" w:rsidRPr="00B14451">
              <w:rPr>
                <w:rFonts w:cstheme="minorHAnsi"/>
                <w:b/>
                <w:szCs w:val="24"/>
              </w:rPr>
              <w:t>58</w:t>
            </w:r>
            <w:r w:rsidRPr="00B14451">
              <w:rPr>
                <w:rFonts w:cstheme="minorHAnsi"/>
                <w:b/>
                <w:szCs w:val="24"/>
              </w:rPr>
              <w:t>-F</w:t>
            </w:r>
          </w:p>
        </w:tc>
      </w:tr>
      <w:tr w:rsidR="00BD1614" w:rsidRPr="00B14451" w14:paraId="5C605E2F" w14:textId="77777777" w:rsidTr="00CE496F">
        <w:trPr>
          <w:cantSplit/>
          <w:jc w:val="center"/>
        </w:trPr>
        <w:tc>
          <w:tcPr>
            <w:tcW w:w="7229" w:type="dxa"/>
          </w:tcPr>
          <w:p w14:paraId="3701819B" w14:textId="4343949C" w:rsidR="00BD1614" w:rsidRPr="00B14451" w:rsidRDefault="00BD1614" w:rsidP="007A47E9">
            <w:pPr>
              <w:spacing w:before="0"/>
              <w:rPr>
                <w:rFonts w:cstheme="minorHAnsi"/>
                <w:b/>
                <w:szCs w:val="24"/>
              </w:rPr>
            </w:pPr>
          </w:p>
        </w:tc>
        <w:tc>
          <w:tcPr>
            <w:tcW w:w="2802" w:type="dxa"/>
            <w:tcMar>
              <w:left w:w="142" w:type="dxa"/>
              <w:right w:w="0" w:type="dxa"/>
            </w:tcMar>
          </w:tcPr>
          <w:p w14:paraId="4FD5E934" w14:textId="49D7EE1B" w:rsidR="00BD1614" w:rsidRPr="00B14451" w:rsidRDefault="0058413D" w:rsidP="007A47E9">
            <w:pPr>
              <w:spacing w:before="0"/>
              <w:rPr>
                <w:rFonts w:cstheme="minorHAnsi"/>
                <w:b/>
                <w:szCs w:val="24"/>
              </w:rPr>
            </w:pPr>
            <w:r>
              <w:rPr>
                <w:rFonts w:cstheme="minorHAnsi"/>
                <w:b/>
                <w:szCs w:val="24"/>
              </w:rPr>
              <w:t>2 octobre</w:t>
            </w:r>
            <w:r w:rsidR="004675EA" w:rsidRPr="00B14451">
              <w:rPr>
                <w:rFonts w:cstheme="minorHAnsi"/>
                <w:b/>
                <w:szCs w:val="24"/>
              </w:rPr>
              <w:t xml:space="preserve"> 2026</w:t>
            </w:r>
          </w:p>
        </w:tc>
      </w:tr>
      <w:tr w:rsidR="00BD1614" w:rsidRPr="00B14451" w14:paraId="6B2B4BC1" w14:textId="77777777" w:rsidTr="00CE496F">
        <w:trPr>
          <w:cantSplit/>
          <w:jc w:val="center"/>
        </w:trPr>
        <w:tc>
          <w:tcPr>
            <w:tcW w:w="7229" w:type="dxa"/>
          </w:tcPr>
          <w:p w14:paraId="780A194C" w14:textId="77777777" w:rsidR="00BD1614" w:rsidRPr="00B14451"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B14451" w:rsidRDefault="00801154" w:rsidP="007A47E9">
            <w:pPr>
              <w:spacing w:before="0"/>
              <w:rPr>
                <w:rFonts w:cstheme="minorHAnsi"/>
                <w:b/>
                <w:szCs w:val="24"/>
              </w:rPr>
            </w:pPr>
            <w:r w:rsidRPr="00B14451">
              <w:rPr>
                <w:rFonts w:cstheme="minorHAnsi"/>
                <w:b/>
                <w:szCs w:val="24"/>
              </w:rPr>
              <w:t>Original: anglais</w:t>
            </w:r>
          </w:p>
        </w:tc>
      </w:tr>
      <w:tr w:rsidR="00BD1614" w:rsidRPr="00B14451" w14:paraId="4259B884" w14:textId="77777777" w:rsidTr="002E1AF7">
        <w:trPr>
          <w:cantSplit/>
          <w:jc w:val="center"/>
        </w:trPr>
        <w:tc>
          <w:tcPr>
            <w:tcW w:w="10031" w:type="dxa"/>
            <w:gridSpan w:val="2"/>
          </w:tcPr>
          <w:p w14:paraId="770628D7" w14:textId="77777777" w:rsidR="00BD1614" w:rsidRPr="00B14451" w:rsidRDefault="00BD1614" w:rsidP="007A47E9">
            <w:pPr>
              <w:spacing w:before="0" w:line="240" w:lineRule="atLeast"/>
              <w:rPr>
                <w:rFonts w:cstheme="minorHAnsi"/>
                <w:b/>
                <w:szCs w:val="24"/>
              </w:rPr>
            </w:pPr>
          </w:p>
        </w:tc>
      </w:tr>
      <w:tr w:rsidR="00BD1614" w:rsidRPr="00B14451" w14:paraId="6A9FB924" w14:textId="77777777" w:rsidTr="002E1AF7">
        <w:trPr>
          <w:cantSplit/>
          <w:jc w:val="center"/>
        </w:trPr>
        <w:tc>
          <w:tcPr>
            <w:tcW w:w="10031" w:type="dxa"/>
            <w:gridSpan w:val="2"/>
          </w:tcPr>
          <w:p w14:paraId="070875E6" w14:textId="038FE753" w:rsidR="00BD1614" w:rsidRPr="00B14451" w:rsidRDefault="004675EA" w:rsidP="007A47E9">
            <w:pPr>
              <w:pStyle w:val="Source"/>
            </w:pPr>
            <w:bookmarkStart w:id="2" w:name="dsource" w:colFirst="0" w:colLast="0"/>
            <w:bookmarkEnd w:id="1"/>
            <w:r w:rsidRPr="00B14451">
              <w:t>Note de la Secrétaire générale</w:t>
            </w:r>
          </w:p>
        </w:tc>
      </w:tr>
      <w:tr w:rsidR="00BD1614" w:rsidRPr="00B14451" w14:paraId="534EEA05" w14:textId="77777777" w:rsidTr="002E1AF7">
        <w:trPr>
          <w:cantSplit/>
          <w:jc w:val="center"/>
        </w:trPr>
        <w:tc>
          <w:tcPr>
            <w:tcW w:w="10031" w:type="dxa"/>
            <w:gridSpan w:val="2"/>
          </w:tcPr>
          <w:p w14:paraId="0C8E89F3" w14:textId="61E93FF5" w:rsidR="00BD1614" w:rsidRPr="00B14451" w:rsidRDefault="00DB5568" w:rsidP="007A47E9">
            <w:pPr>
              <w:pStyle w:val="Title1"/>
            </w:pPr>
            <w:bookmarkStart w:id="3" w:name="dtitle1" w:colFirst="0" w:colLast="0"/>
            <w:bookmarkEnd w:id="2"/>
            <w:r w:rsidRPr="00B14451">
              <w:rPr>
                <w:caps w:val="0"/>
              </w:rPr>
              <w:t>RÉSOLUTIONS DE LA CONFÉRENCE MONDIALE DE DÉVELOPPEMENT</w:t>
            </w:r>
            <w:r>
              <w:rPr>
                <w:caps w:val="0"/>
              </w:rPr>
              <w:t xml:space="preserve"> </w:t>
            </w:r>
            <w:r w:rsidRPr="00B14451">
              <w:rPr>
                <w:caps w:val="0"/>
              </w:rPr>
              <w:t>DES</w:t>
            </w:r>
            <w:r>
              <w:rPr>
                <w:caps w:val="0"/>
              </w:rPr>
              <w:br/>
            </w:r>
            <w:r w:rsidRPr="00B14451">
              <w:rPr>
                <w:caps w:val="0"/>
              </w:rPr>
              <w:t>TÉLÉCOMMUNICATIONS (</w:t>
            </w:r>
            <w:proofErr w:type="spellStart"/>
            <w:r w:rsidRPr="00B14451">
              <w:rPr>
                <w:caps w:val="0"/>
              </w:rPr>
              <w:t>CMDT</w:t>
            </w:r>
            <w:proofErr w:type="spellEnd"/>
            <w:r w:rsidRPr="00B14451">
              <w:rPr>
                <w:caps w:val="0"/>
              </w:rPr>
              <w:t>-25) PORTÉES À L'ATTENTION</w:t>
            </w:r>
            <w:r>
              <w:rPr>
                <w:caps w:val="0"/>
              </w:rPr>
              <w:br/>
            </w:r>
            <w:r w:rsidRPr="00B14451">
              <w:rPr>
                <w:caps w:val="0"/>
              </w:rPr>
              <w:t>DE LA CONFÉRENCE DE PLÉNIPOTENTIAIRES</w:t>
            </w:r>
          </w:p>
        </w:tc>
      </w:tr>
      <w:tr w:rsidR="00BD1614" w:rsidRPr="00B14451" w14:paraId="37DA32CE" w14:textId="77777777" w:rsidTr="002E1AF7">
        <w:trPr>
          <w:cantSplit/>
          <w:jc w:val="center"/>
        </w:trPr>
        <w:tc>
          <w:tcPr>
            <w:tcW w:w="10031" w:type="dxa"/>
            <w:gridSpan w:val="2"/>
          </w:tcPr>
          <w:p w14:paraId="1574AB3E" w14:textId="53C3151D" w:rsidR="00BD1614" w:rsidRPr="00B14451" w:rsidRDefault="00BD1614" w:rsidP="007A47E9">
            <w:pPr>
              <w:pStyle w:val="Title2"/>
            </w:pPr>
            <w:bookmarkStart w:id="4" w:name="dtitle2" w:colFirst="0" w:colLast="0"/>
            <w:bookmarkEnd w:id="3"/>
          </w:p>
        </w:tc>
      </w:tr>
      <w:tr w:rsidR="00BD1614" w:rsidRPr="00B14451" w14:paraId="3488B00F" w14:textId="77777777" w:rsidTr="002E1AF7">
        <w:trPr>
          <w:cantSplit/>
          <w:jc w:val="center"/>
        </w:trPr>
        <w:tc>
          <w:tcPr>
            <w:tcW w:w="10031" w:type="dxa"/>
            <w:gridSpan w:val="2"/>
          </w:tcPr>
          <w:p w14:paraId="48DBD50A" w14:textId="420EA0AD" w:rsidR="00BD1614" w:rsidRPr="00B14451" w:rsidRDefault="00BD1614" w:rsidP="007A47E9">
            <w:pPr>
              <w:pStyle w:val="Agendaitem"/>
              <w:rPr>
                <w:lang w:val="fr-FR"/>
              </w:rPr>
            </w:pPr>
            <w:bookmarkStart w:id="5" w:name="dtitle3" w:colFirst="0" w:colLast="0"/>
            <w:bookmarkEnd w:id="4"/>
          </w:p>
        </w:tc>
      </w:tr>
    </w:tbl>
    <w:bookmarkEnd w:id="5"/>
    <w:p w14:paraId="7AD6F79A" w14:textId="550745AA" w:rsidR="000D15FB" w:rsidRPr="00B14451" w:rsidRDefault="004675EA" w:rsidP="009C2A18">
      <w:pPr>
        <w:pStyle w:val="Normalaftertitle"/>
      </w:pPr>
      <w:r w:rsidRPr="00B14451">
        <w:t>La Conférence mondiale de développement des télécommunications (CMDT-2</w:t>
      </w:r>
      <w:r w:rsidR="00B14451" w:rsidRPr="00B14451">
        <w:t>5</w:t>
      </w:r>
      <w:r w:rsidRPr="00B14451">
        <w:t xml:space="preserve">), qui s'est tenue du </w:t>
      </w:r>
      <w:r w:rsidR="00B14451" w:rsidRPr="00B14451">
        <w:t>17 au 28</w:t>
      </w:r>
      <w:r w:rsidR="009C2A18">
        <w:t xml:space="preserve"> </w:t>
      </w:r>
      <w:r w:rsidR="00B14451" w:rsidRPr="00B14451">
        <w:t>novembre 2025 à Bakou (Azerbaïdjan</w:t>
      </w:r>
      <w:r w:rsidRPr="00B14451">
        <w:t>), a adopté plusieurs Résolutions révisées</w:t>
      </w:r>
      <w:r w:rsidR="00B14451" w:rsidRPr="00B14451">
        <w:t xml:space="preserve"> et quatre (4) Résolutions nouvelles</w:t>
      </w:r>
      <w:r w:rsidRPr="00B14451">
        <w:t>, dont certaines sont portées à l'attention de la Conférence de plénipotentiaires. Le texte de ces Résolutions est reproduit en annexe.</w:t>
      </w:r>
    </w:p>
    <w:p w14:paraId="6E4B3DDB" w14:textId="2DB8EBBB" w:rsidR="00B14451" w:rsidRPr="00B14451" w:rsidRDefault="00B14451" w:rsidP="00E60DA1">
      <w:r w:rsidRPr="00B14451">
        <w:t xml:space="preserve">La liste complète des Résolutions adoptées à la CMDT-25 est disponible dans le </w:t>
      </w:r>
      <w:hyperlink r:id="rId9" w:history="1">
        <w:r w:rsidRPr="00B14451">
          <w:rPr>
            <w:rStyle w:val="Hyperlink"/>
          </w:rPr>
          <w:t>Rapport final de la Conférence mondiale de développement des télécommunications de 2025</w:t>
        </w:r>
      </w:hyperlink>
      <w:r w:rsidRPr="00B14451">
        <w:t>.</w:t>
      </w:r>
    </w:p>
    <w:p w14:paraId="682F22B1" w14:textId="6AE65070" w:rsidR="00B14451" w:rsidRPr="00B14451" w:rsidRDefault="00B14451" w:rsidP="009C2A18">
      <w:pPr>
        <w:pStyle w:val="Signature"/>
        <w:tabs>
          <w:tab w:val="clear" w:pos="7371"/>
          <w:tab w:val="center" w:pos="7088"/>
        </w:tabs>
        <w:spacing w:before="840"/>
        <w:rPr>
          <w:lang w:val="fr-FR"/>
        </w:rPr>
      </w:pPr>
      <w:r w:rsidRPr="00B14451">
        <w:rPr>
          <w:lang w:val="fr-FR"/>
        </w:rPr>
        <w:tab/>
        <w:t>Doreen Bogdan-Martin</w:t>
      </w:r>
      <w:r w:rsidRPr="00B14451">
        <w:rPr>
          <w:lang w:val="fr-FR"/>
        </w:rPr>
        <w:br/>
      </w:r>
      <w:r w:rsidRPr="00B14451">
        <w:rPr>
          <w:lang w:val="fr-FR"/>
        </w:rPr>
        <w:tab/>
      </w:r>
      <w:r>
        <w:rPr>
          <w:lang w:val="fr-FR"/>
        </w:rPr>
        <w:t>Secrétaire générale</w:t>
      </w:r>
    </w:p>
    <w:p w14:paraId="7352C826" w14:textId="2ED5528A" w:rsidR="00B14451" w:rsidRPr="00B14451" w:rsidRDefault="00B14451" w:rsidP="00B14451">
      <w:pPr>
        <w:pStyle w:val="Normalaftertitle"/>
        <w:spacing w:before="2400"/>
      </w:pPr>
      <w:r w:rsidRPr="00B14451">
        <w:rPr>
          <w:b/>
          <w:bCs/>
        </w:rPr>
        <w:t>Annex</w:t>
      </w:r>
      <w:r>
        <w:rPr>
          <w:b/>
          <w:bCs/>
        </w:rPr>
        <w:t>e</w:t>
      </w:r>
      <w:r w:rsidRPr="00B14451">
        <w:rPr>
          <w:b/>
          <w:bCs/>
        </w:rPr>
        <w:t xml:space="preserve">: </w:t>
      </w:r>
      <w:r w:rsidRPr="00B14451">
        <w:t>1</w:t>
      </w:r>
    </w:p>
    <w:p w14:paraId="62A4DC23" w14:textId="77777777" w:rsidR="00E42511" w:rsidRDefault="00BD1614" w:rsidP="00E42511">
      <w:r w:rsidRPr="00B14451">
        <w:br w:type="page"/>
      </w:r>
    </w:p>
    <w:p w14:paraId="78679B12" w14:textId="1F4CDC1C" w:rsidR="00DF7EFF" w:rsidRPr="00DD5DF4" w:rsidRDefault="00DF7EFF" w:rsidP="00DF7EFF">
      <w:pPr>
        <w:pStyle w:val="AnnexNo"/>
      </w:pPr>
      <w:r w:rsidRPr="00DD5DF4">
        <w:lastRenderedPageBreak/>
        <w:t>ANNEX</w:t>
      </w:r>
      <w:r>
        <w:t>E</w:t>
      </w:r>
    </w:p>
    <w:p w14:paraId="39B50A5C" w14:textId="44E3E596" w:rsidR="00DF7EFF" w:rsidRPr="009B1E46" w:rsidRDefault="00DF7EFF" w:rsidP="009C2A18">
      <w:pPr>
        <w:pStyle w:val="Annextitle"/>
        <w:spacing w:before="120"/>
      </w:pPr>
      <w:r w:rsidRPr="00DF7EFF">
        <w:t>Résolutions de la Conférence mondiale de développement</w:t>
      </w:r>
      <w:r w:rsidR="009C2A18">
        <w:t xml:space="preserve"> </w:t>
      </w:r>
      <w:r w:rsidRPr="00DF7EFF">
        <w:t>des</w:t>
      </w:r>
      <w:r w:rsidR="009C2A18">
        <w:br/>
      </w:r>
      <w:r w:rsidRPr="00DF7EFF">
        <w:t>télécommunications (CMDT-25) portées à l'attention</w:t>
      </w:r>
      <w:r w:rsidR="009C2A18">
        <w:br/>
      </w:r>
      <w:r w:rsidRPr="00DF7EFF">
        <w:t>de</w:t>
      </w:r>
      <w:r w:rsidR="009C2A18">
        <w:t>b</w:t>
      </w:r>
      <w:r w:rsidRPr="00DF7EFF">
        <w:t xml:space="preserve"> la Conférence de plénipotentiaires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2"/>
        <w:gridCol w:w="7373"/>
      </w:tblGrid>
      <w:tr w:rsidR="00DF7EFF" w:rsidRPr="009B1E46" w14:paraId="0F818F90" w14:textId="77777777" w:rsidTr="009C2A18">
        <w:trPr>
          <w:cantSplit/>
          <w:tblHeader/>
        </w:trPr>
        <w:tc>
          <w:tcPr>
            <w:tcW w:w="1174" w:type="pct"/>
            <w:noWrap/>
            <w:vAlign w:val="center"/>
          </w:tcPr>
          <w:p w14:paraId="715B38F8" w14:textId="3604D730" w:rsidR="00DF7EFF" w:rsidRPr="009B1E46" w:rsidRDefault="00DF7EFF" w:rsidP="009C2A18">
            <w:pPr>
              <w:pStyle w:val="Tablehead"/>
              <w:spacing w:before="80" w:after="80"/>
            </w:pPr>
            <w:r>
              <w:t>Résolution</w:t>
            </w:r>
          </w:p>
        </w:tc>
        <w:tc>
          <w:tcPr>
            <w:tcW w:w="3826" w:type="pct"/>
          </w:tcPr>
          <w:p w14:paraId="53A58238" w14:textId="51E233F2" w:rsidR="00DF7EFF" w:rsidRPr="009B1E46" w:rsidRDefault="00DF7EFF" w:rsidP="009C2A18">
            <w:pPr>
              <w:pStyle w:val="Tablehead"/>
              <w:spacing w:before="80" w:after="80"/>
            </w:pPr>
            <w:r>
              <w:t>Titre</w:t>
            </w:r>
          </w:p>
        </w:tc>
      </w:tr>
      <w:tr w:rsidR="00DF7EFF" w:rsidRPr="005E7210" w14:paraId="11580BDC" w14:textId="77777777" w:rsidTr="009C2A18">
        <w:trPr>
          <w:cantSplit/>
        </w:trPr>
        <w:tc>
          <w:tcPr>
            <w:tcW w:w="1174" w:type="pct"/>
            <w:noWrap/>
            <w:vAlign w:val="center"/>
          </w:tcPr>
          <w:p w14:paraId="786D4C65" w14:textId="1B1C01F7" w:rsidR="00DF7EFF" w:rsidRDefault="00DF7EFF" w:rsidP="009C2A18">
            <w:pPr>
              <w:pStyle w:val="Tabletext"/>
              <w:spacing w:before="40" w:after="40"/>
              <w:jc w:val="center"/>
            </w:pPr>
            <w:hyperlink r:id="rId10" w:anchor="page=201&amp;zoom=100,296,69" w:history="1">
              <w:r w:rsidRPr="00401C59">
                <w:rPr>
                  <w:rStyle w:val="Hyperlink"/>
                </w:rPr>
                <w:t>5 (</w:t>
              </w:r>
              <w:r>
                <w:rPr>
                  <w:rStyle w:val="Hyperlink"/>
                </w:rPr>
                <w:t>Rév.</w:t>
              </w:r>
              <w:r w:rsidRPr="00401C59">
                <w:rPr>
                  <w:rStyle w:val="Hyperlink"/>
                </w:rPr>
                <w:t xml:space="preserve"> </w:t>
              </w:r>
              <w:r>
                <w:rPr>
                  <w:rStyle w:val="Hyperlink"/>
                </w:rPr>
                <w:t>Bakou</w:t>
              </w:r>
              <w:r w:rsidRPr="00401C59">
                <w:rPr>
                  <w:rStyle w:val="Hyperlink"/>
                </w:rPr>
                <w:t>, 2025)</w:t>
              </w:r>
            </w:hyperlink>
          </w:p>
        </w:tc>
        <w:tc>
          <w:tcPr>
            <w:tcW w:w="3826" w:type="pct"/>
          </w:tcPr>
          <w:p w14:paraId="1418AAAB" w14:textId="30A523EA" w:rsidR="00DF7EFF" w:rsidRDefault="00DF7EFF" w:rsidP="009C2A18">
            <w:pPr>
              <w:pStyle w:val="Tabletext"/>
              <w:spacing w:before="40" w:after="40"/>
            </w:pPr>
            <w:r w:rsidRPr="00DF7EFF">
              <w:t>Renforcement de la participation des pays en développement aux activités de</w:t>
            </w:r>
            <w:r w:rsidR="009C2A18">
              <w:t> </w:t>
            </w:r>
            <w:r w:rsidRPr="00DF7EFF">
              <w:t>l'UIT</w:t>
            </w:r>
          </w:p>
        </w:tc>
      </w:tr>
      <w:tr w:rsidR="00DF7EFF" w:rsidRPr="005E7210" w14:paraId="4A1F754E" w14:textId="77777777" w:rsidTr="009C2A18">
        <w:trPr>
          <w:cantSplit/>
        </w:trPr>
        <w:tc>
          <w:tcPr>
            <w:tcW w:w="1174" w:type="pct"/>
            <w:noWrap/>
            <w:vAlign w:val="center"/>
          </w:tcPr>
          <w:p w14:paraId="79CBB110" w14:textId="2E442C36" w:rsidR="00DF7EFF" w:rsidRDefault="00DF7EFF" w:rsidP="009C2A18">
            <w:pPr>
              <w:pStyle w:val="Tabletext"/>
              <w:spacing w:before="40" w:after="40"/>
              <w:jc w:val="center"/>
            </w:pPr>
            <w:hyperlink r:id="rId11" w:anchor="page=251&amp;zoom=100,288,69" w:history="1">
              <w:r w:rsidRPr="00401C59">
                <w:rPr>
                  <w:rStyle w:val="Hyperlink"/>
                </w:rPr>
                <w:t>16 (</w:t>
              </w:r>
              <w:r>
                <w:rPr>
                  <w:rStyle w:val="Hyperlink"/>
                </w:rPr>
                <w:t>Rév.</w:t>
              </w:r>
              <w:r w:rsidRPr="00401C59">
                <w:rPr>
                  <w:rStyle w:val="Hyperlink"/>
                </w:rPr>
                <w:t xml:space="preserve"> </w:t>
              </w:r>
              <w:r>
                <w:rPr>
                  <w:rStyle w:val="Hyperlink"/>
                </w:rPr>
                <w:t>Bakou</w:t>
              </w:r>
              <w:r w:rsidRPr="00401C59">
                <w:rPr>
                  <w:rStyle w:val="Hyperlink"/>
                </w:rPr>
                <w:t>, 2025)</w:t>
              </w:r>
            </w:hyperlink>
          </w:p>
        </w:tc>
        <w:tc>
          <w:tcPr>
            <w:tcW w:w="3826" w:type="pct"/>
          </w:tcPr>
          <w:p w14:paraId="1654B138" w14:textId="0D625765" w:rsidR="00DF7EFF" w:rsidRDefault="00DF7EFF" w:rsidP="009C2A18">
            <w:pPr>
              <w:pStyle w:val="Tabletext"/>
              <w:spacing w:before="40" w:after="40"/>
            </w:pPr>
            <w:r w:rsidRPr="00DF7EFF">
              <w:t>Mesures spéciales en faveur des pays les moins avancés, des petits États insulaires en développement, des pays en développement sans littoral et des pays dont l'économie est en transition</w:t>
            </w:r>
          </w:p>
        </w:tc>
      </w:tr>
      <w:tr w:rsidR="00DF7EFF" w:rsidRPr="005E7210" w14:paraId="16393050" w14:textId="77777777" w:rsidTr="009C2A18">
        <w:trPr>
          <w:cantSplit/>
        </w:trPr>
        <w:tc>
          <w:tcPr>
            <w:tcW w:w="1174" w:type="pct"/>
            <w:noWrap/>
            <w:vAlign w:val="center"/>
          </w:tcPr>
          <w:p w14:paraId="33E40183" w14:textId="02BEFB34" w:rsidR="00DF7EFF" w:rsidRDefault="00DF7EFF" w:rsidP="009C2A18">
            <w:pPr>
              <w:pStyle w:val="Tabletext"/>
              <w:spacing w:before="40" w:after="40"/>
              <w:jc w:val="center"/>
            </w:pPr>
            <w:hyperlink r:id="rId12" w:anchor="page=259&amp;zoom=100,288,69" w:history="1">
              <w:r w:rsidRPr="004043CD">
                <w:rPr>
                  <w:rStyle w:val="Hyperlink"/>
                </w:rPr>
                <w:t>17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4D1ABFB4" w14:textId="0DBF5EBB" w:rsidR="00DF7EFF" w:rsidRDefault="00DF7EFF" w:rsidP="009C2A18">
            <w:pPr>
              <w:pStyle w:val="Tabletext"/>
              <w:spacing w:before="40" w:after="40"/>
            </w:pPr>
            <w:r w:rsidRPr="00DF7EFF">
              <w:t>Mobilisation des ressources, mise en œuvre et coopération en ce qui concerne les initiatives régionales approuvées</w:t>
            </w:r>
          </w:p>
        </w:tc>
      </w:tr>
      <w:tr w:rsidR="00DF7EFF" w:rsidRPr="005E7210" w14:paraId="69BDA2BB" w14:textId="77777777" w:rsidTr="009C2A18">
        <w:trPr>
          <w:cantSplit/>
        </w:trPr>
        <w:tc>
          <w:tcPr>
            <w:tcW w:w="1174" w:type="pct"/>
            <w:noWrap/>
            <w:vAlign w:val="center"/>
          </w:tcPr>
          <w:p w14:paraId="2AFF3153" w14:textId="38951D6A" w:rsidR="00DF7EFF" w:rsidRDefault="00DF7EFF" w:rsidP="009C2A18">
            <w:pPr>
              <w:pStyle w:val="Tabletext"/>
              <w:spacing w:before="40" w:after="40"/>
              <w:jc w:val="center"/>
            </w:pPr>
            <w:hyperlink r:id="rId13" w:anchor="page=268&amp;zoom=100,288,69" w:history="1">
              <w:r w:rsidRPr="004043CD">
                <w:rPr>
                  <w:rStyle w:val="Hyperlink"/>
                </w:rPr>
                <w:t>18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1B1402D7" w14:textId="5E3662F4" w:rsidR="00DF7EFF" w:rsidRPr="00E06986" w:rsidRDefault="00DF7EFF" w:rsidP="009C2A18">
            <w:pPr>
              <w:pStyle w:val="Tabletext"/>
              <w:spacing w:before="40" w:after="40"/>
            </w:pPr>
            <w:r w:rsidRPr="00DF7EFF">
              <w:t>Assistance technique spéciale à la Palestine</w:t>
            </w:r>
          </w:p>
        </w:tc>
      </w:tr>
      <w:tr w:rsidR="00DF7EFF" w:rsidRPr="005E7210" w14:paraId="08B8F7CF" w14:textId="77777777" w:rsidTr="009C2A18">
        <w:trPr>
          <w:cantSplit/>
        </w:trPr>
        <w:tc>
          <w:tcPr>
            <w:tcW w:w="1174" w:type="pct"/>
            <w:noWrap/>
            <w:vAlign w:val="center"/>
          </w:tcPr>
          <w:p w14:paraId="2B18DBB7" w14:textId="0F0BCF24" w:rsidR="00DF7EFF" w:rsidRPr="005E7210" w:rsidRDefault="00DF7EFF" w:rsidP="009C2A18">
            <w:pPr>
              <w:pStyle w:val="Tabletext"/>
              <w:spacing w:before="40" w:after="40"/>
              <w:jc w:val="center"/>
            </w:pPr>
            <w:hyperlink r:id="rId14" w:anchor="page=306&amp;zoom=100,72,104" w:history="1">
              <w:r w:rsidRPr="004043CD">
                <w:rPr>
                  <w:rStyle w:val="Hyperlink"/>
                </w:rPr>
                <w:t>30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73B1D804" w14:textId="1CAAA231" w:rsidR="00DF7EFF" w:rsidRPr="00107B4F" w:rsidRDefault="00DF7EFF" w:rsidP="009C2A18">
            <w:pPr>
              <w:pStyle w:val="Tabletext"/>
              <w:spacing w:before="40" w:after="40"/>
            </w:pPr>
            <w:r w:rsidRPr="00DF7EFF">
              <w:t>Rôle du Secteur du développement des télécommunications de l'UIT dans la mise en œuvre des résultats du Sommet mondial sur la société de l'information et du Programme de développement durable à l'horizon 2030</w:t>
            </w:r>
          </w:p>
        </w:tc>
      </w:tr>
      <w:tr w:rsidR="00DF7EFF" w:rsidRPr="005E7210" w14:paraId="6FC291B5" w14:textId="77777777" w:rsidTr="009C2A18">
        <w:trPr>
          <w:cantSplit/>
        </w:trPr>
        <w:tc>
          <w:tcPr>
            <w:tcW w:w="1174" w:type="pct"/>
            <w:noWrap/>
            <w:vAlign w:val="center"/>
          </w:tcPr>
          <w:p w14:paraId="3B077879" w14:textId="4AEB361B" w:rsidR="00DF7EFF" w:rsidRPr="005E7210" w:rsidRDefault="00DF7EFF" w:rsidP="009C2A18">
            <w:pPr>
              <w:pStyle w:val="Tabletext"/>
              <w:spacing w:before="40" w:after="40"/>
              <w:jc w:val="center"/>
            </w:pPr>
            <w:hyperlink r:id="rId15" w:anchor="page=324&amp;zoom=100,288,69" w:history="1">
              <w:r w:rsidRPr="004043CD">
                <w:rPr>
                  <w:rStyle w:val="Hyperlink"/>
                </w:rPr>
                <w:t>34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28A57D3F" w14:textId="7CE511B5" w:rsidR="00DF7EFF" w:rsidRPr="00107B4F" w:rsidRDefault="00DF7EFF" w:rsidP="009C2A18">
            <w:pPr>
              <w:pStyle w:val="Tabletext"/>
              <w:spacing w:before="40" w:after="40"/>
            </w:pPr>
            <w:r w:rsidRPr="00DF7EFF">
              <w:t>Rôle des télécommunications et des technologies de l'information et de la communication dans la préparation en prévision des catastrophes, l'alerte avancée, l'atténuation des effets des catastrophes, les interventions et les opérations de secours</w:t>
            </w:r>
          </w:p>
        </w:tc>
      </w:tr>
      <w:tr w:rsidR="00DF7EFF" w:rsidRPr="005E7210" w14:paraId="379AEE2D" w14:textId="77777777" w:rsidTr="009C2A18">
        <w:trPr>
          <w:cantSplit/>
        </w:trPr>
        <w:tc>
          <w:tcPr>
            <w:tcW w:w="1174" w:type="pct"/>
            <w:noWrap/>
            <w:vAlign w:val="center"/>
          </w:tcPr>
          <w:p w14:paraId="165CB2F5" w14:textId="63BC5CA3" w:rsidR="00DF7EFF" w:rsidRDefault="00DF7EFF" w:rsidP="009C2A18">
            <w:pPr>
              <w:pStyle w:val="Tabletext"/>
              <w:spacing w:before="40" w:after="40"/>
              <w:jc w:val="center"/>
            </w:pPr>
            <w:hyperlink r:id="rId16" w:anchor="page=379&amp;zoom=100,288,69" w:history="1">
              <w:r w:rsidRPr="004043CD">
                <w:rPr>
                  <w:rStyle w:val="Hyperlink"/>
                </w:rPr>
                <w:t>45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225BD22E" w14:textId="06D9F866" w:rsidR="00DF7EFF" w:rsidRDefault="00DF7EFF" w:rsidP="009C2A18">
            <w:pPr>
              <w:pStyle w:val="Tabletext"/>
              <w:spacing w:before="40" w:after="40"/>
            </w:pPr>
            <w:r w:rsidRPr="00DF7EFF">
              <w:t>Mécanismes propres à améliorer la coopération en matière de cybersécurité, y</w:t>
            </w:r>
            <w:r w:rsidR="009C2A18">
              <w:t> </w:t>
            </w:r>
            <w:r w:rsidRPr="00DF7EFF">
              <w:t>compris la lutte contre le spam</w:t>
            </w:r>
          </w:p>
        </w:tc>
      </w:tr>
      <w:tr w:rsidR="00DF7EFF" w:rsidRPr="005E7210" w14:paraId="2A2B46FB" w14:textId="77777777" w:rsidTr="009C2A18">
        <w:trPr>
          <w:cantSplit/>
        </w:trPr>
        <w:tc>
          <w:tcPr>
            <w:tcW w:w="1174" w:type="pct"/>
            <w:noWrap/>
            <w:vAlign w:val="center"/>
          </w:tcPr>
          <w:p w14:paraId="4DB0086B" w14:textId="5CE57714" w:rsidR="00DF7EFF" w:rsidRPr="005E7210" w:rsidRDefault="00DF7EFF" w:rsidP="009C2A18">
            <w:pPr>
              <w:pStyle w:val="Tabletext"/>
              <w:spacing w:before="40" w:after="40"/>
              <w:jc w:val="center"/>
            </w:pPr>
            <w:hyperlink r:id="rId17" w:anchor="page=394&amp;zoom=100,288,69" w:history="1">
              <w:r w:rsidRPr="004043CD">
                <w:rPr>
                  <w:rStyle w:val="Hyperlink"/>
                </w:rPr>
                <w:t>46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753FC311" w14:textId="72C8CE3F" w:rsidR="00DF7EFF" w:rsidRPr="005E7210" w:rsidRDefault="00DF7EFF" w:rsidP="009C2A18">
            <w:pPr>
              <w:pStyle w:val="Tabletext"/>
              <w:spacing w:before="40" w:after="40"/>
            </w:pPr>
            <w:r w:rsidRPr="00DF7EFF">
              <w:t>Assistance en faveur des peuples et des communautés autochtones par le biais des technologies de l'information et de la communication</w:t>
            </w:r>
          </w:p>
        </w:tc>
      </w:tr>
      <w:tr w:rsidR="00DF7EFF" w:rsidRPr="005E7210" w14:paraId="21A237A6" w14:textId="77777777" w:rsidTr="009C2A18">
        <w:trPr>
          <w:cantSplit/>
        </w:trPr>
        <w:tc>
          <w:tcPr>
            <w:tcW w:w="1174" w:type="pct"/>
            <w:noWrap/>
            <w:vAlign w:val="center"/>
          </w:tcPr>
          <w:p w14:paraId="594EE2EC" w14:textId="5225FCDB" w:rsidR="00DF7EFF" w:rsidRPr="005E7210" w:rsidRDefault="00DF7EFF" w:rsidP="009C2A18">
            <w:pPr>
              <w:pStyle w:val="Tabletext"/>
              <w:spacing w:before="40" w:after="40"/>
              <w:jc w:val="center"/>
            </w:pPr>
            <w:hyperlink r:id="rId18" w:anchor="page=410&amp;zoom=100,288,69" w:history="1">
              <w:r w:rsidRPr="004043CD">
                <w:rPr>
                  <w:rStyle w:val="Hyperlink"/>
                </w:rPr>
                <w:t>48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42646C79" w14:textId="67E0E623" w:rsidR="00DF7EFF" w:rsidRPr="005E7210" w:rsidRDefault="00DF7EFF" w:rsidP="009C2A18">
            <w:pPr>
              <w:pStyle w:val="Tabletext"/>
              <w:spacing w:before="40" w:after="40"/>
            </w:pPr>
            <w:r w:rsidRPr="00DF7EFF">
              <w:t>Renforcement de la coopération entre régulateurs de télécommunications</w:t>
            </w:r>
          </w:p>
        </w:tc>
      </w:tr>
      <w:tr w:rsidR="00DF7EFF" w:rsidRPr="005E7210" w14:paraId="407B122E" w14:textId="77777777" w:rsidTr="009C2A18">
        <w:trPr>
          <w:cantSplit/>
        </w:trPr>
        <w:tc>
          <w:tcPr>
            <w:tcW w:w="1174" w:type="pct"/>
            <w:noWrap/>
            <w:vAlign w:val="center"/>
          </w:tcPr>
          <w:p w14:paraId="673D9F0A" w14:textId="42B07E85" w:rsidR="00DF7EFF" w:rsidRPr="00F5732C" w:rsidRDefault="00DF7EFF" w:rsidP="009C2A18">
            <w:pPr>
              <w:pStyle w:val="Tabletext"/>
              <w:spacing w:before="40" w:after="40"/>
              <w:jc w:val="center"/>
            </w:pPr>
            <w:hyperlink r:id="rId19" w:anchor="page=422&amp;zoom=100,288,69" w:history="1">
              <w:r w:rsidRPr="004043CD">
                <w:rPr>
                  <w:rStyle w:val="Hyperlink"/>
                </w:rPr>
                <w:t>55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420B2444" w14:textId="03FAA0A7" w:rsidR="00DF7EFF" w:rsidRDefault="00DF7EFF" w:rsidP="009C2A18">
            <w:pPr>
              <w:pStyle w:val="Tabletext"/>
              <w:spacing w:before="40" w:after="40"/>
            </w:pPr>
            <w:r w:rsidRPr="00DF7EFF">
              <w:t>Intégration du principe de l'égalité hommes-femmes au sein du Secteur du développement des télécommunications de l'UIT, promotion de l'égalité hommes-femmes et autonomisation des femmes et des jeunes filles grâce aux télécommunications/technologies de l'information et de la communication</w:t>
            </w:r>
          </w:p>
        </w:tc>
      </w:tr>
      <w:tr w:rsidR="00DF7EFF" w:rsidRPr="005E7210" w14:paraId="58D2BADB" w14:textId="77777777" w:rsidTr="009C2A18">
        <w:trPr>
          <w:cantSplit/>
        </w:trPr>
        <w:tc>
          <w:tcPr>
            <w:tcW w:w="1174" w:type="pct"/>
            <w:noWrap/>
            <w:vAlign w:val="center"/>
          </w:tcPr>
          <w:p w14:paraId="4C754182" w14:textId="7A474C34" w:rsidR="00DF7EFF" w:rsidRPr="00F5732C" w:rsidRDefault="00DF7EFF" w:rsidP="009C2A18">
            <w:pPr>
              <w:pStyle w:val="Tabletext"/>
              <w:spacing w:before="40" w:after="40"/>
              <w:jc w:val="center"/>
            </w:pPr>
            <w:hyperlink r:id="rId20" w:anchor="page=436&amp;zoom=100,288,69" w:history="1">
              <w:r w:rsidRPr="004043CD">
                <w:rPr>
                  <w:rStyle w:val="Hyperlink"/>
                </w:rPr>
                <w:t>58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495EE70D" w14:textId="55246A02" w:rsidR="00DF7EFF" w:rsidRPr="00D813C0" w:rsidRDefault="00DF7EFF" w:rsidP="009C2A18">
            <w:pPr>
              <w:pStyle w:val="Tabletext"/>
              <w:spacing w:before="40" w:after="40"/>
            </w:pPr>
            <w:r w:rsidRPr="00DF7EFF">
              <w:t>Accessibilité des télécommunications/technologies de l'information et de la communication pour les personnes handicapées et les personnes ayant des besoins particuliers</w:t>
            </w:r>
          </w:p>
        </w:tc>
      </w:tr>
      <w:tr w:rsidR="00DF7EFF" w:rsidRPr="005E7210" w14:paraId="49DC1F7F" w14:textId="77777777" w:rsidTr="009C2A18">
        <w:trPr>
          <w:cantSplit/>
        </w:trPr>
        <w:tc>
          <w:tcPr>
            <w:tcW w:w="1174" w:type="pct"/>
            <w:noWrap/>
            <w:vAlign w:val="center"/>
          </w:tcPr>
          <w:p w14:paraId="27575B4C" w14:textId="2AF3B67B" w:rsidR="00DF7EFF" w:rsidRPr="005E7210" w:rsidRDefault="00DF7EFF" w:rsidP="009C2A18">
            <w:pPr>
              <w:pStyle w:val="Tabletext"/>
              <w:spacing w:before="40" w:after="40"/>
              <w:jc w:val="center"/>
            </w:pPr>
            <w:hyperlink r:id="rId21" w:anchor="page=521&amp;zoom=100,288,69" w:history="1">
              <w:r w:rsidRPr="004043CD">
                <w:rPr>
                  <w:rStyle w:val="Hyperlink"/>
                </w:rPr>
                <w:t>76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4E811A55" w14:textId="3FF4C3E5" w:rsidR="00DF7EFF" w:rsidRPr="005E7210" w:rsidRDefault="00DF7EFF" w:rsidP="009C2A18">
            <w:pPr>
              <w:pStyle w:val="Tabletext"/>
              <w:spacing w:before="40" w:after="40"/>
            </w:pPr>
            <w:r w:rsidRPr="00DF7EFF">
              <w:t>Promouvoir l'utilisation des technologies de l'information et de la communication au service de l'autonomisation socio-économique des jeunes femmes et des jeunes hommes</w:t>
            </w:r>
          </w:p>
        </w:tc>
      </w:tr>
      <w:tr w:rsidR="00DF7EFF" w:rsidRPr="005E7210" w14:paraId="06793518" w14:textId="77777777" w:rsidTr="009C2A18">
        <w:trPr>
          <w:cantSplit/>
        </w:trPr>
        <w:tc>
          <w:tcPr>
            <w:tcW w:w="1174" w:type="pct"/>
            <w:noWrap/>
            <w:vAlign w:val="center"/>
          </w:tcPr>
          <w:p w14:paraId="1CB12534" w14:textId="2D3CCCBA" w:rsidR="00DF7EFF" w:rsidRDefault="00DF7EFF" w:rsidP="009C2A18">
            <w:pPr>
              <w:pStyle w:val="Tabletext"/>
              <w:spacing w:before="40" w:after="40"/>
              <w:jc w:val="center"/>
            </w:pPr>
            <w:hyperlink r:id="rId22" w:anchor="page=555&amp;zoom=100,288,69" w:history="1">
              <w:r w:rsidRPr="004043CD">
                <w:rPr>
                  <w:rStyle w:val="Hyperlink"/>
                </w:rPr>
                <w:t>82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689064D5" w14:textId="1737B739" w:rsidR="00DF7EFF" w:rsidRDefault="00DF7EFF" w:rsidP="009C2A18">
            <w:pPr>
              <w:pStyle w:val="Tabletext"/>
              <w:spacing w:before="40" w:after="40"/>
            </w:pPr>
            <w:r w:rsidRPr="00DF7EFF">
              <w:t>Préserver et promouvoir le multilinguisme sur l'Internet en faveur d'une société de l'information inclusive</w:t>
            </w:r>
          </w:p>
        </w:tc>
      </w:tr>
      <w:tr w:rsidR="00DF7EFF" w:rsidRPr="005E7210" w14:paraId="471342A1" w14:textId="77777777" w:rsidTr="009C2A18">
        <w:trPr>
          <w:cantSplit/>
        </w:trPr>
        <w:tc>
          <w:tcPr>
            <w:tcW w:w="1174" w:type="pct"/>
            <w:noWrap/>
            <w:vAlign w:val="center"/>
          </w:tcPr>
          <w:p w14:paraId="72F69AE7" w14:textId="25ED9E28" w:rsidR="00DF7EFF" w:rsidRDefault="00DF7EFF" w:rsidP="009C2A18">
            <w:pPr>
              <w:pStyle w:val="Tabletext"/>
              <w:spacing w:before="40" w:after="40"/>
              <w:jc w:val="center"/>
            </w:pPr>
            <w:hyperlink r:id="rId23" w:anchor="page=566&amp;zoom=100,288,69" w:history="1">
              <w:r w:rsidRPr="004043CD">
                <w:rPr>
                  <w:rStyle w:val="Hyperlink"/>
                </w:rPr>
                <w:t>83 (</w:t>
              </w:r>
              <w:r>
                <w:rPr>
                  <w:rStyle w:val="Hyperlink"/>
                </w:rPr>
                <w:t>Rév.</w:t>
              </w:r>
              <w:r w:rsidRPr="004043CD">
                <w:rPr>
                  <w:rStyle w:val="Hyperlink"/>
                </w:rPr>
                <w:t xml:space="preserve"> </w:t>
              </w:r>
              <w:r>
                <w:rPr>
                  <w:rStyle w:val="Hyperlink"/>
                </w:rPr>
                <w:t>Bakou</w:t>
              </w:r>
              <w:r w:rsidRPr="004043CD">
                <w:rPr>
                  <w:rStyle w:val="Hyperlink"/>
                </w:rPr>
                <w:t>, 2025)</w:t>
              </w:r>
            </w:hyperlink>
          </w:p>
        </w:tc>
        <w:tc>
          <w:tcPr>
            <w:tcW w:w="3826" w:type="pct"/>
          </w:tcPr>
          <w:p w14:paraId="464B0533" w14:textId="19E4BC0F" w:rsidR="00DF7EFF" w:rsidRPr="0025720C" w:rsidRDefault="00DF7EFF" w:rsidP="009C2A18">
            <w:pPr>
              <w:pStyle w:val="Tabletext"/>
              <w:spacing w:before="40" w:after="40"/>
            </w:pPr>
            <w:r w:rsidRPr="00DF7EFF">
              <w:t>Assistance spéciale et appui au Gouvernement de la Libye pour la reconstruction de ses réseaux de télécommunication</w:t>
            </w:r>
          </w:p>
        </w:tc>
      </w:tr>
      <w:tr w:rsidR="00DF7EFF" w:rsidRPr="005E7210" w14:paraId="715BF5F7" w14:textId="77777777" w:rsidTr="009C2A18">
        <w:trPr>
          <w:cantSplit/>
        </w:trPr>
        <w:tc>
          <w:tcPr>
            <w:tcW w:w="1174" w:type="pct"/>
            <w:noWrap/>
            <w:vAlign w:val="center"/>
          </w:tcPr>
          <w:p w14:paraId="48EFF0CE" w14:textId="2D08794C" w:rsidR="00DF7EFF" w:rsidRDefault="00DF7EFF" w:rsidP="009C2A18">
            <w:pPr>
              <w:pStyle w:val="Tabletext"/>
              <w:widowControl w:val="0"/>
              <w:spacing w:before="40" w:after="40"/>
              <w:jc w:val="center"/>
            </w:pPr>
            <w:hyperlink r:id="rId24" w:anchor="page=607&amp;zoom=100,316,69" w:history="1">
              <w:r w:rsidRPr="004043CD">
                <w:rPr>
                  <w:rStyle w:val="Hyperlink"/>
                </w:rPr>
                <w:t>93 (</w:t>
              </w:r>
              <w:r>
                <w:rPr>
                  <w:rStyle w:val="Hyperlink"/>
                </w:rPr>
                <w:t>Bakou</w:t>
              </w:r>
              <w:r w:rsidRPr="004043CD">
                <w:rPr>
                  <w:rStyle w:val="Hyperlink"/>
                </w:rPr>
                <w:t>, 2025)</w:t>
              </w:r>
            </w:hyperlink>
          </w:p>
        </w:tc>
        <w:tc>
          <w:tcPr>
            <w:tcW w:w="3826" w:type="pct"/>
          </w:tcPr>
          <w:p w14:paraId="37F5F244" w14:textId="75EB7525" w:rsidR="00DF7EFF" w:rsidRDefault="00DF7EFF" w:rsidP="009C2A18">
            <w:pPr>
              <w:pStyle w:val="Tabletext"/>
              <w:widowControl w:val="0"/>
              <w:spacing w:before="40" w:after="40"/>
            </w:pPr>
            <w:r w:rsidRPr="00DF7EFF">
              <w:t>Fourniture au Soudan d'une assistance et d'un appui pour la reconstruction de ses infrastructures de télécommunication/technologies de l'information et de la communication endommagées et la réduction de la fracture numérique</w:t>
            </w:r>
          </w:p>
        </w:tc>
      </w:tr>
    </w:tbl>
    <w:p w14:paraId="41D2DBEE" w14:textId="6BE88CD8" w:rsidR="00BD1614" w:rsidRPr="00B14451" w:rsidRDefault="00204C61" w:rsidP="00B63C1E">
      <w:pPr>
        <w:widowControl w:val="0"/>
        <w:jc w:val="center"/>
      </w:pPr>
      <w:r>
        <w:t>______________</w:t>
      </w:r>
    </w:p>
    <w:sectPr w:rsidR="00BD1614" w:rsidRPr="00B14451" w:rsidSect="003A0B7D">
      <w:headerReference w:type="default" r:id="rId25"/>
      <w:footerReference w:type="first" r:id="rId26"/>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D6E37" w14:textId="77777777" w:rsidR="0016170A" w:rsidRDefault="0016170A">
      <w:r>
        <w:separator/>
      </w:r>
    </w:p>
  </w:endnote>
  <w:endnote w:type="continuationSeparator" w:id="0">
    <w:p w14:paraId="1E4EC6BB" w14:textId="77777777" w:rsidR="0016170A" w:rsidRDefault="00161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1CCA4E47"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DB5568">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7985A" w14:textId="77777777" w:rsidR="0016170A" w:rsidRDefault="0016170A">
      <w:r>
        <w:t>____________________</w:t>
      </w:r>
    </w:p>
  </w:footnote>
  <w:footnote w:type="continuationSeparator" w:id="0">
    <w:p w14:paraId="4BC2413B" w14:textId="77777777" w:rsidR="0016170A" w:rsidRDefault="00161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6A18B9F2" w:rsidR="00BD1614" w:rsidRDefault="00BD1614" w:rsidP="001E2226">
    <w:pPr>
      <w:pStyle w:val="Header"/>
    </w:pPr>
    <w:r>
      <w:t>PP</w:t>
    </w:r>
    <w:r w:rsidR="002A7A1D">
      <w:t>2</w:t>
    </w:r>
    <w:r w:rsidR="008407A7">
      <w:t>6</w:t>
    </w:r>
    <w:r>
      <w:t>/</w:t>
    </w:r>
    <w:r w:rsidR="00B14451">
      <w:t>58</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28F2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3A80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10610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BEB4E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8606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A225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0225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CAFE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0E6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F05A3C"/>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 w:numId="11" w16cid:durableId="1846358313">
    <w:abstractNumId w:val="8"/>
  </w:num>
  <w:num w:numId="12" w16cid:durableId="860584133">
    <w:abstractNumId w:val="3"/>
  </w:num>
  <w:num w:numId="13" w16cid:durableId="1811047705">
    <w:abstractNumId w:val="2"/>
  </w:num>
  <w:num w:numId="14" w16cid:durableId="2022850608">
    <w:abstractNumId w:val="1"/>
  </w:num>
  <w:num w:numId="15" w16cid:durableId="1828085194">
    <w:abstractNumId w:val="0"/>
  </w:num>
  <w:num w:numId="16" w16cid:durableId="646133864">
    <w:abstractNumId w:val="8"/>
  </w:num>
  <w:num w:numId="17" w16cid:durableId="1024331791">
    <w:abstractNumId w:val="3"/>
  </w:num>
  <w:num w:numId="18" w16cid:durableId="2019847030">
    <w:abstractNumId w:val="2"/>
  </w:num>
  <w:num w:numId="19" w16cid:durableId="1242135788">
    <w:abstractNumId w:val="1"/>
  </w:num>
  <w:num w:numId="20" w16cid:durableId="493029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354EA"/>
    <w:rsid w:val="00136FCE"/>
    <w:rsid w:val="00153BA4"/>
    <w:rsid w:val="0016170A"/>
    <w:rsid w:val="001941AD"/>
    <w:rsid w:val="0019732C"/>
    <w:rsid w:val="001A0682"/>
    <w:rsid w:val="001B4D8D"/>
    <w:rsid w:val="001C3790"/>
    <w:rsid w:val="001D31B2"/>
    <w:rsid w:val="001E1B9B"/>
    <w:rsid w:val="001E2226"/>
    <w:rsid w:val="001F0B24"/>
    <w:rsid w:val="001F6233"/>
    <w:rsid w:val="00204C61"/>
    <w:rsid w:val="002355CD"/>
    <w:rsid w:val="00270B2F"/>
    <w:rsid w:val="002712F9"/>
    <w:rsid w:val="002A0E1B"/>
    <w:rsid w:val="002A7A1D"/>
    <w:rsid w:val="002C1059"/>
    <w:rsid w:val="002C2F9C"/>
    <w:rsid w:val="002E1AF7"/>
    <w:rsid w:val="00322DEA"/>
    <w:rsid w:val="00355FBD"/>
    <w:rsid w:val="00371863"/>
    <w:rsid w:val="00381461"/>
    <w:rsid w:val="00391C12"/>
    <w:rsid w:val="003A0B7D"/>
    <w:rsid w:val="003A45C2"/>
    <w:rsid w:val="003B7A11"/>
    <w:rsid w:val="003C4BE2"/>
    <w:rsid w:val="003D147D"/>
    <w:rsid w:val="003D637A"/>
    <w:rsid w:val="00413CB9"/>
    <w:rsid w:val="00430015"/>
    <w:rsid w:val="004675EA"/>
    <w:rsid w:val="004678D0"/>
    <w:rsid w:val="00482954"/>
    <w:rsid w:val="004951C0"/>
    <w:rsid w:val="004C7646"/>
    <w:rsid w:val="00524001"/>
    <w:rsid w:val="00531254"/>
    <w:rsid w:val="00563698"/>
    <w:rsid w:val="00564B63"/>
    <w:rsid w:val="00575DC7"/>
    <w:rsid w:val="005836C2"/>
    <w:rsid w:val="0058413D"/>
    <w:rsid w:val="005956BC"/>
    <w:rsid w:val="005A4EFD"/>
    <w:rsid w:val="005A5ABE"/>
    <w:rsid w:val="005C2ECC"/>
    <w:rsid w:val="005C6744"/>
    <w:rsid w:val="005E419E"/>
    <w:rsid w:val="005F63BD"/>
    <w:rsid w:val="00611CF1"/>
    <w:rsid w:val="006201D9"/>
    <w:rsid w:val="006277DB"/>
    <w:rsid w:val="00635B7B"/>
    <w:rsid w:val="00655B98"/>
    <w:rsid w:val="00667B7D"/>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D21FB"/>
    <w:rsid w:val="00801154"/>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C2A18"/>
    <w:rsid w:val="009D4037"/>
    <w:rsid w:val="009F0592"/>
    <w:rsid w:val="00A20E72"/>
    <w:rsid w:val="00A246DC"/>
    <w:rsid w:val="00A47BAF"/>
    <w:rsid w:val="00A542D3"/>
    <w:rsid w:val="00A5784F"/>
    <w:rsid w:val="00A8436E"/>
    <w:rsid w:val="00A95B66"/>
    <w:rsid w:val="00AB190D"/>
    <w:rsid w:val="00AD6A58"/>
    <w:rsid w:val="00AE0667"/>
    <w:rsid w:val="00B10609"/>
    <w:rsid w:val="00B14451"/>
    <w:rsid w:val="00B23CD4"/>
    <w:rsid w:val="00B41E0A"/>
    <w:rsid w:val="00B56DE0"/>
    <w:rsid w:val="00B63C1E"/>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92746"/>
    <w:rsid w:val="00CC4DC5"/>
    <w:rsid w:val="00CE1A7C"/>
    <w:rsid w:val="00CE496F"/>
    <w:rsid w:val="00D0464B"/>
    <w:rsid w:val="00D12C74"/>
    <w:rsid w:val="00D2263F"/>
    <w:rsid w:val="00D56483"/>
    <w:rsid w:val="00D5658F"/>
    <w:rsid w:val="00D56AD6"/>
    <w:rsid w:val="00D67590"/>
    <w:rsid w:val="00D70019"/>
    <w:rsid w:val="00D74B58"/>
    <w:rsid w:val="00D82ABE"/>
    <w:rsid w:val="00DA4ABA"/>
    <w:rsid w:val="00DA685B"/>
    <w:rsid w:val="00DA742B"/>
    <w:rsid w:val="00DB5568"/>
    <w:rsid w:val="00DC72AB"/>
    <w:rsid w:val="00DF25C1"/>
    <w:rsid w:val="00DF48F7"/>
    <w:rsid w:val="00DF4964"/>
    <w:rsid w:val="00DF4D73"/>
    <w:rsid w:val="00DF79B0"/>
    <w:rsid w:val="00DF7EFF"/>
    <w:rsid w:val="00E1047D"/>
    <w:rsid w:val="00E17B34"/>
    <w:rsid w:val="00E4050B"/>
    <w:rsid w:val="00E42511"/>
    <w:rsid w:val="00E443FA"/>
    <w:rsid w:val="00E54FCE"/>
    <w:rsid w:val="00E60DA1"/>
    <w:rsid w:val="00E75F8E"/>
    <w:rsid w:val="00E921A2"/>
    <w:rsid w:val="00E93D35"/>
    <w:rsid w:val="00EA45DB"/>
    <w:rsid w:val="00EC1877"/>
    <w:rsid w:val="00ED2CD9"/>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link w:val="NormalaftertitleChar"/>
    <w:rsid w:val="003A0B7D"/>
    <w:pPr>
      <w:spacing w:before="240"/>
    </w:pPr>
  </w:style>
  <w:style w:type="paragraph" w:customStyle="1" w:styleId="AnnexNo">
    <w:name w:val="Annex_No"/>
    <w:basedOn w:val="Normal"/>
    <w:next w:val="Annexref"/>
    <w:link w:val="AnnexNoChar"/>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DB5568"/>
    <w:rPr>
      <w:rFonts w:ascii="Calibri" w:hAnsi="Calibri"/>
      <w:color w:val="0070C0"/>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customStyle="1" w:styleId="NormalaftertitleChar">
    <w:name w:val="Normal after title Char"/>
    <w:basedOn w:val="DefaultParagraphFont"/>
    <w:link w:val="Normalaftertitle"/>
    <w:locked/>
    <w:rsid w:val="00B14451"/>
    <w:rPr>
      <w:rFonts w:ascii="Calibri" w:hAnsi="Calibri"/>
      <w:sz w:val="24"/>
      <w:lang w:val="fr-FR" w:eastAsia="en-US"/>
    </w:rPr>
  </w:style>
  <w:style w:type="paragraph" w:styleId="Signature">
    <w:name w:val="Signature"/>
    <w:basedOn w:val="Normal"/>
    <w:link w:val="SignatureChar"/>
    <w:unhideWhenUsed/>
    <w:rsid w:val="00B14451"/>
    <w:pPr>
      <w:tabs>
        <w:tab w:val="clear" w:pos="567"/>
        <w:tab w:val="clear" w:pos="1134"/>
        <w:tab w:val="clear" w:pos="1701"/>
        <w:tab w:val="clear" w:pos="2268"/>
        <w:tab w:val="clear" w:pos="2835"/>
        <w:tab w:val="center" w:pos="7371"/>
      </w:tabs>
      <w:spacing w:before="600"/>
    </w:pPr>
    <w:rPr>
      <w:lang w:val="en-US"/>
    </w:rPr>
  </w:style>
  <w:style w:type="character" w:customStyle="1" w:styleId="SignatureChar">
    <w:name w:val="Signature Char"/>
    <w:basedOn w:val="DefaultParagraphFont"/>
    <w:link w:val="Signature"/>
    <w:rsid w:val="00B14451"/>
    <w:rPr>
      <w:rFonts w:ascii="Calibri" w:hAnsi="Calibri"/>
      <w:sz w:val="24"/>
      <w:lang w:eastAsia="en-US"/>
    </w:rPr>
  </w:style>
  <w:style w:type="character" w:customStyle="1" w:styleId="AnnexNoChar">
    <w:name w:val="Annex_No Char"/>
    <w:basedOn w:val="DefaultParagraphFont"/>
    <w:link w:val="AnnexNo"/>
    <w:rsid w:val="00DF7EFF"/>
    <w:rPr>
      <w:rFonts w:ascii="Calibri" w:hAnsi="Calibri"/>
      <w:caps/>
      <w:sz w:val="28"/>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dms_pub/itu-d/opb/tdc/D-TDC-WTDC-2025-PDF-F.pdf" TargetMode="External"/><Relationship Id="rId18" Type="http://schemas.openxmlformats.org/officeDocument/2006/relationships/hyperlink" Target="https://www.itu.int/dms_pub/itu-d/opb/tdc/D-TDC-WTDC-2025-PDF-F.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itu.int/dms_pub/itu-d/opb/tdc/D-TDC-WTDC-2025-PDF-F.pdf" TargetMode="External"/><Relationship Id="rId7" Type="http://schemas.openxmlformats.org/officeDocument/2006/relationships/endnotes" Target="endnotes.xml"/><Relationship Id="rId12" Type="http://schemas.openxmlformats.org/officeDocument/2006/relationships/hyperlink" Target="https://www.itu.int/dms_pub/itu-d/opb/tdc/D-TDC-WTDC-2025-PDF-F.pdf" TargetMode="External"/><Relationship Id="rId17" Type="http://schemas.openxmlformats.org/officeDocument/2006/relationships/hyperlink" Target="https://www.itu.int/dms_pub/itu-d/opb/tdc/D-TDC-WTDC-2025-PDF-F.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tu.int/dms_pub/itu-d/opb/tdc/D-TDC-WTDC-2025-PDF-F.pdf" TargetMode="External"/><Relationship Id="rId20" Type="http://schemas.openxmlformats.org/officeDocument/2006/relationships/hyperlink" Target="https://www.itu.int/dms_pub/itu-d/opb/tdc/D-TDC-WTDC-2025-PDF-F.pdf"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s://www.itu.int/dms_pub/itu-d/opb/tdc/D-TDC-WTDC-2025-PDF-F.pdf" TargetMode="External"/><Relationship Id="rId24" Type="http://schemas.openxmlformats.org/officeDocument/2006/relationships/hyperlink" Target="https://www.itu.int/dms_pub/itu-d/opb/tdc/D-TDC-WTDC-2025-PDF-F.pdf" TargetMode="External"/><Relationship Id="rId5" Type="http://schemas.openxmlformats.org/officeDocument/2006/relationships/webSettings" Target="webSettings.xml"/><Relationship Id="rId15" Type="http://schemas.openxmlformats.org/officeDocument/2006/relationships/hyperlink" Target="https://www.itu.int/dms_pub/itu-d/opb/tdc/D-TDC-WTDC-2025-PDF-F.pdf" TargetMode="External"/><Relationship Id="rId23" Type="http://schemas.openxmlformats.org/officeDocument/2006/relationships/hyperlink" Target="https://www.itu.int/dms_pub/itu-d/opb/tdc/D-TDC-WTDC-2025-PDF-F.pdf" TargetMode="External"/><Relationship Id="rId28" Type="http://schemas.openxmlformats.org/officeDocument/2006/relationships/theme" Target="theme/theme1.xml"/><Relationship Id="rId10" Type="http://schemas.openxmlformats.org/officeDocument/2006/relationships/hyperlink" Target="https://www.itu.int/dms_pub/itu-d/opb/tdc/D-TDC-WTDC-2025-PDF-F.pdf" TargetMode="External"/><Relationship Id="rId19" Type="http://schemas.openxmlformats.org/officeDocument/2006/relationships/hyperlink" Target="https://www.itu.int/dms_pub/itu-d/opb/tdc/D-TDC-WTDC-2025-PDF-F.pdf" TargetMode="External"/><Relationship Id="rId4" Type="http://schemas.openxmlformats.org/officeDocument/2006/relationships/settings" Target="settings.xml"/><Relationship Id="rId9" Type="http://schemas.openxmlformats.org/officeDocument/2006/relationships/hyperlink" Target="https://www.itu.int/dms_pub/itu-d/opb/tdc/D-TDC-WTDC-2025-PDF-F.pdf" TargetMode="External"/><Relationship Id="rId14" Type="http://schemas.openxmlformats.org/officeDocument/2006/relationships/hyperlink" Target="https://www.itu.int/dms_pub/itu-d/opb/tdc/D-TDC-WTDC-2025-PDF-F.pdf" TargetMode="External"/><Relationship Id="rId22" Type="http://schemas.openxmlformats.org/officeDocument/2006/relationships/hyperlink" Target="https://www.itu.int/dms_pub/itu-d/opb/tdc/D-TDC-WTDC-2025-PDF-F.pdf"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765</Words>
  <Characters>4653</Characters>
  <Application>Microsoft Office Word</Application>
  <DocSecurity>0</DocSecurity>
  <Lines>132</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Résolutions de la Conférence mondiale de développement des télécommunications (CMDT-25) portées à l'attention de la Conférence de plénipotentiaires</dc:title>
  <dc:subject>ITU Plenipotentiary Conference (PP-26)</dc:subject>
  <cp:keywords>PP-26, PP26, ITU</cp:keywords>
  <dc:description/>
  <dcterms:created xsi:type="dcterms:W3CDTF">2026-10-13T15:14:00Z</dcterms:created>
  <dcterms:modified xsi:type="dcterms:W3CDTF">2026-10-13T15:15:00Z</dcterms:modified>
  <cp:category>Conference document</cp:category>
</cp:coreProperties>
</file>