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7321E"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87321E" w:rsidRDefault="00BF32F2" w:rsidP="00BF32F2">
            <w:pPr>
              <w:spacing w:before="0" w:line="240" w:lineRule="atLeast"/>
              <w:rPr>
                <w:rFonts w:cstheme="minorHAnsi"/>
                <w:lang w:val="es-ES"/>
              </w:rPr>
            </w:pPr>
            <w:bookmarkStart w:id="0" w:name="ditulogo"/>
            <w:bookmarkEnd w:id="0"/>
            <w:r w:rsidRPr="0087321E">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7321E"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87321E" w:rsidRDefault="00277985" w:rsidP="00BF32F2">
            <w:pPr>
              <w:spacing w:before="0" w:line="240" w:lineRule="atLeast"/>
              <w:rPr>
                <w:rFonts w:cstheme="minorHAnsi"/>
                <w:b/>
                <w:smallCaps/>
                <w:szCs w:val="24"/>
                <w:lang w:val="es-ES"/>
              </w:rPr>
            </w:pPr>
            <w:bookmarkStart w:id="1" w:name="dhead"/>
          </w:p>
        </w:tc>
      </w:tr>
      <w:tr w:rsidR="00255FA1" w:rsidRPr="0087321E" w14:paraId="420A698C" w14:textId="77777777" w:rsidTr="005A329F">
        <w:trPr>
          <w:cantSplit/>
          <w:trHeight w:val="255"/>
          <w:jc w:val="center"/>
        </w:trPr>
        <w:tc>
          <w:tcPr>
            <w:tcW w:w="7229" w:type="dxa"/>
            <w:tcBorders>
              <w:top w:val="single" w:sz="12" w:space="0" w:color="71716F"/>
            </w:tcBorders>
          </w:tcPr>
          <w:p w14:paraId="47DB16D7" w14:textId="77777777" w:rsidR="00255FA1" w:rsidRPr="0087321E"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87321E" w:rsidRDefault="00255FA1" w:rsidP="00BF32F2">
            <w:pPr>
              <w:spacing w:before="0"/>
              <w:rPr>
                <w:rFonts w:cstheme="minorHAnsi"/>
                <w:szCs w:val="24"/>
                <w:lang w:val="es-ES"/>
              </w:rPr>
            </w:pPr>
          </w:p>
        </w:tc>
      </w:tr>
      <w:bookmarkEnd w:id="1"/>
      <w:tr w:rsidR="00075113" w:rsidRPr="0087321E" w14:paraId="6E5D99D3" w14:textId="77777777" w:rsidTr="005A329F">
        <w:trPr>
          <w:cantSplit/>
          <w:jc w:val="center"/>
        </w:trPr>
        <w:tc>
          <w:tcPr>
            <w:tcW w:w="7229" w:type="dxa"/>
          </w:tcPr>
          <w:p w14:paraId="248001A5" w14:textId="3DA1C374" w:rsidR="00075113" w:rsidRPr="0087321E" w:rsidRDefault="00075113" w:rsidP="00075113">
            <w:pPr>
              <w:pStyle w:val="Committee"/>
              <w:framePr w:hSpace="0" w:wrap="auto" w:hAnchor="text" w:yAlign="inline"/>
              <w:spacing w:after="0" w:line="240" w:lineRule="auto"/>
              <w:rPr>
                <w:lang w:val="es-ES"/>
              </w:rPr>
            </w:pPr>
            <w:r w:rsidRPr="0087321E">
              <w:rPr>
                <w:lang w:val="es-ES"/>
              </w:rPr>
              <w:t>SESIÓN PLENARIA</w:t>
            </w:r>
          </w:p>
        </w:tc>
        <w:tc>
          <w:tcPr>
            <w:tcW w:w="2802" w:type="dxa"/>
          </w:tcPr>
          <w:p w14:paraId="5DCBCBFD" w14:textId="01E6EDEE" w:rsidR="00075113" w:rsidRPr="0087321E" w:rsidRDefault="00075113" w:rsidP="00075113">
            <w:pPr>
              <w:spacing w:before="0"/>
              <w:rPr>
                <w:rFonts w:cstheme="minorHAnsi"/>
                <w:szCs w:val="24"/>
                <w:lang w:val="es-ES"/>
              </w:rPr>
            </w:pPr>
            <w:r w:rsidRPr="0087321E">
              <w:rPr>
                <w:rFonts w:cstheme="minorHAnsi"/>
                <w:b/>
                <w:szCs w:val="24"/>
                <w:lang w:val="es-ES"/>
              </w:rPr>
              <w:t xml:space="preserve">Documento </w:t>
            </w:r>
            <w:r w:rsidR="00F10E64" w:rsidRPr="0087321E">
              <w:rPr>
                <w:rFonts w:cstheme="minorHAnsi"/>
                <w:b/>
                <w:szCs w:val="24"/>
                <w:lang w:val="es-ES"/>
              </w:rPr>
              <w:t>53</w:t>
            </w:r>
            <w:r w:rsidRPr="0087321E">
              <w:rPr>
                <w:rFonts w:cstheme="minorHAnsi"/>
                <w:b/>
                <w:szCs w:val="24"/>
                <w:lang w:val="es-ES"/>
              </w:rPr>
              <w:t>-S</w:t>
            </w:r>
          </w:p>
        </w:tc>
      </w:tr>
      <w:tr w:rsidR="00075113" w:rsidRPr="0087321E" w14:paraId="483D078B" w14:textId="77777777" w:rsidTr="005A329F">
        <w:trPr>
          <w:cantSplit/>
          <w:jc w:val="center"/>
        </w:trPr>
        <w:tc>
          <w:tcPr>
            <w:tcW w:w="7229" w:type="dxa"/>
          </w:tcPr>
          <w:p w14:paraId="17E32998" w14:textId="36F0CCB2" w:rsidR="00075113" w:rsidRPr="0087321E" w:rsidRDefault="00075113" w:rsidP="00075113">
            <w:pPr>
              <w:spacing w:before="0"/>
              <w:rPr>
                <w:rFonts w:cstheme="minorHAnsi"/>
                <w:b/>
                <w:szCs w:val="24"/>
                <w:lang w:val="es-ES"/>
              </w:rPr>
            </w:pPr>
          </w:p>
        </w:tc>
        <w:tc>
          <w:tcPr>
            <w:tcW w:w="2802" w:type="dxa"/>
          </w:tcPr>
          <w:p w14:paraId="00BF5C1A" w14:textId="17309035" w:rsidR="00075113" w:rsidRPr="0087321E" w:rsidRDefault="004E56C5" w:rsidP="00075113">
            <w:pPr>
              <w:spacing w:before="0"/>
              <w:rPr>
                <w:rFonts w:cstheme="minorHAnsi"/>
                <w:b/>
                <w:szCs w:val="24"/>
                <w:lang w:val="es-ES"/>
              </w:rPr>
            </w:pPr>
            <w:r w:rsidRPr="0087321E">
              <w:rPr>
                <w:rFonts w:cstheme="minorHAnsi"/>
                <w:b/>
                <w:szCs w:val="24"/>
                <w:lang w:val="es-ES"/>
              </w:rPr>
              <w:t>5 de octubre</w:t>
            </w:r>
            <w:r w:rsidR="00F10E64" w:rsidRPr="0087321E">
              <w:rPr>
                <w:rFonts w:cstheme="minorHAnsi"/>
                <w:b/>
                <w:szCs w:val="24"/>
                <w:lang w:val="es-ES"/>
              </w:rPr>
              <w:t xml:space="preserve"> de 2026</w:t>
            </w:r>
          </w:p>
        </w:tc>
      </w:tr>
      <w:tr w:rsidR="00075113" w:rsidRPr="0087321E" w14:paraId="7EE17784" w14:textId="77777777" w:rsidTr="005A329F">
        <w:trPr>
          <w:cantSplit/>
          <w:jc w:val="center"/>
        </w:trPr>
        <w:tc>
          <w:tcPr>
            <w:tcW w:w="7229" w:type="dxa"/>
          </w:tcPr>
          <w:p w14:paraId="68573EE1" w14:textId="77777777" w:rsidR="00075113" w:rsidRPr="0087321E" w:rsidRDefault="00075113" w:rsidP="00075113">
            <w:pPr>
              <w:spacing w:before="0"/>
              <w:rPr>
                <w:rFonts w:cstheme="minorHAnsi"/>
                <w:b/>
                <w:smallCaps/>
                <w:szCs w:val="24"/>
                <w:lang w:val="es-ES"/>
              </w:rPr>
            </w:pPr>
          </w:p>
        </w:tc>
        <w:tc>
          <w:tcPr>
            <w:tcW w:w="2802" w:type="dxa"/>
          </w:tcPr>
          <w:p w14:paraId="76142BCE" w14:textId="03B29E45" w:rsidR="00075113" w:rsidRPr="0087321E" w:rsidRDefault="00075113" w:rsidP="00075113">
            <w:pPr>
              <w:spacing w:before="0"/>
              <w:rPr>
                <w:rFonts w:cstheme="minorHAnsi"/>
                <w:b/>
                <w:szCs w:val="24"/>
                <w:lang w:val="es-ES"/>
              </w:rPr>
            </w:pPr>
            <w:r w:rsidRPr="0087321E">
              <w:rPr>
                <w:rFonts w:cstheme="minorHAnsi"/>
                <w:b/>
                <w:szCs w:val="24"/>
                <w:lang w:val="es-ES"/>
              </w:rPr>
              <w:t>Original: inglés</w:t>
            </w:r>
          </w:p>
        </w:tc>
      </w:tr>
      <w:tr w:rsidR="00075113" w:rsidRPr="0087321E" w14:paraId="3075E850" w14:textId="77777777" w:rsidTr="005A329F">
        <w:trPr>
          <w:cantSplit/>
          <w:jc w:val="center"/>
        </w:trPr>
        <w:tc>
          <w:tcPr>
            <w:tcW w:w="10031" w:type="dxa"/>
            <w:gridSpan w:val="2"/>
          </w:tcPr>
          <w:p w14:paraId="2AB3028F" w14:textId="77777777" w:rsidR="00075113" w:rsidRPr="0087321E" w:rsidRDefault="00075113" w:rsidP="00075113">
            <w:pPr>
              <w:spacing w:before="0" w:line="240" w:lineRule="atLeast"/>
              <w:rPr>
                <w:rFonts w:cstheme="minorHAnsi"/>
                <w:b/>
                <w:szCs w:val="24"/>
                <w:lang w:val="es-ES"/>
              </w:rPr>
            </w:pPr>
          </w:p>
        </w:tc>
      </w:tr>
      <w:tr w:rsidR="00075113" w:rsidRPr="0087321E" w14:paraId="53FF73A6" w14:textId="77777777" w:rsidTr="005A329F">
        <w:trPr>
          <w:cantSplit/>
          <w:jc w:val="center"/>
        </w:trPr>
        <w:tc>
          <w:tcPr>
            <w:tcW w:w="10031" w:type="dxa"/>
            <w:gridSpan w:val="2"/>
          </w:tcPr>
          <w:p w14:paraId="365E2007" w14:textId="4611E367" w:rsidR="00075113" w:rsidRPr="0087321E" w:rsidRDefault="00F10E64" w:rsidP="00075113">
            <w:pPr>
              <w:pStyle w:val="Source"/>
              <w:rPr>
                <w:lang w:val="es-ES"/>
              </w:rPr>
            </w:pPr>
            <w:bookmarkStart w:id="2" w:name="dsource" w:colFirst="0" w:colLast="0"/>
            <w:r w:rsidRPr="0087321E">
              <w:rPr>
                <w:lang w:val="es-ES"/>
              </w:rPr>
              <w:t>Nota de la Secretar</w:t>
            </w:r>
            <w:r w:rsidR="00963E83">
              <w:rPr>
                <w:lang w:val="es-ES"/>
              </w:rPr>
              <w:t>i</w:t>
            </w:r>
            <w:r w:rsidRPr="0087321E">
              <w:rPr>
                <w:lang w:val="es-ES"/>
              </w:rPr>
              <w:t>a General</w:t>
            </w:r>
          </w:p>
        </w:tc>
      </w:tr>
      <w:tr w:rsidR="00075113" w:rsidRPr="0087321E" w14:paraId="6C060127" w14:textId="77777777" w:rsidTr="005A329F">
        <w:trPr>
          <w:cantSplit/>
          <w:jc w:val="center"/>
        </w:trPr>
        <w:tc>
          <w:tcPr>
            <w:tcW w:w="10031" w:type="dxa"/>
            <w:gridSpan w:val="2"/>
          </w:tcPr>
          <w:p w14:paraId="0A048F9C" w14:textId="00646929" w:rsidR="00075113" w:rsidRPr="0087321E" w:rsidRDefault="00B741DC" w:rsidP="00075113">
            <w:pPr>
              <w:pStyle w:val="Title1"/>
              <w:rPr>
                <w:lang w:val="es-ES"/>
              </w:rPr>
            </w:pPr>
            <w:bookmarkStart w:id="3" w:name="dtitle1" w:colFirst="0" w:colLast="0"/>
            <w:bookmarkEnd w:id="2"/>
            <w:r w:rsidRPr="0087321E">
              <w:rPr>
                <w:caps w:val="0"/>
                <w:lang w:val="es-ES"/>
              </w:rPr>
              <w:t>INFORME SOBRE LOS CRITERIOS PARA CAMBIOS ORGANIZATIVOS "IMPORTANTES"</w:t>
            </w:r>
          </w:p>
        </w:tc>
      </w:tr>
      <w:tr w:rsidR="00075113" w:rsidRPr="0087321E" w14:paraId="3730209C" w14:textId="77777777" w:rsidTr="005A329F">
        <w:trPr>
          <w:cantSplit/>
          <w:jc w:val="center"/>
        </w:trPr>
        <w:tc>
          <w:tcPr>
            <w:tcW w:w="10031" w:type="dxa"/>
            <w:gridSpan w:val="2"/>
          </w:tcPr>
          <w:p w14:paraId="3D6718D3" w14:textId="15F238F5" w:rsidR="00075113" w:rsidRPr="0087321E" w:rsidRDefault="00075113" w:rsidP="00075113">
            <w:pPr>
              <w:pStyle w:val="Title2"/>
              <w:rPr>
                <w:lang w:val="es-ES"/>
              </w:rPr>
            </w:pPr>
            <w:bookmarkStart w:id="4" w:name="dtitle2" w:colFirst="0" w:colLast="0"/>
            <w:bookmarkEnd w:id="3"/>
          </w:p>
        </w:tc>
      </w:tr>
      <w:bookmarkEnd w:id="4"/>
    </w:tbl>
    <w:p w14:paraId="34A83313" w14:textId="0672C9FF" w:rsidR="00504FD4" w:rsidRPr="0087321E" w:rsidRDefault="00504FD4" w:rsidP="00930E84">
      <w:pPr>
        <w:rPr>
          <w:lang w:val="es-ES"/>
        </w:rPr>
      </w:pPr>
    </w:p>
    <w:tbl>
      <w:tblPr>
        <w:tblStyle w:val="TableGrid"/>
        <w:tblW w:w="0" w:type="auto"/>
        <w:jc w:val="center"/>
        <w:tblLook w:val="04A0" w:firstRow="1" w:lastRow="0" w:firstColumn="1" w:lastColumn="0" w:noHBand="0" w:noVBand="1"/>
      </w:tblPr>
      <w:tblGrid>
        <w:gridCol w:w="7937"/>
      </w:tblGrid>
      <w:tr w:rsidR="00F10E64" w:rsidRPr="0087321E" w14:paraId="79251026" w14:textId="77777777" w:rsidTr="00963E83">
        <w:trPr>
          <w:jc w:val="center"/>
        </w:trPr>
        <w:tc>
          <w:tcPr>
            <w:tcW w:w="7937" w:type="dxa"/>
          </w:tcPr>
          <w:p w14:paraId="2E44A4BE" w14:textId="77777777" w:rsidR="00F10E64" w:rsidRPr="0087321E" w:rsidRDefault="00F10E64" w:rsidP="00963E83">
            <w:pPr>
              <w:pStyle w:val="Headingb"/>
            </w:pPr>
            <w:r w:rsidRPr="0087321E">
              <w:t>Resumen</w:t>
            </w:r>
          </w:p>
          <w:p w14:paraId="1A70D5B5" w14:textId="3F6E21BB" w:rsidR="00F10E64" w:rsidRPr="0087321E" w:rsidRDefault="00F10E64" w:rsidP="00963E83">
            <w:pPr>
              <w:jc w:val="both"/>
              <w:rPr>
                <w:lang w:val="es-ES"/>
              </w:rPr>
            </w:pPr>
            <w:r w:rsidRPr="0087321E">
              <w:rPr>
                <w:lang w:val="es-ES"/>
              </w:rPr>
              <w:t>Tras la aprobación por el Consejo de 2026 del Informe del Presidente del Grupo de Trabajo del Consejo sobre Recursos Humanos y Financieros (</w:t>
            </w:r>
            <w:r w:rsidR="00963E83" w:rsidRPr="00963E83">
              <w:rPr>
                <w:lang w:val="es-ES"/>
              </w:rPr>
              <w:t>Documento</w:t>
            </w:r>
            <w:r w:rsidR="008C37B8">
              <w:rPr>
                <w:lang w:val="es-ES"/>
              </w:rPr>
              <w:t> </w:t>
            </w:r>
            <w:hyperlink r:id="rId8" w:history="1">
              <w:r w:rsidRPr="0087321E">
                <w:rPr>
                  <w:rStyle w:val="Hyperlink"/>
                  <w:rFonts w:asciiTheme="minorHAnsi" w:hAnsiTheme="minorHAnsi" w:cstheme="minorHAnsi"/>
                  <w:lang w:val="es-ES"/>
                </w:rPr>
                <w:t>C26/50(Rev.1)</w:t>
              </w:r>
            </w:hyperlink>
            <w:r w:rsidRPr="0087321E">
              <w:rPr>
                <w:lang w:val="es-ES"/>
              </w:rPr>
              <w:t>), se ha solicitado a la Secretaría, como se indica en el § 10.6, que prepare un informe sobre lo que significa criterios para cambios organizativos "importantes", para su examen en la Conferencia de Plenipotenciarios de 2026.</w:t>
            </w:r>
            <w:hyperlink r:id="rId9" w:history="1"/>
          </w:p>
          <w:p w14:paraId="75C33B92" w14:textId="77777777" w:rsidR="00F10E64" w:rsidRPr="0087321E" w:rsidRDefault="00F10E64" w:rsidP="00963E83">
            <w:pPr>
              <w:pStyle w:val="Headingb"/>
            </w:pPr>
            <w:r w:rsidRPr="0087321E">
              <w:t>Acción solicitada</w:t>
            </w:r>
          </w:p>
          <w:p w14:paraId="5DD1406E" w14:textId="0A3D8D01" w:rsidR="00F10E64" w:rsidRPr="0087321E" w:rsidRDefault="00F10E64" w:rsidP="00963E83">
            <w:pPr>
              <w:jc w:val="both"/>
              <w:rPr>
                <w:lang w:val="es-ES"/>
              </w:rPr>
            </w:pPr>
            <w:r w:rsidRPr="0087321E">
              <w:rPr>
                <w:lang w:val="es-ES"/>
              </w:rPr>
              <w:t xml:space="preserve">Se invita a la Conferencia de Plenipotenciarios a </w:t>
            </w:r>
            <w:r w:rsidR="004E56C5" w:rsidRPr="0087321E">
              <w:rPr>
                <w:b/>
                <w:bCs/>
                <w:lang w:val="es-ES"/>
              </w:rPr>
              <w:t>tomar nota</w:t>
            </w:r>
            <w:r w:rsidRPr="0087321E">
              <w:rPr>
                <w:lang w:val="es-ES"/>
              </w:rPr>
              <w:t xml:space="preserve"> </w:t>
            </w:r>
            <w:r w:rsidR="004E56C5" w:rsidRPr="0087321E">
              <w:rPr>
                <w:lang w:val="es-ES"/>
              </w:rPr>
              <w:t>d</w:t>
            </w:r>
            <w:r w:rsidRPr="0087321E">
              <w:rPr>
                <w:lang w:val="es-ES"/>
              </w:rPr>
              <w:t>el presente informe.</w:t>
            </w:r>
          </w:p>
          <w:p w14:paraId="3FA1A77C" w14:textId="77777777" w:rsidR="00F10E64" w:rsidRPr="0087321E" w:rsidRDefault="00F10E64" w:rsidP="00963E83">
            <w:pPr>
              <w:pStyle w:val="Headingb"/>
            </w:pPr>
            <w:r w:rsidRPr="0087321E">
              <w:t>Consecuencias financieras</w:t>
            </w:r>
          </w:p>
          <w:p w14:paraId="6FAE4074" w14:textId="6739EC0B" w:rsidR="00F10E64" w:rsidRPr="0087321E" w:rsidRDefault="004E56C5" w:rsidP="00F10E64">
            <w:pPr>
              <w:rPr>
                <w:lang w:val="es-ES"/>
              </w:rPr>
            </w:pPr>
            <w:r w:rsidRPr="0087321E">
              <w:rPr>
                <w:lang w:val="es-ES"/>
              </w:rPr>
              <w:t>N.D.</w:t>
            </w:r>
          </w:p>
          <w:p w14:paraId="0AEBA126" w14:textId="77777777" w:rsidR="00F10E64" w:rsidRPr="0087321E" w:rsidRDefault="00F10E64">
            <w:pPr>
              <w:jc w:val="center"/>
              <w:rPr>
                <w:lang w:val="es-ES"/>
              </w:rPr>
            </w:pPr>
            <w:r w:rsidRPr="0087321E">
              <w:rPr>
                <w:lang w:val="es-ES"/>
              </w:rPr>
              <w:t>______________</w:t>
            </w:r>
          </w:p>
          <w:p w14:paraId="3F8FA346" w14:textId="77777777" w:rsidR="00F10E64" w:rsidRPr="0087321E" w:rsidRDefault="00F10E64" w:rsidP="00963E83">
            <w:pPr>
              <w:pStyle w:val="Headingb"/>
            </w:pPr>
            <w:r w:rsidRPr="0087321E">
              <w:t>Referencias</w:t>
            </w:r>
          </w:p>
          <w:p w14:paraId="01A384AA" w14:textId="1573819C" w:rsidR="00F10E64" w:rsidRPr="00963E83" w:rsidRDefault="00F10E64" w:rsidP="00963E83">
            <w:pPr>
              <w:spacing w:after="120"/>
              <w:jc w:val="both"/>
              <w:rPr>
                <w:i/>
                <w:iCs/>
                <w:sz w:val="22"/>
                <w:szCs w:val="22"/>
                <w:lang w:val="es-ES"/>
              </w:rPr>
            </w:pPr>
            <w:hyperlink r:id="rId10" w:history="1">
              <w:r w:rsidRPr="00963E83">
                <w:rPr>
                  <w:rStyle w:val="Hyperlink"/>
                  <w:i/>
                  <w:iCs/>
                  <w:sz w:val="22"/>
                  <w:szCs w:val="22"/>
                  <w:lang w:val="es-ES"/>
                </w:rPr>
                <w:t>Convenio de la Unión Internacional de Telecomunicaciones</w:t>
              </w:r>
            </w:hyperlink>
            <w:r w:rsidRPr="00963E83">
              <w:rPr>
                <w:i/>
                <w:iCs/>
                <w:sz w:val="22"/>
                <w:szCs w:val="22"/>
                <w:lang w:val="es-ES"/>
              </w:rPr>
              <w:t xml:space="preserve"> adoptado por la Conferencia de Plenipotenciarios de 2022</w:t>
            </w:r>
            <w:r w:rsidR="004E56C5" w:rsidRPr="00963E83">
              <w:rPr>
                <w:i/>
                <w:iCs/>
                <w:sz w:val="22"/>
                <w:szCs w:val="22"/>
                <w:lang w:val="es-ES"/>
              </w:rPr>
              <w:t xml:space="preserve">, Documentos </w:t>
            </w:r>
            <w:hyperlink r:id="rId11" w:history="1">
              <w:r w:rsidR="004E56C5" w:rsidRPr="00963E83">
                <w:rPr>
                  <w:rStyle w:val="Hyperlink"/>
                  <w:i/>
                  <w:iCs/>
                  <w:sz w:val="22"/>
                  <w:szCs w:val="22"/>
                  <w:lang w:val="es-ES"/>
                </w:rPr>
                <w:t>C97/115</w:t>
              </w:r>
            </w:hyperlink>
            <w:r w:rsidR="004E56C5" w:rsidRPr="00963E83">
              <w:rPr>
                <w:i/>
                <w:iCs/>
                <w:sz w:val="22"/>
                <w:szCs w:val="22"/>
                <w:lang w:val="es-ES"/>
              </w:rPr>
              <w:t xml:space="preserve"> y </w:t>
            </w:r>
            <w:hyperlink r:id="rId12" w:history="1">
              <w:r w:rsidR="004E56C5" w:rsidRPr="00963E83">
                <w:rPr>
                  <w:rStyle w:val="Hyperlink"/>
                  <w:i/>
                  <w:iCs/>
                  <w:sz w:val="22"/>
                  <w:szCs w:val="22"/>
                  <w:lang w:val="es-ES"/>
                </w:rPr>
                <w:t>C9</w:t>
              </w:r>
              <w:r w:rsidR="008577FA" w:rsidRPr="00963E83">
                <w:rPr>
                  <w:rStyle w:val="Hyperlink"/>
                  <w:i/>
                  <w:iCs/>
                  <w:sz w:val="22"/>
                  <w:szCs w:val="22"/>
                  <w:lang w:val="es-ES"/>
                </w:rPr>
                <w:t>7</w:t>
              </w:r>
              <w:r w:rsidR="004E56C5" w:rsidRPr="00963E83">
                <w:rPr>
                  <w:rStyle w:val="Hyperlink"/>
                  <w:i/>
                  <w:iCs/>
                  <w:sz w:val="22"/>
                  <w:szCs w:val="22"/>
                  <w:lang w:val="es-ES"/>
                </w:rPr>
                <w:t>/116</w:t>
              </w:r>
            </w:hyperlink>
            <w:r w:rsidR="004E56C5" w:rsidRPr="00963E83">
              <w:rPr>
                <w:i/>
                <w:iCs/>
                <w:sz w:val="22"/>
                <w:szCs w:val="22"/>
                <w:lang w:val="es-ES"/>
              </w:rPr>
              <w:t xml:space="preserve"> del Consejo</w:t>
            </w:r>
          </w:p>
        </w:tc>
      </w:tr>
    </w:tbl>
    <w:p w14:paraId="41F2704C" w14:textId="77777777" w:rsidR="00963E83" w:rsidRDefault="00255FA1" w:rsidP="00963E83">
      <w:pPr>
        <w:rPr>
          <w:rStyle w:val="PageNumber"/>
          <w:lang w:val="es-ES"/>
        </w:rPr>
      </w:pPr>
      <w:r w:rsidRPr="0087321E">
        <w:rPr>
          <w:rStyle w:val="PageNumber"/>
          <w:lang w:val="es-ES"/>
        </w:rPr>
        <w:br w:type="page"/>
      </w:r>
    </w:p>
    <w:p w14:paraId="72E1053A" w14:textId="389EDF8A" w:rsidR="00F10E64" w:rsidRPr="0087321E" w:rsidRDefault="00F10E64" w:rsidP="00963E83">
      <w:pPr>
        <w:pStyle w:val="Heading1"/>
      </w:pPr>
      <w:r w:rsidRPr="0087321E">
        <w:lastRenderedPageBreak/>
        <w:t>1</w:t>
      </w:r>
      <w:r w:rsidRPr="0087321E">
        <w:tab/>
        <w:t>Finalidad</w:t>
      </w:r>
    </w:p>
    <w:p w14:paraId="3D926FEA" w14:textId="1540BFD9" w:rsidR="00F10E64" w:rsidRPr="0087321E" w:rsidRDefault="00F10E64" w:rsidP="00963E83">
      <w:pPr>
        <w:jc w:val="both"/>
        <w:rPr>
          <w:lang w:val="es-ES"/>
        </w:rPr>
      </w:pPr>
      <w:r w:rsidRPr="0087321E">
        <w:rPr>
          <w:lang w:val="es-ES"/>
        </w:rPr>
        <w:t xml:space="preserve">El presente Informe responde al </w:t>
      </w:r>
      <w:r w:rsidRPr="0087321E">
        <w:rPr>
          <w:rFonts w:cs="Calibri"/>
          <w:lang w:val="es-ES" w:eastAsia="zh-CN"/>
        </w:rPr>
        <w:t>§</w:t>
      </w:r>
      <w:r w:rsidRPr="0087321E">
        <w:rPr>
          <w:lang w:val="es-ES" w:eastAsia="zh-CN"/>
        </w:rPr>
        <w:t xml:space="preserve"> 10.6 </w:t>
      </w:r>
      <w:r w:rsidRPr="0087321E">
        <w:rPr>
          <w:lang w:val="es-ES"/>
        </w:rPr>
        <w:t xml:space="preserve">del Informe del Presidente del Grupo de Trabajo del Consejo sobre Recursos Humanos y Financieros (Documento </w:t>
      </w:r>
      <w:hyperlink r:id="rId13" w:history="1">
        <w:r w:rsidRPr="0087321E">
          <w:rPr>
            <w:rStyle w:val="Hyperlink"/>
            <w:lang w:val="es-ES"/>
          </w:rPr>
          <w:t>C26/50(Rev.1)</w:t>
        </w:r>
      </w:hyperlink>
      <w:r w:rsidRPr="0087321E">
        <w:rPr>
          <w:lang w:val="es-ES"/>
        </w:rPr>
        <w:t xml:space="preserve">) y </w:t>
      </w:r>
      <w:r w:rsidR="00682662" w:rsidRPr="0087321E">
        <w:rPr>
          <w:lang w:val="es-ES"/>
        </w:rPr>
        <w:t>explica</w:t>
      </w:r>
      <w:r w:rsidRPr="0087321E">
        <w:rPr>
          <w:lang w:val="es-ES"/>
        </w:rPr>
        <w:t xml:space="preserve"> los criterios que distinguen un cambio organizativo "importante" de un ajuste operacional o administrativo.</w:t>
      </w:r>
      <w:hyperlink r:id="rId14" w:history="1"/>
    </w:p>
    <w:p w14:paraId="35DC48F0" w14:textId="77777777" w:rsidR="00F10E64" w:rsidRPr="0087321E" w:rsidRDefault="00F10E64" w:rsidP="00963E83">
      <w:pPr>
        <w:pStyle w:val="Heading1"/>
      </w:pPr>
      <w:r w:rsidRPr="0087321E">
        <w:t>2</w:t>
      </w:r>
      <w:r w:rsidRPr="0087321E">
        <w:tab/>
        <w:t>Contexto jurídico y de gobernanza</w:t>
      </w:r>
    </w:p>
    <w:p w14:paraId="5EE6EC5D" w14:textId="4AFE16E9" w:rsidR="00F10E64" w:rsidRPr="0087321E" w:rsidRDefault="00F10E64" w:rsidP="00963E83">
      <w:pPr>
        <w:jc w:val="both"/>
        <w:rPr>
          <w:lang w:val="es-ES"/>
        </w:rPr>
      </w:pPr>
      <w:r w:rsidRPr="0087321E">
        <w:rPr>
          <w:lang w:val="es-ES"/>
        </w:rPr>
        <w:t xml:space="preserve">En el número 70, apartado 4) del Artículo 4 del Convenio de la Unión Internacional de Telecomunicaciones se estipula que el Consejo resolverá sobre las propuestas de cambios importantes en la organización de la Secretaría General y de las Oficinas de los Sectores de la Unión, compatibles con la Constitución y el presente Convenio y que le someta el Secretario General tras su examen por el Comité de Coordinación. Esta disposición establece </w:t>
      </w:r>
      <w:r w:rsidR="00682662" w:rsidRPr="0087321E">
        <w:rPr>
          <w:lang w:val="es-ES"/>
        </w:rPr>
        <w:t>el</w:t>
      </w:r>
      <w:r w:rsidRPr="0087321E">
        <w:rPr>
          <w:lang w:val="es-ES"/>
        </w:rPr>
        <w:t xml:space="preserve"> umbral de gobernanza, que constituye un cambio organizativo </w:t>
      </w:r>
      <w:r w:rsidR="00682662" w:rsidRPr="0087321E">
        <w:rPr>
          <w:lang w:val="es-ES"/>
        </w:rPr>
        <w:t>que requiere la decisión del Consejo</w:t>
      </w:r>
    </w:p>
    <w:p w14:paraId="7DA40D0A" w14:textId="249EAFE0" w:rsidR="00682662" w:rsidRPr="0087321E" w:rsidRDefault="00682662" w:rsidP="00963E83">
      <w:pPr>
        <w:jc w:val="both"/>
        <w:rPr>
          <w:lang w:val="es-ES"/>
        </w:rPr>
      </w:pPr>
      <w:r w:rsidRPr="0087321E">
        <w:rPr>
          <w:lang w:val="es-ES"/>
        </w:rPr>
        <w:t xml:space="preserve">La </w:t>
      </w:r>
      <w:r w:rsidR="00F10E64" w:rsidRPr="0087321E">
        <w:rPr>
          <w:lang w:val="es-ES"/>
        </w:rPr>
        <w:t xml:space="preserve">Resolución 1107 del Consejo sobre clasificación de empleos (Documento </w:t>
      </w:r>
      <w:hyperlink r:id="rId15" w:history="1">
        <w:r w:rsidR="00F10E64" w:rsidRPr="0087321E">
          <w:rPr>
            <w:rStyle w:val="Hyperlink"/>
            <w:lang w:val="es-ES"/>
          </w:rPr>
          <w:t>C97/115</w:t>
        </w:r>
      </w:hyperlink>
      <w:r w:rsidR="00F10E64" w:rsidRPr="0087321E">
        <w:rPr>
          <w:lang w:val="es-ES"/>
        </w:rPr>
        <w:t xml:space="preserve">) </w:t>
      </w:r>
      <w:r w:rsidRPr="0087321E">
        <w:rPr>
          <w:lang w:val="es-ES"/>
        </w:rPr>
        <w:t>delega autoridad en el Secretario General, tras consultar con el Comité de Coordinación (CoCo), la autoridad para reclasificar o elevar a la categoría los empleos existentes de Servicios Generales y Profesional.</w:t>
      </w:r>
    </w:p>
    <w:p w14:paraId="5C068912" w14:textId="13A4B28C" w:rsidR="00F10E64" w:rsidRPr="0087321E" w:rsidRDefault="00682662" w:rsidP="00963E83">
      <w:pPr>
        <w:jc w:val="both"/>
        <w:rPr>
          <w:lang w:val="es-ES"/>
        </w:rPr>
      </w:pPr>
      <w:r w:rsidRPr="0087321E">
        <w:rPr>
          <w:lang w:val="es-ES"/>
        </w:rPr>
        <w:t xml:space="preserve">La </w:t>
      </w:r>
      <w:r w:rsidR="00F10E64" w:rsidRPr="0087321E">
        <w:rPr>
          <w:lang w:val="es-ES"/>
        </w:rPr>
        <w:t xml:space="preserve">Resolución 1108 del Consejo sobre gestión de empleos (Documento </w:t>
      </w:r>
      <w:hyperlink r:id="rId16" w:history="1">
        <w:r w:rsidR="00F10E64" w:rsidRPr="0087321E">
          <w:rPr>
            <w:rStyle w:val="Hyperlink"/>
            <w:lang w:val="es-ES"/>
          </w:rPr>
          <w:t>C97/116</w:t>
        </w:r>
      </w:hyperlink>
      <w:r w:rsidR="00F10E64" w:rsidRPr="0087321E">
        <w:rPr>
          <w:lang w:val="es-ES"/>
        </w:rPr>
        <w:t xml:space="preserve">) </w:t>
      </w:r>
      <w:r w:rsidR="00CE59A4" w:rsidRPr="0087321E">
        <w:rPr>
          <w:lang w:val="es-ES"/>
        </w:rPr>
        <w:t>delega la autoridad en el Secretario General, tras consultar con el Comité de Coordinación (CoCo), para crear o suprimir empleos de Servicios Generales y Profesional.</w:t>
      </w:r>
      <w:hyperlink r:id="rId17" w:history="1"/>
      <w:hyperlink r:id="rId18" w:history="1"/>
    </w:p>
    <w:p w14:paraId="01C556DA" w14:textId="5FDAE6A9" w:rsidR="00F10E64" w:rsidRPr="0087321E" w:rsidRDefault="00F10E64" w:rsidP="00963E83">
      <w:pPr>
        <w:pStyle w:val="Heading1"/>
      </w:pPr>
      <w:r w:rsidRPr="0087321E">
        <w:t>3</w:t>
      </w:r>
      <w:r w:rsidRPr="0087321E">
        <w:tab/>
      </w:r>
      <w:r w:rsidR="00CE59A4" w:rsidRPr="0087321E">
        <w:t>Marco</w:t>
      </w:r>
      <w:r w:rsidRPr="0087321E">
        <w:t xml:space="preserve"> vigente</w:t>
      </w:r>
    </w:p>
    <w:p w14:paraId="2F8F76F7" w14:textId="0E85144E" w:rsidR="00F10E64" w:rsidRPr="0087321E" w:rsidRDefault="00CE59A4" w:rsidP="00963E83">
      <w:pPr>
        <w:jc w:val="both"/>
        <w:rPr>
          <w:lang w:val="es-ES"/>
        </w:rPr>
      </w:pPr>
      <w:r w:rsidRPr="0087321E">
        <w:rPr>
          <w:lang w:val="es-ES"/>
        </w:rPr>
        <w:t>Un cambio organizativo se considera "importante" cuando afecta a más del 50 % de las funciones y responsabilidades de un puesto de duración determinada con categoría D-1 o D-2 con cargo al presupuesto ordinario. Este requisito comprende los cambios en el mandato o la estructura organizativa de un departamento u oficina en la medida en que dichos cambios afectan a los puestos pertinentes. El requisito se aplica a los puestos D-1 y D-2, teniendo en cuenta que la autoridad para la creación o supresión de empleos en las categorías de Servicios Generales y Profesional en los grados G-1 a P-5 se delega en el Secretario General en virtud de la Resolución 1108 del Consejo, sujeta a las condiciones establecidas en la misma. Por recomendación del Departamento de Gestión de Recursos Humanos y tras su examen por el Comité de Coordinación, el Secretario General presenta una propuesta que cumple el requisito anterior al Consejo para que este tome una decisión de conformidad con el Artículo 4, número 70, apartado 4) del Convenio.</w:t>
      </w:r>
    </w:p>
    <w:p w14:paraId="4713321D" w14:textId="77777777" w:rsidR="00F10E64" w:rsidRPr="0087321E" w:rsidRDefault="00F10E64" w:rsidP="00F10E64">
      <w:pPr>
        <w:rPr>
          <w:lang w:val="es-ES"/>
        </w:rPr>
      </w:pPr>
    </w:p>
    <w:p w14:paraId="33BC3D57" w14:textId="43727B30" w:rsidR="00255FA1" w:rsidRPr="0087321E" w:rsidRDefault="00F10E64" w:rsidP="00F10E64">
      <w:pPr>
        <w:jc w:val="center"/>
        <w:rPr>
          <w:rStyle w:val="PageNumber"/>
          <w:lang w:val="es-ES"/>
        </w:rPr>
      </w:pPr>
      <w:r w:rsidRPr="0087321E">
        <w:rPr>
          <w:lang w:val="es-ES"/>
        </w:rPr>
        <w:t>______________</w:t>
      </w:r>
    </w:p>
    <w:sectPr w:rsidR="00255FA1" w:rsidRPr="0087321E" w:rsidSect="00A70E95">
      <w:headerReference w:type="default" r:id="rId19"/>
      <w:footerReference w:type="first" r:id="rId2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C634" w14:textId="77777777" w:rsidR="00EC788A" w:rsidRDefault="00EC788A">
      <w:r>
        <w:separator/>
      </w:r>
    </w:p>
  </w:endnote>
  <w:endnote w:type="continuationSeparator" w:id="0">
    <w:p w14:paraId="1503EC03" w14:textId="77777777" w:rsidR="00EC788A" w:rsidRDefault="00EC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74F471A5"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963E83">
      <w:rPr>
        <w:rFonts w:ascii="Symbol" w:hAnsi="Symbol"/>
        <w:sz w:val="22"/>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D7A1" w14:textId="77777777" w:rsidR="00EC788A" w:rsidRDefault="00EC788A">
      <w:r>
        <w:t>____________________</w:t>
      </w:r>
    </w:p>
  </w:footnote>
  <w:footnote w:type="continuationSeparator" w:id="0">
    <w:p w14:paraId="6B90867C" w14:textId="77777777" w:rsidR="00EC788A" w:rsidRDefault="00EC7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06190AEC" w:rsidR="00255FA1" w:rsidRDefault="00255FA1" w:rsidP="00C43474">
    <w:pPr>
      <w:pStyle w:val="Header"/>
    </w:pPr>
    <w:r>
      <w:rPr>
        <w:lang w:val="en-US"/>
      </w:rPr>
      <w:t>PP</w:t>
    </w:r>
    <w:r w:rsidR="009D1BE0">
      <w:rPr>
        <w:lang w:val="en-US"/>
      </w:rPr>
      <w:t>2</w:t>
    </w:r>
    <w:r w:rsidR="009415B6">
      <w:rPr>
        <w:lang w:val="en-US"/>
      </w:rPr>
      <w:t>6</w:t>
    </w:r>
    <w:r>
      <w:t>/</w:t>
    </w:r>
    <w:r w:rsidR="00F10E64">
      <w:t>53</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4BC2"/>
    <w:rsid w:val="000863AB"/>
    <w:rsid w:val="000877D3"/>
    <w:rsid w:val="000A1523"/>
    <w:rsid w:val="000B1752"/>
    <w:rsid w:val="0010546D"/>
    <w:rsid w:val="0011421F"/>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C6527"/>
    <w:rsid w:val="002E44FC"/>
    <w:rsid w:val="003537B5"/>
    <w:rsid w:val="003560FE"/>
    <w:rsid w:val="003707E5"/>
    <w:rsid w:val="00375610"/>
    <w:rsid w:val="00391611"/>
    <w:rsid w:val="003962C1"/>
    <w:rsid w:val="003B5DC9"/>
    <w:rsid w:val="003D0027"/>
    <w:rsid w:val="003E6E73"/>
    <w:rsid w:val="00452CDA"/>
    <w:rsid w:val="00484B72"/>
    <w:rsid w:val="00491A25"/>
    <w:rsid w:val="004A346E"/>
    <w:rsid w:val="004A63A9"/>
    <w:rsid w:val="004B07DB"/>
    <w:rsid w:val="004B09D4"/>
    <w:rsid w:val="004B0BCB"/>
    <w:rsid w:val="004C27F5"/>
    <w:rsid w:val="004C39C6"/>
    <w:rsid w:val="004D23BA"/>
    <w:rsid w:val="004E069C"/>
    <w:rsid w:val="004E08E0"/>
    <w:rsid w:val="004E28FB"/>
    <w:rsid w:val="004E56C5"/>
    <w:rsid w:val="004F4BB1"/>
    <w:rsid w:val="00504FD4"/>
    <w:rsid w:val="00507662"/>
    <w:rsid w:val="00523448"/>
    <w:rsid w:val="005359B6"/>
    <w:rsid w:val="005470E8"/>
    <w:rsid w:val="00550FCF"/>
    <w:rsid w:val="00556958"/>
    <w:rsid w:val="00567ED5"/>
    <w:rsid w:val="005A329F"/>
    <w:rsid w:val="005B6AD3"/>
    <w:rsid w:val="005D1164"/>
    <w:rsid w:val="005D6488"/>
    <w:rsid w:val="005F6278"/>
    <w:rsid w:val="005F6B98"/>
    <w:rsid w:val="00601280"/>
    <w:rsid w:val="00641DBD"/>
    <w:rsid w:val="006426C0"/>
    <w:rsid w:val="006455D2"/>
    <w:rsid w:val="006537F3"/>
    <w:rsid w:val="00682662"/>
    <w:rsid w:val="006B5512"/>
    <w:rsid w:val="006C190D"/>
    <w:rsid w:val="00720686"/>
    <w:rsid w:val="00737EFF"/>
    <w:rsid w:val="00750806"/>
    <w:rsid w:val="007875D2"/>
    <w:rsid w:val="007D61E2"/>
    <w:rsid w:val="007F6EBC"/>
    <w:rsid w:val="00810D8B"/>
    <w:rsid w:val="008577FA"/>
    <w:rsid w:val="0087321E"/>
    <w:rsid w:val="00882773"/>
    <w:rsid w:val="008B4706"/>
    <w:rsid w:val="008B6676"/>
    <w:rsid w:val="008C37B8"/>
    <w:rsid w:val="008C3FA8"/>
    <w:rsid w:val="008E51C5"/>
    <w:rsid w:val="008F7109"/>
    <w:rsid w:val="009107B0"/>
    <w:rsid w:val="009220DE"/>
    <w:rsid w:val="00930E84"/>
    <w:rsid w:val="009415B6"/>
    <w:rsid w:val="00956FE6"/>
    <w:rsid w:val="00963E83"/>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41DC"/>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CE59A4"/>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C395A"/>
    <w:rsid w:val="00EC788A"/>
    <w:rsid w:val="00F01632"/>
    <w:rsid w:val="00F04858"/>
    <w:rsid w:val="00F10E64"/>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963E83"/>
    <w:pPr>
      <w:keepNext/>
      <w:keepLines/>
      <w:spacing w:before="360"/>
      <w:ind w:left="567" w:hanging="567"/>
      <w:outlineLvl w:val="0"/>
    </w:pPr>
    <w:rPr>
      <w:b/>
      <w:sz w:val="28"/>
      <w:lang w:val="es-ES"/>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F10E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www.itu.int/md/S26-CL-C-0050/es" TargetMode="External"/><Relationship Id="rId13" Type="http://schemas.openxmlformats.org/officeDocument/2006/relationships/hyperlink" Target="https://www.itu.int/md/S26-CL-C-0050/es" TargetMode="External"/><Relationship Id="rId18" Type="http://schemas.openxmlformats.org/officeDocument/2006/relationships/hyperlink" Target="https://www.itu.int/itudoc/gs/council/c97/docs/res/116-fr.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itu.int/itudoc/gs/council/c97/docs/res/116-es.html" TargetMode="External"/><Relationship Id="rId17" Type="http://schemas.openxmlformats.org/officeDocument/2006/relationships/hyperlink" Target="https://www.itu.int/itudoc/gs/council/c97/docs/res/115-fr.html" TargetMode="External"/><Relationship Id="rId2" Type="http://schemas.openxmlformats.org/officeDocument/2006/relationships/styles" Target="styles.xml"/><Relationship Id="rId16" Type="http://schemas.openxmlformats.org/officeDocument/2006/relationships/hyperlink" Target="https://www.itu.int/itudoc/gs/council/c97/docs/res/116-es.html"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yperlink" Target="https://www.itu.int/itudoc/gs/council/c97/docs/res/115-es.html" TargetMode="External"/><Relationship Id="rId5" Type="http://schemas.openxmlformats.org/officeDocument/2006/relationships/footnotes" Target="footnotes.xml"/><Relationship Id="rId15" Type="http://schemas.openxmlformats.org/officeDocument/2006/relationships/hyperlink" Target="https://www.itu.int/itudoc/gs/council/c97/docs/res/115-es.html" TargetMode="External"/><Relationship Id="rId10" Type="http://schemas.openxmlformats.org/officeDocument/2006/relationships/hyperlink" Target="https://www.itu.int/es/history/pages/constitutionandconvention.asp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u.int/md/S26-CL-C-0050/en" TargetMode="External"/><Relationship Id="rId14" Type="http://schemas.openxmlformats.org/officeDocument/2006/relationships/hyperlink" Target="https://www.itu.int/md/S26-CL-C-0050/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584</Words>
  <Characters>3562</Characters>
  <Application>Microsoft Office Word</Application>
  <DocSecurity>0</DocSecurity>
  <Lines>84</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criterios para cambios organizativos "importantes"</dc:title>
  <dc:subject>ITU Plenipotentiary Conference (PP-26)</dc:subject>
  <cp:keywords>PP-26, PP26, ITU</cp:keywords>
  <dc:description/>
  <dcterms:created xsi:type="dcterms:W3CDTF">2026-10-09T16:06:00Z</dcterms:created>
  <dcterms:modified xsi:type="dcterms:W3CDTF">2026-10-09T16:09:00Z</dcterms:modified>
  <cp:category>Conference document</cp:category>
</cp:coreProperties>
</file>