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603064" w14:paraId="4484B0C5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A1CF8E0" w14:textId="2E7CFD38" w:rsidR="00CE496F" w:rsidRPr="00603064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603064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0C0B0A57" wp14:editId="14C36CD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603064" w14:paraId="3120A8D9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7068B73" w14:textId="77777777" w:rsidR="002E1AF7" w:rsidRPr="00603064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603064" w14:paraId="20A2296F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CFA6027" w14:textId="77777777" w:rsidR="00BD1614" w:rsidRPr="00603064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3C479168" w14:textId="77777777" w:rsidR="00BD1614" w:rsidRPr="00603064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603064" w14:paraId="5EBA9561" w14:textId="77777777" w:rsidTr="00CE496F">
        <w:trPr>
          <w:cantSplit/>
          <w:jc w:val="center"/>
        </w:trPr>
        <w:tc>
          <w:tcPr>
            <w:tcW w:w="7229" w:type="dxa"/>
          </w:tcPr>
          <w:p w14:paraId="081C5B53" w14:textId="208B41EF" w:rsidR="00BD1614" w:rsidRPr="00603064" w:rsidRDefault="00801154" w:rsidP="00801154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603064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2E82404" w14:textId="2C5672CA" w:rsidR="00BD1614" w:rsidRPr="00603064" w:rsidRDefault="00801154" w:rsidP="007A47E9">
            <w:pPr>
              <w:spacing w:before="0"/>
              <w:rPr>
                <w:rFonts w:cstheme="minorHAnsi"/>
                <w:szCs w:val="24"/>
              </w:rPr>
            </w:pPr>
            <w:r w:rsidRPr="00603064">
              <w:rPr>
                <w:rFonts w:cstheme="minorHAnsi"/>
                <w:b/>
                <w:szCs w:val="24"/>
              </w:rPr>
              <w:t xml:space="preserve">Document </w:t>
            </w:r>
            <w:r w:rsidR="00603064" w:rsidRPr="00603064">
              <w:rPr>
                <w:rFonts w:cstheme="minorHAnsi"/>
                <w:b/>
                <w:szCs w:val="24"/>
              </w:rPr>
              <w:t>53</w:t>
            </w:r>
            <w:r w:rsidRPr="00603064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603064" w14:paraId="5C605E2F" w14:textId="77777777" w:rsidTr="00CE496F">
        <w:trPr>
          <w:cantSplit/>
          <w:jc w:val="center"/>
        </w:trPr>
        <w:tc>
          <w:tcPr>
            <w:tcW w:w="7229" w:type="dxa"/>
          </w:tcPr>
          <w:p w14:paraId="3701819B" w14:textId="4343949C" w:rsidR="00BD1614" w:rsidRPr="00603064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FD5E934" w14:textId="7AD95487" w:rsidR="00BD1614" w:rsidRPr="00603064" w:rsidRDefault="008B28C5" w:rsidP="007A47E9">
            <w:pPr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 octobre</w:t>
            </w:r>
            <w:r w:rsidR="00603064" w:rsidRPr="00603064">
              <w:rPr>
                <w:rFonts w:cstheme="minorHAnsi"/>
                <w:b/>
                <w:szCs w:val="24"/>
              </w:rPr>
              <w:t xml:space="preserve"> 2026</w:t>
            </w:r>
          </w:p>
        </w:tc>
      </w:tr>
      <w:tr w:rsidR="00BD1614" w:rsidRPr="00603064" w14:paraId="6B2B4BC1" w14:textId="77777777" w:rsidTr="00CE496F">
        <w:trPr>
          <w:cantSplit/>
          <w:jc w:val="center"/>
        </w:trPr>
        <w:tc>
          <w:tcPr>
            <w:tcW w:w="7229" w:type="dxa"/>
          </w:tcPr>
          <w:p w14:paraId="780A194C" w14:textId="77777777" w:rsidR="00BD1614" w:rsidRPr="00603064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6796BDA" w14:textId="560E6019" w:rsidR="00BD1614" w:rsidRPr="00603064" w:rsidRDefault="0080115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603064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603064" w14:paraId="4259B88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70628D7" w14:textId="77777777" w:rsidR="00BD1614" w:rsidRPr="00603064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603064" w14:paraId="6A9FB92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70875E6" w14:textId="66625A87" w:rsidR="00BD1614" w:rsidRPr="00603064" w:rsidRDefault="00603064" w:rsidP="007A47E9">
            <w:pPr>
              <w:pStyle w:val="Source"/>
            </w:pPr>
            <w:bookmarkStart w:id="2" w:name="dsource" w:colFirst="0" w:colLast="0"/>
            <w:bookmarkEnd w:id="1"/>
            <w:r w:rsidRPr="00603064">
              <w:t>Note de la Secrétaire générale</w:t>
            </w:r>
          </w:p>
        </w:tc>
      </w:tr>
      <w:tr w:rsidR="00BD1614" w:rsidRPr="00603064" w14:paraId="534EEA0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C8E89F3" w14:textId="6142DFFE" w:rsidR="00BD1614" w:rsidRPr="00603064" w:rsidRDefault="00F37D24" w:rsidP="008B28C5">
            <w:pPr>
              <w:pStyle w:val="Title1"/>
            </w:pPr>
            <w:bookmarkStart w:id="3" w:name="dtitle1" w:colFirst="0" w:colLast="0"/>
            <w:bookmarkEnd w:id="2"/>
            <w:r>
              <w:rPr>
                <w:caps w:val="0"/>
              </w:rPr>
              <w:t>RAPPORT SUR LES CRITÈRES CONSTITUTIFS D'UNE RÉFORME</w:t>
            </w:r>
            <w:r>
              <w:rPr>
                <w:caps w:val="0"/>
              </w:rPr>
              <w:br/>
              <w:t>"MAJEURE" RELATIVE À L'ORGANISATION</w:t>
            </w:r>
          </w:p>
        </w:tc>
      </w:tr>
      <w:tr w:rsidR="00BD1614" w:rsidRPr="00603064" w14:paraId="37DA32C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574AB3E" w14:textId="5C7F4B17" w:rsidR="00BD1614" w:rsidRPr="00603064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603064" w14:paraId="3488B00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8DBD50A" w14:textId="420EA0AD" w:rsidR="00BD1614" w:rsidRPr="00603064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7AD6F79A" w14:textId="71825B79" w:rsidR="000D15FB" w:rsidRPr="00603064" w:rsidRDefault="000D15FB" w:rsidP="0060306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603064" w:rsidRPr="00603064" w14:paraId="31C8BA3A" w14:textId="77777777" w:rsidTr="001D0B40">
        <w:trPr>
          <w:jc w:val="center"/>
        </w:trPr>
        <w:tc>
          <w:tcPr>
            <w:tcW w:w="7937" w:type="dxa"/>
          </w:tcPr>
          <w:p w14:paraId="4A84F9D3" w14:textId="06408B8B" w:rsidR="00603064" w:rsidRPr="00603064" w:rsidRDefault="00603064" w:rsidP="00603064">
            <w:pPr>
              <w:pStyle w:val="Headingb"/>
            </w:pPr>
            <w:r w:rsidRPr="00603064">
              <w:t>Résumé</w:t>
            </w:r>
          </w:p>
          <w:p w14:paraId="6A70EA0B" w14:textId="52B4B116" w:rsidR="00603064" w:rsidRPr="00603064" w:rsidRDefault="00603064" w:rsidP="001D0B40">
            <w:pPr>
              <w:jc w:val="both"/>
            </w:pPr>
            <w:r w:rsidRPr="00603064">
              <w:t>À la suite de l'approbation par le Conseil, à sa session de 2026, du rapport de la Présidente du Groupe de travail du Conseil sur les ressources financières et les ressources humaines (Document</w:t>
            </w:r>
            <w:r w:rsidR="00F37D24">
              <w:t> </w:t>
            </w:r>
            <w:hyperlink r:id="rId9" w:history="1">
              <w:r w:rsidRPr="00603064">
                <w:rPr>
                  <w:rStyle w:val="Hyperlink"/>
                </w:rPr>
                <w:t>C26/50(Rév.1)</w:t>
              </w:r>
            </w:hyperlink>
            <w:r w:rsidRPr="00603064">
              <w:t>), il a été demandé au secrétariat, comme indiqué au §</w:t>
            </w:r>
            <w:r w:rsidR="00F37D24">
              <w:t> </w:t>
            </w:r>
            <w:r w:rsidRPr="00603064">
              <w:t>10.6, d'élaborer un rapport sur les critères constitutifs d'une réforme "majeure" relative à l'organisation, en vue d'un examen ultérieur par la Conférence de plénipotentiaires de 2026.</w:t>
            </w:r>
          </w:p>
          <w:p w14:paraId="08CF9266" w14:textId="77777777" w:rsidR="00603064" w:rsidRPr="00603064" w:rsidRDefault="00603064" w:rsidP="00603064">
            <w:pPr>
              <w:pStyle w:val="Headingb"/>
            </w:pPr>
            <w:r w:rsidRPr="00603064">
              <w:t>Suite à donner</w:t>
            </w:r>
          </w:p>
          <w:p w14:paraId="1E3003D6" w14:textId="360E6F0B" w:rsidR="00603064" w:rsidRPr="00603064" w:rsidRDefault="00603064" w:rsidP="001D0B40">
            <w:pPr>
              <w:jc w:val="both"/>
            </w:pPr>
            <w:r w:rsidRPr="00603064">
              <w:t xml:space="preserve">La Conférence de plénipotentiaires est invitée à </w:t>
            </w:r>
            <w:r w:rsidR="008B28C5">
              <w:rPr>
                <w:b/>
                <w:bCs/>
              </w:rPr>
              <w:t>prendre note</w:t>
            </w:r>
            <w:r w:rsidR="008B28C5" w:rsidRPr="008B28C5">
              <w:t xml:space="preserve"> du</w:t>
            </w:r>
            <w:r w:rsidRPr="00603064">
              <w:t xml:space="preserve"> présent rapport.</w:t>
            </w:r>
          </w:p>
          <w:p w14:paraId="330FE5BC" w14:textId="62C6CBCA" w:rsidR="00603064" w:rsidRDefault="00603064" w:rsidP="008B28C5">
            <w:pPr>
              <w:pStyle w:val="Headingb"/>
            </w:pPr>
            <w:r w:rsidRPr="00603064">
              <w:t>Incidences financières</w:t>
            </w:r>
          </w:p>
          <w:p w14:paraId="7F84F991" w14:textId="48483A46" w:rsidR="008B28C5" w:rsidRPr="008B28C5" w:rsidRDefault="008B28C5" w:rsidP="008B28C5">
            <w:r>
              <w:t>Sans objet.</w:t>
            </w:r>
          </w:p>
          <w:p w14:paraId="3D9454F5" w14:textId="77777777" w:rsidR="00603064" w:rsidRPr="00603064" w:rsidRDefault="00603064" w:rsidP="00603064">
            <w:pPr>
              <w:jc w:val="center"/>
            </w:pPr>
            <w:r w:rsidRPr="00603064">
              <w:t>______________</w:t>
            </w:r>
          </w:p>
          <w:p w14:paraId="7E8C1271" w14:textId="77777777" w:rsidR="00603064" w:rsidRPr="00603064" w:rsidRDefault="00603064" w:rsidP="00603064">
            <w:pPr>
              <w:pStyle w:val="Headingb"/>
            </w:pPr>
            <w:r w:rsidRPr="00603064">
              <w:t>Références</w:t>
            </w:r>
          </w:p>
          <w:p w14:paraId="0BA771E3" w14:textId="6D286F95" w:rsidR="00603064" w:rsidRPr="001D0B40" w:rsidRDefault="00603064" w:rsidP="00603064">
            <w:pPr>
              <w:spacing w:after="120"/>
              <w:rPr>
                <w:i/>
                <w:iCs/>
                <w:sz w:val="22"/>
                <w:szCs w:val="22"/>
              </w:rPr>
            </w:pPr>
            <w:hyperlink r:id="rId10" w:history="1">
              <w:r w:rsidRPr="001D0B40">
                <w:rPr>
                  <w:rStyle w:val="Hyperlink"/>
                  <w:i/>
                  <w:iCs/>
                  <w:sz w:val="22"/>
                  <w:szCs w:val="22"/>
                </w:rPr>
                <w:t>Convention de l'Union internationale des télécommunications</w:t>
              </w:r>
            </w:hyperlink>
            <w:r w:rsidRPr="001D0B40">
              <w:rPr>
                <w:i/>
                <w:iCs/>
                <w:sz w:val="22"/>
                <w:szCs w:val="22"/>
              </w:rPr>
              <w:t xml:space="preserve"> adoptée à la Conférence de plénipotentiaires de 2022</w:t>
            </w:r>
            <w:r w:rsidR="008B28C5" w:rsidRPr="001D0B40">
              <w:rPr>
                <w:i/>
                <w:iCs/>
                <w:sz w:val="22"/>
                <w:szCs w:val="22"/>
              </w:rPr>
              <w:t xml:space="preserve">; Documents </w:t>
            </w:r>
            <w:hyperlink r:id="rId11" w:history="1">
              <w:r w:rsidR="008B28C5" w:rsidRPr="001D0B40">
                <w:rPr>
                  <w:rStyle w:val="Hyperlink"/>
                  <w:i/>
                  <w:iCs/>
                  <w:sz w:val="22"/>
                  <w:szCs w:val="22"/>
                </w:rPr>
                <w:t>C97/115</w:t>
              </w:r>
            </w:hyperlink>
            <w:r w:rsidR="008B28C5" w:rsidRPr="001D0B40">
              <w:rPr>
                <w:i/>
                <w:iCs/>
                <w:sz w:val="22"/>
                <w:szCs w:val="22"/>
              </w:rPr>
              <w:t xml:space="preserve"> et </w:t>
            </w:r>
            <w:hyperlink r:id="rId12" w:history="1">
              <w:r w:rsidR="00BC560B" w:rsidRPr="001D0B40">
                <w:rPr>
                  <w:rStyle w:val="Hyperlink"/>
                  <w:i/>
                  <w:iCs/>
                  <w:sz w:val="22"/>
                  <w:szCs w:val="22"/>
                </w:rPr>
                <w:t>C97/116</w:t>
              </w:r>
            </w:hyperlink>
            <w:r w:rsidR="008B28C5" w:rsidRPr="001D0B40">
              <w:rPr>
                <w:i/>
                <w:iCs/>
                <w:sz w:val="22"/>
                <w:szCs w:val="22"/>
              </w:rPr>
              <w:t xml:space="preserve"> du Conseil.</w:t>
            </w:r>
          </w:p>
        </w:tc>
      </w:tr>
    </w:tbl>
    <w:p w14:paraId="41D2DBEE" w14:textId="537D1E68" w:rsidR="00BD1614" w:rsidRPr="00603064" w:rsidRDefault="00BD1614" w:rsidP="00603064">
      <w:r w:rsidRPr="00603064">
        <w:br w:type="page"/>
      </w:r>
    </w:p>
    <w:p w14:paraId="3A8BB267" w14:textId="77777777" w:rsidR="00603064" w:rsidRPr="00603064" w:rsidRDefault="00603064" w:rsidP="00603064">
      <w:pPr>
        <w:pStyle w:val="Heading1"/>
      </w:pPr>
      <w:r w:rsidRPr="00603064">
        <w:lastRenderedPageBreak/>
        <w:t>1</w:t>
      </w:r>
      <w:r w:rsidRPr="00603064">
        <w:tab/>
        <w:t>Objet</w:t>
      </w:r>
    </w:p>
    <w:p w14:paraId="1C47F4AF" w14:textId="5713CE21" w:rsidR="00603064" w:rsidRPr="00603064" w:rsidRDefault="00603064" w:rsidP="001D0B40">
      <w:pPr>
        <w:jc w:val="both"/>
      </w:pPr>
      <w:r w:rsidRPr="00603064">
        <w:t xml:space="preserve">Le présent rapport fait suite au § 10.6 du rapport de la Présidente du Groupe de travail du Conseil sur les ressources financières et les ressources humaines (Document </w:t>
      </w:r>
      <w:hyperlink r:id="rId13" w:history="1">
        <w:r w:rsidRPr="00603064">
          <w:rPr>
            <w:rStyle w:val="Hyperlink"/>
          </w:rPr>
          <w:t>C26/50(Rév.1)</w:t>
        </w:r>
      </w:hyperlink>
      <w:r w:rsidRPr="00603064">
        <w:t xml:space="preserve">) en </w:t>
      </w:r>
      <w:r w:rsidR="008B28C5" w:rsidRPr="008B28C5">
        <w:t>ce qu'il a pour objet d'expliquer</w:t>
      </w:r>
      <w:r w:rsidRPr="00603064">
        <w:t xml:space="preserve"> les critères permettant de distinguer une réforme "majeure" relative à l'organisation d'un ajustement opérationnel ou administratif.</w:t>
      </w:r>
    </w:p>
    <w:p w14:paraId="0F829A32" w14:textId="77777777" w:rsidR="00603064" w:rsidRPr="00603064" w:rsidRDefault="00603064" w:rsidP="00603064">
      <w:pPr>
        <w:pStyle w:val="Heading1"/>
      </w:pPr>
      <w:r w:rsidRPr="00603064">
        <w:t>2</w:t>
      </w:r>
      <w:r w:rsidRPr="00603064">
        <w:tab/>
        <w:t>Contexte juridique et de gouvernance</w:t>
      </w:r>
    </w:p>
    <w:p w14:paraId="2062219E" w14:textId="35CDC1FE" w:rsidR="00603064" w:rsidRPr="00603064" w:rsidRDefault="00603064" w:rsidP="001D0B40">
      <w:pPr>
        <w:jc w:val="both"/>
      </w:pPr>
      <w:r w:rsidRPr="00603064">
        <w:t xml:space="preserve">En vertu du numéro 70(4) de l'article 4 de la Convention de l'Union internationale des télécommunications, le Conseil "décide de l'adoption des propositions de réformes majeures relatives à l'organisation du Secrétariat général et des Bureaux des Secteurs de l'Union conformes à la Constitution et la [...] Convention, qui lui sont soumises par le Secrétaire général après avoir été examinées par le Comité de coordination". Cette disposition établit </w:t>
      </w:r>
      <w:r w:rsidR="008B28C5">
        <w:t>le</w:t>
      </w:r>
      <w:r w:rsidRPr="00603064">
        <w:t xml:space="preserve"> seuil de gouvernance qui constitue une réforme relative à l'organisation</w:t>
      </w:r>
      <w:r w:rsidR="008B28C5">
        <w:t xml:space="preserve"> </w:t>
      </w:r>
      <w:r w:rsidR="008B28C5" w:rsidRPr="008B28C5">
        <w:t>nécessitait une décision de la part du Conseil.</w:t>
      </w:r>
    </w:p>
    <w:p w14:paraId="6FB07FBD" w14:textId="5121558B" w:rsidR="00603064" w:rsidRDefault="008B28C5" w:rsidP="001D0B40">
      <w:pPr>
        <w:jc w:val="both"/>
      </w:pPr>
      <w:r w:rsidRPr="008B28C5">
        <w:t xml:space="preserve">En vertu de la Résolution 1107 du Conseil sur le classement des emplois (Document </w:t>
      </w:r>
      <w:hyperlink r:id="rId14" w:history="1">
        <w:r w:rsidRPr="008B28C5">
          <w:rPr>
            <w:rStyle w:val="Hyperlink"/>
          </w:rPr>
          <w:t>C97/115</w:t>
        </w:r>
      </w:hyperlink>
      <w:r w:rsidRPr="008B28C5">
        <w:t>), le Secrétaire général est autorisé, avis pris du Comité de coordination, à reclasser des postes existants des catégories des services généraux et professionnelle.</w:t>
      </w:r>
    </w:p>
    <w:p w14:paraId="06DB9C4D" w14:textId="086729F2" w:rsidR="008B28C5" w:rsidRPr="00603064" w:rsidRDefault="008B28C5" w:rsidP="001D0B40">
      <w:pPr>
        <w:jc w:val="both"/>
      </w:pPr>
      <w:r w:rsidRPr="008B28C5">
        <w:t xml:space="preserve">En vertu de la Résolution 1108 du Conseil sur la gestion des emplois (Document </w:t>
      </w:r>
      <w:hyperlink r:id="rId15" w:history="1">
        <w:r w:rsidRPr="008B28C5">
          <w:rPr>
            <w:rStyle w:val="Hyperlink"/>
          </w:rPr>
          <w:t>C97/116</w:t>
        </w:r>
      </w:hyperlink>
      <w:r w:rsidRPr="008B28C5">
        <w:t>), le Secrétaire général est autorisé, avis pris du Comité de coordination, à créer ou à supprimer des postes des catégories des services généraux et professionnelle.</w:t>
      </w:r>
    </w:p>
    <w:p w14:paraId="61217197" w14:textId="1DFABD7C" w:rsidR="00603064" w:rsidRPr="00603064" w:rsidRDefault="00603064" w:rsidP="008B28C5">
      <w:pPr>
        <w:pStyle w:val="Heading1"/>
      </w:pPr>
      <w:r w:rsidRPr="00603064">
        <w:t>3</w:t>
      </w:r>
      <w:r w:rsidRPr="00603064">
        <w:tab/>
      </w:r>
      <w:r w:rsidR="008B28C5" w:rsidRPr="008B28C5">
        <w:t>Cadre actuel</w:t>
      </w:r>
    </w:p>
    <w:p w14:paraId="4819F56E" w14:textId="1C3D71C9" w:rsidR="008B28C5" w:rsidRDefault="008B28C5" w:rsidP="001D0B40">
      <w:pPr>
        <w:jc w:val="both"/>
      </w:pPr>
      <w:r>
        <w:t>Une réforme relative à l'organisation est considérée comme "majeure" lorsqu'elle entraîne une modification affectant plus de 50% des fonctions et responsabilités d'un poste de niveau D-1 ou D</w:t>
      </w:r>
      <w:r>
        <w:noBreakHyphen/>
        <w:t>2 financé par le budget ordinaire. Ce critère couvre également les modifications apportées au mandat ou à la structure organisationnelle d'un département ou d'un bureau, dans la mesure où ces modifications ont une incidence sur les postes concernés.</w:t>
      </w:r>
    </w:p>
    <w:p w14:paraId="4BE72545" w14:textId="6BF80C63" w:rsidR="008B28C5" w:rsidRDefault="008B28C5" w:rsidP="001D0B40">
      <w:pPr>
        <w:jc w:val="both"/>
      </w:pPr>
      <w:r>
        <w:t>Cette condition nécessaire s'applique aux postes de niveaux D-1 et D-2, étant entendu que le pouvoir de créer ou de supprimer des emplois des catégories des services généraux et professionnelle des grades G-1 à P-5 est délégué au Secrétaire général conformément à la Résolution 1108 du Conseil, sous réserve des conditions qui y sont énoncées. Sur recommandation du Département de la gestion des ressources humaines et après examen par le Comité de coordination, le Secrétaire général soumet par la suite une proposition satisfaisant à la condition susmentionnée à l'intention du Conseil pour décision, conformément au numéro 70(4) de l'article 4 de la Convention.</w:t>
      </w:r>
    </w:p>
    <w:p w14:paraId="01C257B7" w14:textId="77777777" w:rsidR="001D0B40" w:rsidRDefault="001D0B40" w:rsidP="001D0B40">
      <w:pPr>
        <w:jc w:val="both"/>
      </w:pPr>
    </w:p>
    <w:p w14:paraId="24D3D840" w14:textId="2EF36E9C" w:rsidR="00603064" w:rsidRPr="00603064" w:rsidRDefault="00603064" w:rsidP="00603064">
      <w:pPr>
        <w:jc w:val="center"/>
      </w:pPr>
      <w:r w:rsidRPr="00603064">
        <w:t>______________</w:t>
      </w:r>
    </w:p>
    <w:sectPr w:rsidR="00603064" w:rsidRPr="00603064" w:rsidSect="003A0B7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AE3BD" w14:textId="77777777" w:rsidR="0035503E" w:rsidRDefault="0035503E">
      <w:r>
        <w:separator/>
      </w:r>
    </w:p>
  </w:endnote>
  <w:endnote w:type="continuationSeparator" w:id="0">
    <w:p w14:paraId="2B0A120E" w14:textId="77777777" w:rsidR="0035503E" w:rsidRDefault="0035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AC2A9" w14:textId="77777777" w:rsidR="00C305F2" w:rsidRDefault="00C305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D6B8" w14:textId="77777777" w:rsidR="00C305F2" w:rsidRDefault="00C305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7C66" w14:textId="2956653C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1712" w14:textId="77777777" w:rsidR="0035503E" w:rsidRDefault="0035503E">
      <w:r>
        <w:t>____________________</w:t>
      </w:r>
    </w:p>
  </w:footnote>
  <w:footnote w:type="continuationSeparator" w:id="0">
    <w:p w14:paraId="1670DD31" w14:textId="77777777" w:rsidR="0035503E" w:rsidRDefault="00355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64FD" w14:textId="77777777" w:rsidR="00C305F2" w:rsidRDefault="00C305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ED6A7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650D8FD2" w14:textId="22562EA4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</w:t>
    </w:r>
    <w:r w:rsidR="00603064">
      <w:t>53</w:t>
    </w:r>
    <w:r w:rsidR="00801154">
      <w:t>-F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275A7" w14:textId="77777777" w:rsidR="00C305F2" w:rsidRDefault="00C305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43A66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C81F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1CAD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1CBF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80EC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049E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7618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A95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DC50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0AF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002046">
    <w:abstractNumId w:val="9"/>
  </w:num>
  <w:num w:numId="2" w16cid:durableId="943734316">
    <w:abstractNumId w:val="7"/>
  </w:num>
  <w:num w:numId="3" w16cid:durableId="1127820844">
    <w:abstractNumId w:val="6"/>
  </w:num>
  <w:num w:numId="4" w16cid:durableId="728040550">
    <w:abstractNumId w:val="5"/>
  </w:num>
  <w:num w:numId="5" w16cid:durableId="1314606200">
    <w:abstractNumId w:val="4"/>
  </w:num>
  <w:num w:numId="6" w16cid:durableId="434180963">
    <w:abstractNumId w:val="8"/>
  </w:num>
  <w:num w:numId="7" w16cid:durableId="511263982">
    <w:abstractNumId w:val="3"/>
  </w:num>
  <w:num w:numId="8" w16cid:durableId="2141604244">
    <w:abstractNumId w:val="2"/>
  </w:num>
  <w:num w:numId="9" w16cid:durableId="1893301144">
    <w:abstractNumId w:val="1"/>
  </w:num>
  <w:num w:numId="10" w16cid:durableId="171654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3C72"/>
    <w:rsid w:val="000C467B"/>
    <w:rsid w:val="000D15FB"/>
    <w:rsid w:val="000F58F7"/>
    <w:rsid w:val="001051E4"/>
    <w:rsid w:val="00126843"/>
    <w:rsid w:val="001354EA"/>
    <w:rsid w:val="00136FCE"/>
    <w:rsid w:val="00153BA4"/>
    <w:rsid w:val="001941AD"/>
    <w:rsid w:val="0019732C"/>
    <w:rsid w:val="001A0682"/>
    <w:rsid w:val="001B4D8D"/>
    <w:rsid w:val="001C3790"/>
    <w:rsid w:val="001D0B40"/>
    <w:rsid w:val="001D31B2"/>
    <w:rsid w:val="001E1B9B"/>
    <w:rsid w:val="001E2226"/>
    <w:rsid w:val="001F0B24"/>
    <w:rsid w:val="001F6233"/>
    <w:rsid w:val="002355CD"/>
    <w:rsid w:val="00270B2F"/>
    <w:rsid w:val="002712F9"/>
    <w:rsid w:val="002A0E1B"/>
    <w:rsid w:val="002A7A1D"/>
    <w:rsid w:val="002C1059"/>
    <w:rsid w:val="002C2F9C"/>
    <w:rsid w:val="002E1AF7"/>
    <w:rsid w:val="00322DEA"/>
    <w:rsid w:val="0035503E"/>
    <w:rsid w:val="00355FBD"/>
    <w:rsid w:val="003560FE"/>
    <w:rsid w:val="00371863"/>
    <w:rsid w:val="00381461"/>
    <w:rsid w:val="00391C12"/>
    <w:rsid w:val="003A0B7D"/>
    <w:rsid w:val="003A45C2"/>
    <w:rsid w:val="003A67C1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524001"/>
    <w:rsid w:val="00563698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03064"/>
    <w:rsid w:val="00611CF1"/>
    <w:rsid w:val="006201D9"/>
    <w:rsid w:val="006277DB"/>
    <w:rsid w:val="00635B7B"/>
    <w:rsid w:val="00655B98"/>
    <w:rsid w:val="006578C3"/>
    <w:rsid w:val="006612C3"/>
    <w:rsid w:val="00662940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134C"/>
    <w:rsid w:val="007A47E9"/>
    <w:rsid w:val="007A5830"/>
    <w:rsid w:val="007D21FB"/>
    <w:rsid w:val="00801154"/>
    <w:rsid w:val="00801256"/>
    <w:rsid w:val="008264FC"/>
    <w:rsid w:val="008407A7"/>
    <w:rsid w:val="008703CB"/>
    <w:rsid w:val="008B28C5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23CD4"/>
    <w:rsid w:val="00B41E0A"/>
    <w:rsid w:val="00B56DE0"/>
    <w:rsid w:val="00B71F12"/>
    <w:rsid w:val="00B76FEC"/>
    <w:rsid w:val="00B96B1E"/>
    <w:rsid w:val="00BB2A6F"/>
    <w:rsid w:val="00BC560B"/>
    <w:rsid w:val="00BD1614"/>
    <w:rsid w:val="00BD382C"/>
    <w:rsid w:val="00BD5C12"/>
    <w:rsid w:val="00BD5DA6"/>
    <w:rsid w:val="00BF7D25"/>
    <w:rsid w:val="00C010C0"/>
    <w:rsid w:val="00C0405F"/>
    <w:rsid w:val="00C305F2"/>
    <w:rsid w:val="00C40CB5"/>
    <w:rsid w:val="00C54CE6"/>
    <w:rsid w:val="00C575E2"/>
    <w:rsid w:val="00C7368B"/>
    <w:rsid w:val="00C92746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37D24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F7E724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table" w:styleId="TableGrid">
    <w:name w:val="Table Grid"/>
    <w:basedOn w:val="TableNormal"/>
    <w:rsid w:val="00603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tu.int/md/S26-CL-C-0050/f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itu.int/itudoc/gs/council/c97/docs/res/116-fr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https://www.itu.int/itudoc/gs/council/c97/docs/res/115-fr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tu.int/itudoc/gs/council/c97/docs/res/116-fr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tu.int/fr/history/pages/constitutionandconvention.aspx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itu.int/md/S26-CL-C-0050/fr" TargetMode="External"/><Relationship Id="rId14" Type="http://schemas.openxmlformats.org/officeDocument/2006/relationships/hyperlink" Target="https://www.itu.int/itudoc/gs/council/c97/docs/res/115-fr.html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604</Words>
  <Characters>3497</Characters>
  <Application>Microsoft Office Word</Application>
  <DocSecurity>0</DocSecurity>
  <Lines>83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les critères constitutifs d'une réforme "majeure" relative à l'organisation</dc:title>
  <dc:subject>ITU Plenipotentiary Conference (PP-26)</dc:subject>
  <cp:keywords>PP-26, PP26, ITU</cp:keywords>
  <dc:description/>
  <dcterms:created xsi:type="dcterms:W3CDTF">2026-10-09T16:10:00Z</dcterms:created>
  <dcterms:modified xsi:type="dcterms:W3CDTF">2026-10-09T16:15:00Z</dcterms:modified>
  <cp:category>Conference document</cp:category>
</cp:coreProperties>
</file>