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CA47AD"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CA47AD" w:rsidRDefault="00CE496F" w:rsidP="00CE496F">
            <w:pPr>
              <w:spacing w:before="0" w:line="240" w:lineRule="atLeast"/>
              <w:rPr>
                <w:rFonts w:cstheme="minorHAnsi"/>
              </w:rPr>
            </w:pPr>
            <w:bookmarkStart w:id="0" w:name="ditulogo"/>
            <w:bookmarkEnd w:id="0"/>
            <w:r w:rsidRPr="00CA47AD">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CA47AD" w14:paraId="3120A8D9" w14:textId="77777777" w:rsidTr="00BD5C12">
        <w:trPr>
          <w:cantSplit/>
          <w:jc w:val="center"/>
        </w:trPr>
        <w:tc>
          <w:tcPr>
            <w:tcW w:w="10031" w:type="dxa"/>
            <w:gridSpan w:val="2"/>
            <w:tcBorders>
              <w:bottom w:val="single" w:sz="12" w:space="0" w:color="71716F"/>
            </w:tcBorders>
          </w:tcPr>
          <w:p w14:paraId="57068B73" w14:textId="77777777" w:rsidR="002E1AF7" w:rsidRPr="00CA47AD" w:rsidRDefault="002E1AF7" w:rsidP="00CE496F">
            <w:pPr>
              <w:spacing w:before="0" w:line="240" w:lineRule="atLeast"/>
              <w:rPr>
                <w:rFonts w:cstheme="minorHAnsi"/>
                <w:b/>
                <w:smallCaps/>
                <w:szCs w:val="24"/>
              </w:rPr>
            </w:pPr>
            <w:bookmarkStart w:id="1" w:name="dhead"/>
          </w:p>
        </w:tc>
      </w:tr>
      <w:tr w:rsidR="00BD1614" w:rsidRPr="00CA47AD" w14:paraId="20A2296F" w14:textId="77777777" w:rsidTr="00EC1877">
        <w:trPr>
          <w:cantSplit/>
          <w:jc w:val="center"/>
        </w:trPr>
        <w:tc>
          <w:tcPr>
            <w:tcW w:w="7229" w:type="dxa"/>
            <w:tcBorders>
              <w:top w:val="single" w:sz="12" w:space="0" w:color="71716F"/>
            </w:tcBorders>
          </w:tcPr>
          <w:p w14:paraId="4CFA6027" w14:textId="77777777" w:rsidR="00BD1614" w:rsidRPr="00CA47AD"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CA47AD" w:rsidRDefault="00BD1614" w:rsidP="007A47E9">
            <w:pPr>
              <w:spacing w:before="0"/>
              <w:rPr>
                <w:rFonts w:cstheme="minorHAnsi"/>
                <w:szCs w:val="24"/>
              </w:rPr>
            </w:pPr>
          </w:p>
        </w:tc>
      </w:tr>
      <w:tr w:rsidR="00BD1614" w:rsidRPr="00CA47AD" w14:paraId="5EBA9561" w14:textId="77777777" w:rsidTr="00CE496F">
        <w:trPr>
          <w:cantSplit/>
          <w:jc w:val="center"/>
        </w:trPr>
        <w:tc>
          <w:tcPr>
            <w:tcW w:w="7229" w:type="dxa"/>
          </w:tcPr>
          <w:p w14:paraId="081C5B53" w14:textId="1964A8DB" w:rsidR="00BD1614" w:rsidRPr="00CA47AD" w:rsidRDefault="00CA47AD" w:rsidP="00801154">
            <w:pPr>
              <w:pStyle w:val="Committee"/>
              <w:framePr w:hSpace="0" w:wrap="auto" w:hAnchor="text" w:yAlign="inline"/>
              <w:spacing w:after="0" w:line="240" w:lineRule="auto"/>
              <w:rPr>
                <w:lang w:val="fr-FR"/>
              </w:rPr>
            </w:pPr>
            <w:r>
              <w:rPr>
                <w:lang w:val="fr-FR"/>
              </w:rPr>
              <w:t>COMMISSION 3</w:t>
            </w:r>
          </w:p>
        </w:tc>
        <w:tc>
          <w:tcPr>
            <w:tcW w:w="2802" w:type="dxa"/>
            <w:tcMar>
              <w:left w:w="142" w:type="dxa"/>
              <w:right w:w="0" w:type="dxa"/>
            </w:tcMar>
          </w:tcPr>
          <w:p w14:paraId="42E82404" w14:textId="72700274" w:rsidR="00BD1614" w:rsidRPr="00CA47AD" w:rsidRDefault="00801154" w:rsidP="007A47E9">
            <w:pPr>
              <w:spacing w:before="0"/>
              <w:rPr>
                <w:rFonts w:cstheme="minorHAnsi"/>
                <w:szCs w:val="24"/>
              </w:rPr>
            </w:pPr>
            <w:r w:rsidRPr="00CA47AD">
              <w:rPr>
                <w:rFonts w:cstheme="minorHAnsi"/>
                <w:b/>
                <w:szCs w:val="24"/>
              </w:rPr>
              <w:t xml:space="preserve">Document </w:t>
            </w:r>
            <w:r w:rsidR="00CA47AD" w:rsidRPr="00CA47AD">
              <w:rPr>
                <w:rFonts w:cstheme="minorHAnsi"/>
                <w:b/>
                <w:szCs w:val="24"/>
              </w:rPr>
              <w:t>50</w:t>
            </w:r>
            <w:r w:rsidRPr="00CA47AD">
              <w:rPr>
                <w:rFonts w:cstheme="minorHAnsi"/>
                <w:b/>
                <w:szCs w:val="24"/>
              </w:rPr>
              <w:t>-F</w:t>
            </w:r>
          </w:p>
        </w:tc>
      </w:tr>
      <w:tr w:rsidR="00BD1614" w:rsidRPr="00CA47AD" w14:paraId="5C605E2F" w14:textId="77777777" w:rsidTr="00CE496F">
        <w:trPr>
          <w:cantSplit/>
          <w:jc w:val="center"/>
        </w:trPr>
        <w:tc>
          <w:tcPr>
            <w:tcW w:w="7229" w:type="dxa"/>
          </w:tcPr>
          <w:p w14:paraId="3701819B" w14:textId="4343949C" w:rsidR="00BD1614" w:rsidRPr="00CA47AD" w:rsidRDefault="00BD1614" w:rsidP="007A47E9">
            <w:pPr>
              <w:spacing w:before="0"/>
              <w:rPr>
                <w:rFonts w:cstheme="minorHAnsi"/>
                <w:b/>
                <w:szCs w:val="24"/>
              </w:rPr>
            </w:pPr>
          </w:p>
        </w:tc>
        <w:tc>
          <w:tcPr>
            <w:tcW w:w="2802" w:type="dxa"/>
            <w:tcMar>
              <w:left w:w="142" w:type="dxa"/>
              <w:right w:w="0" w:type="dxa"/>
            </w:tcMar>
          </w:tcPr>
          <w:p w14:paraId="4FD5E934" w14:textId="6FEF25DE" w:rsidR="00BD1614" w:rsidRPr="00CA47AD" w:rsidRDefault="00A5581F" w:rsidP="007A47E9">
            <w:pPr>
              <w:spacing w:before="0"/>
              <w:rPr>
                <w:rFonts w:cstheme="minorHAnsi"/>
                <w:b/>
                <w:szCs w:val="24"/>
              </w:rPr>
            </w:pPr>
            <w:r>
              <w:rPr>
                <w:rFonts w:cstheme="minorHAnsi"/>
                <w:b/>
                <w:szCs w:val="24"/>
              </w:rPr>
              <w:t>5 octobre</w:t>
            </w:r>
            <w:r w:rsidR="00CA47AD" w:rsidRPr="00CA47AD">
              <w:rPr>
                <w:rFonts w:cstheme="minorHAnsi"/>
                <w:b/>
                <w:szCs w:val="24"/>
              </w:rPr>
              <w:t xml:space="preserve"> 2026</w:t>
            </w:r>
          </w:p>
        </w:tc>
      </w:tr>
      <w:tr w:rsidR="00BD1614" w:rsidRPr="00CA47AD" w14:paraId="6B2B4BC1" w14:textId="77777777" w:rsidTr="00CE496F">
        <w:trPr>
          <w:cantSplit/>
          <w:jc w:val="center"/>
        </w:trPr>
        <w:tc>
          <w:tcPr>
            <w:tcW w:w="7229" w:type="dxa"/>
          </w:tcPr>
          <w:p w14:paraId="780A194C" w14:textId="77777777" w:rsidR="00BD1614" w:rsidRPr="00CA47AD"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CA47AD" w:rsidRDefault="00801154" w:rsidP="007A47E9">
            <w:pPr>
              <w:spacing w:before="0"/>
              <w:rPr>
                <w:rFonts w:cstheme="minorHAnsi"/>
                <w:b/>
                <w:szCs w:val="24"/>
              </w:rPr>
            </w:pPr>
            <w:r w:rsidRPr="00CA47AD">
              <w:rPr>
                <w:rFonts w:cstheme="minorHAnsi"/>
                <w:b/>
                <w:szCs w:val="24"/>
              </w:rPr>
              <w:t>Original: anglais</w:t>
            </w:r>
          </w:p>
        </w:tc>
      </w:tr>
      <w:tr w:rsidR="00BD1614" w:rsidRPr="00CA47AD" w14:paraId="4259B884" w14:textId="77777777" w:rsidTr="002E1AF7">
        <w:trPr>
          <w:cantSplit/>
          <w:jc w:val="center"/>
        </w:trPr>
        <w:tc>
          <w:tcPr>
            <w:tcW w:w="10031" w:type="dxa"/>
            <w:gridSpan w:val="2"/>
          </w:tcPr>
          <w:p w14:paraId="770628D7" w14:textId="77777777" w:rsidR="00BD1614" w:rsidRPr="00CA47AD" w:rsidRDefault="00BD1614" w:rsidP="007A47E9">
            <w:pPr>
              <w:spacing w:before="0" w:line="240" w:lineRule="atLeast"/>
              <w:rPr>
                <w:rFonts w:cstheme="minorHAnsi"/>
                <w:b/>
                <w:szCs w:val="24"/>
              </w:rPr>
            </w:pPr>
          </w:p>
        </w:tc>
      </w:tr>
      <w:tr w:rsidR="00BD1614" w:rsidRPr="00CA47AD" w14:paraId="6A9FB924" w14:textId="77777777" w:rsidTr="002E1AF7">
        <w:trPr>
          <w:cantSplit/>
          <w:jc w:val="center"/>
        </w:trPr>
        <w:tc>
          <w:tcPr>
            <w:tcW w:w="10031" w:type="dxa"/>
            <w:gridSpan w:val="2"/>
          </w:tcPr>
          <w:p w14:paraId="070875E6" w14:textId="41921B5D" w:rsidR="00BD1614" w:rsidRPr="00CA47AD" w:rsidRDefault="00CA47AD" w:rsidP="0098016C">
            <w:pPr>
              <w:pStyle w:val="Source"/>
              <w:spacing w:before="480"/>
            </w:pPr>
            <w:bookmarkStart w:id="2" w:name="dsource" w:colFirst="0" w:colLast="0"/>
            <w:bookmarkEnd w:id="1"/>
            <w:r>
              <w:t>Note de la Secrétaire générale</w:t>
            </w:r>
          </w:p>
        </w:tc>
      </w:tr>
      <w:tr w:rsidR="00BD1614" w:rsidRPr="00CA47AD" w14:paraId="534EEA05" w14:textId="77777777" w:rsidTr="002E1AF7">
        <w:trPr>
          <w:cantSplit/>
          <w:jc w:val="center"/>
        </w:trPr>
        <w:tc>
          <w:tcPr>
            <w:tcW w:w="10031" w:type="dxa"/>
            <w:gridSpan w:val="2"/>
          </w:tcPr>
          <w:p w14:paraId="0C8E89F3" w14:textId="4AFF5F86" w:rsidR="00BD1614" w:rsidRPr="00CA47AD" w:rsidRDefault="0080087B" w:rsidP="00DB75A4">
            <w:pPr>
              <w:pStyle w:val="Title1"/>
              <w:spacing w:before="120"/>
            </w:pPr>
            <w:bookmarkStart w:id="3" w:name="dtitle1" w:colFirst="0" w:colLast="0"/>
            <w:bookmarkEnd w:id="2"/>
            <w:r>
              <w:rPr>
                <w:caps w:val="0"/>
              </w:rPr>
              <w:t xml:space="preserve">CONTRIBUTION AUX DÉPENSES DE LA CONFÉRENCE </w:t>
            </w:r>
            <w:r>
              <w:rPr>
                <w:caps w:val="0"/>
              </w:rPr>
              <w:br/>
              <w:t>DE PLÉNIPOTENTIAIRES (PP-26)</w:t>
            </w:r>
          </w:p>
        </w:tc>
      </w:tr>
    </w:tbl>
    <w:bookmarkEnd w:id="3"/>
    <w:p w14:paraId="7AD6F79A" w14:textId="27025305" w:rsidR="000D15FB" w:rsidRDefault="00CA47AD" w:rsidP="00DB75A4">
      <w:pPr>
        <w:pStyle w:val="Normalaftertitle"/>
        <w:jc w:val="both"/>
      </w:pPr>
      <w:r w:rsidRPr="00CA47AD">
        <w:t>Conformément au numéro 476 de la Convention de l'Union internationale des télécommunications:</w:t>
      </w:r>
    </w:p>
    <w:p w14:paraId="30C20B46" w14:textId="5E81A5FE" w:rsidR="00CA47AD" w:rsidRDefault="00CA47AD" w:rsidP="00DB75A4">
      <w:pPr>
        <w:spacing w:before="80"/>
        <w:jc w:val="both"/>
      </w:pPr>
      <w:r w:rsidRPr="00CA47AD">
        <w:t>"4</w:t>
      </w:r>
      <w:r w:rsidRPr="00CA47AD">
        <w:tab/>
        <w:t>1)</w:t>
      </w:r>
      <w:r w:rsidRPr="00CA47AD">
        <w:tab/>
        <w:t>Les organisations visées aux numéros 269A à 269E de la présente Convention et d'autres organisations internationales (sauf si elles ont été exonérées par le Conseil, sous réserve de réciprocité) et les Membres des Secteurs qui participent, conformément aux dispositions de la présente Convention, à une Conférence de plénipotentiaires, à une conférence, à une assemblée ou à une réunion d'un Secteur de l'Union ou à une conférence mondiale des télécommunications internationales, contribuent aux dépenses des conférences, assemblées et réunions auxquelles ils participent en fonction du coût de ces conférences et réunions et conformément au Règlement financier. Toutefois, les Membres des Secteurs ne contribueront pas spécifiquement aux dépenses liées à leur participation à une conférence, une assemblée ou une réunion de leur Secteur respectif, sauf dans le cas des conférences régionales des radiocommunications."</w:t>
      </w:r>
    </w:p>
    <w:p w14:paraId="6DD1D494" w14:textId="5C4C71E1" w:rsidR="00CA47AD" w:rsidRDefault="00CA47AD" w:rsidP="00DB75A4">
      <w:pPr>
        <w:jc w:val="both"/>
      </w:pPr>
      <w:r>
        <w:t>Conformément à l'Article 7.5 du Règlement financier:</w:t>
      </w:r>
    </w:p>
    <w:p w14:paraId="25D52C33" w14:textId="1FB6EF62" w:rsidR="00CA47AD" w:rsidRDefault="00CA47AD" w:rsidP="00DB75A4">
      <w:pPr>
        <w:pStyle w:val="enumlev1"/>
        <w:spacing w:before="80"/>
        <w:jc w:val="both"/>
      </w:pPr>
      <w:r>
        <w:t>"a)</w:t>
      </w:r>
      <w:r>
        <w:tab/>
        <w:t>Sous réserve des dispositions de l'alinéa b) ci-dessous, les contributions visées au numéro 476 de la Convention se fondent sur le libre choix d'une classe de contribution dans l'échelle établie au numéro 468 de la Convention.</w:t>
      </w:r>
    </w:p>
    <w:p w14:paraId="5061A9C3" w14:textId="4C39B2E9" w:rsidR="00CA47AD" w:rsidRPr="00CA47AD" w:rsidRDefault="00CA47AD" w:rsidP="00DB75A4">
      <w:pPr>
        <w:pStyle w:val="enumlev1"/>
        <w:spacing w:before="80"/>
        <w:jc w:val="both"/>
      </w:pPr>
      <w:r>
        <w:t>b)</w:t>
      </w:r>
      <w:r>
        <w:tab/>
        <w:t>Le montant de la contribution par unité payable au titre des charges d'une conférence ou d'une assemblée s'établit en divisant le budget de la conférence ou de l'assemblée en question par le nombre total d'unités payées par les États Membres au titre de leur part des charges de l'Union. Les contributions sont considérées comme constituant des produits de l'Union; elles portent intérêts à partir du soixantième jour après la date d'envoi des comptes, aux taux fixés dans le numéro 474 de la Convention. Les organisations internationales et les Membres des Secteurs qui ne sont pas exonérés contribuent au niveau minimum d'une unité."</w:t>
      </w:r>
    </w:p>
    <w:p w14:paraId="73C47FBF" w14:textId="3AA85580" w:rsidR="00CA47AD" w:rsidRDefault="00CA47AD" w:rsidP="00DB75A4">
      <w:pPr>
        <w:keepLines/>
        <w:jc w:val="both"/>
      </w:pPr>
      <w:r>
        <w:t xml:space="preserve">Le montant total du budget de la Conférence de plénipotentiaires (PP-26) s'élève à </w:t>
      </w:r>
      <w:r w:rsidRPr="00CA47AD">
        <w:rPr>
          <w:b/>
          <w:bCs/>
        </w:rPr>
        <w:t>2 845 000 CHF</w:t>
      </w:r>
      <w:r>
        <w:t xml:space="preserve">, coût de la documentation compris. Le nombre total d'unités contributives des États Membres étant de </w:t>
      </w:r>
      <w:r w:rsidRPr="00CA47AD">
        <w:rPr>
          <w:b/>
          <w:bCs/>
        </w:rPr>
        <w:t>356</w:t>
      </w:r>
      <w:r>
        <w:t xml:space="preserve"> unités, le montant de l'unité contributive pour les entités non exonérées qui contribuent aux dépenses de la Conférence s'établit à </w:t>
      </w:r>
      <w:r w:rsidR="00DB75A4" w:rsidRPr="00196010">
        <w:rPr>
          <w:rFonts w:asciiTheme="minorHAnsi" w:hAnsiTheme="minorHAnsi"/>
          <w:b/>
          <w:szCs w:val="24"/>
        </w:rPr>
        <w:t>7</w:t>
      </w:r>
      <w:r w:rsidR="00DB75A4">
        <w:rPr>
          <w:rFonts w:asciiTheme="minorHAnsi" w:hAnsiTheme="minorHAnsi"/>
          <w:b/>
          <w:szCs w:val="24"/>
        </w:rPr>
        <w:t> </w:t>
      </w:r>
      <w:r w:rsidR="00DB75A4" w:rsidRPr="00196010">
        <w:rPr>
          <w:rFonts w:asciiTheme="minorHAnsi" w:hAnsiTheme="minorHAnsi"/>
          <w:b/>
          <w:szCs w:val="24"/>
        </w:rPr>
        <w:t>991</w:t>
      </w:r>
      <w:r w:rsidR="00DB75A4">
        <w:rPr>
          <w:rFonts w:asciiTheme="minorHAnsi" w:hAnsiTheme="minorHAnsi"/>
          <w:b/>
          <w:szCs w:val="24"/>
        </w:rPr>
        <w:t>,</w:t>
      </w:r>
      <w:r w:rsidR="00DB75A4" w:rsidRPr="00196010">
        <w:rPr>
          <w:rFonts w:asciiTheme="minorHAnsi" w:hAnsiTheme="minorHAnsi"/>
          <w:b/>
          <w:szCs w:val="24"/>
        </w:rPr>
        <w:t>60</w:t>
      </w:r>
      <w:r w:rsidR="00DB75A4">
        <w:rPr>
          <w:rFonts w:asciiTheme="minorHAnsi" w:hAnsiTheme="minorHAnsi"/>
          <w:b/>
          <w:szCs w:val="24"/>
        </w:rPr>
        <w:t xml:space="preserve"> </w:t>
      </w:r>
      <w:r w:rsidRPr="00CA47AD">
        <w:rPr>
          <w:b/>
          <w:bCs/>
        </w:rPr>
        <w:t>CHF</w:t>
      </w:r>
      <w:r>
        <w:t>.</w:t>
      </w:r>
    </w:p>
    <w:p w14:paraId="5465BA1F" w14:textId="77777777" w:rsidR="00CA47AD" w:rsidRDefault="00CA47AD" w:rsidP="00DB75A4">
      <w:pPr>
        <w:jc w:val="both"/>
      </w:pPr>
      <w:r>
        <w:t>Une liste de ces organisations et de ces Membres des Secteurs sera publiée dans le rapport présenté par la Commission 3 à la plénière.</w:t>
      </w:r>
    </w:p>
    <w:p w14:paraId="210C81BA" w14:textId="2DA42E4A" w:rsidR="0098016C" w:rsidRPr="00CA47AD" w:rsidRDefault="00CA47AD" w:rsidP="0098016C">
      <w:pPr>
        <w:pStyle w:val="Signature"/>
        <w:spacing w:before="240"/>
      </w:pPr>
      <w:r>
        <w:tab/>
        <w:t xml:space="preserve">Doreen </w:t>
      </w:r>
      <w:r w:rsidRPr="0098016C">
        <w:t>Bogdan</w:t>
      </w:r>
      <w:r>
        <w:t>-Martin</w:t>
      </w:r>
      <w:r w:rsidR="0098016C">
        <w:br/>
      </w:r>
      <w:r>
        <w:tab/>
        <w:t>Secrétaire générale</w:t>
      </w:r>
    </w:p>
    <w:sectPr w:rsidR="0098016C" w:rsidRPr="00CA47AD" w:rsidSect="003A0B7D">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52DCE" w14:textId="77777777" w:rsidR="00537202" w:rsidRPr="00CA47AD" w:rsidRDefault="00537202">
      <w:r w:rsidRPr="00CA47AD">
        <w:separator/>
      </w:r>
    </w:p>
  </w:endnote>
  <w:endnote w:type="continuationSeparator" w:id="0">
    <w:p w14:paraId="5FAAFB35" w14:textId="77777777" w:rsidR="00537202" w:rsidRPr="00CA47AD" w:rsidRDefault="00537202">
      <w:r w:rsidRPr="00CA47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69E09F3E" w:rsidR="000C467B" w:rsidRPr="00CA47AD" w:rsidRDefault="000D15FB" w:rsidP="00EC1877">
    <w:pPr>
      <w:pStyle w:val="firstfooter0"/>
      <w:spacing w:before="0" w:beforeAutospacing="0" w:after="0" w:afterAutospacing="0"/>
      <w:jc w:val="center"/>
      <w:rPr>
        <w:sz w:val="18"/>
        <w:szCs w:val="18"/>
        <w:lang w:val="fr-FR"/>
      </w:rPr>
    </w:pPr>
    <w:r w:rsidRPr="00CA47AD">
      <w:rPr>
        <w:rFonts w:ascii="Symbol" w:hAnsi="Symbol"/>
        <w:sz w:val="22"/>
        <w:szCs w:val="20"/>
        <w:lang w:val="fr-FR"/>
      </w:rPr>
      <w:t></w:t>
    </w:r>
    <w:r w:rsidRPr="00CA47AD">
      <w:rPr>
        <w:sz w:val="20"/>
        <w:szCs w:val="20"/>
        <w:lang w:val="fr-FR"/>
      </w:rPr>
      <w:t xml:space="preserve"> </w:t>
    </w:r>
    <w:hyperlink r:id="rId1" w:history="1">
      <w:r w:rsidR="007575CC" w:rsidRPr="00CA47AD">
        <w:rPr>
          <w:rStyle w:val="Hyperlink"/>
          <w:color w:val="00A3E0"/>
          <w:sz w:val="22"/>
          <w:szCs w:val="22"/>
          <w:lang w:val="fr-FR"/>
        </w:rPr>
        <w:t>www.itu.int/plenipotentiary/</w:t>
      </w:r>
    </w:hyperlink>
    <w:r w:rsidR="007575CC" w:rsidRPr="0098016C">
      <w:rPr>
        <w:color w:val="0000FF"/>
        <w:sz w:val="22"/>
        <w:szCs w:val="22"/>
        <w:lang w:val="fr-FR"/>
      </w:rPr>
      <w:t xml:space="preserve"> </w:t>
    </w:r>
    <w:r w:rsidRPr="00CA47AD">
      <w:rPr>
        <w:rFonts w:ascii="Symbol" w:hAnsi="Symbol"/>
        <w:sz w:val="22"/>
        <w:szCs w:val="20"/>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D5719" w14:textId="77777777" w:rsidR="00537202" w:rsidRPr="00CA47AD" w:rsidRDefault="00537202">
      <w:r w:rsidRPr="00CA47AD">
        <w:t>____________________</w:t>
      </w:r>
    </w:p>
  </w:footnote>
  <w:footnote w:type="continuationSeparator" w:id="0">
    <w:p w14:paraId="752E55F5" w14:textId="77777777" w:rsidR="00537202" w:rsidRPr="00CA47AD" w:rsidRDefault="00537202">
      <w:r w:rsidRPr="00CA47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Pr="00CA47AD" w:rsidRDefault="00BD1614" w:rsidP="00BD1614">
    <w:pPr>
      <w:pStyle w:val="Header"/>
    </w:pPr>
    <w:r w:rsidRPr="00CA47AD">
      <w:fldChar w:fldCharType="begin"/>
    </w:r>
    <w:r w:rsidRPr="00CA47AD">
      <w:instrText xml:space="preserve"> PAGE </w:instrText>
    </w:r>
    <w:r w:rsidRPr="00CA47AD">
      <w:fldChar w:fldCharType="separate"/>
    </w:r>
    <w:r w:rsidR="00B76FEC" w:rsidRPr="00CA47AD">
      <w:t>2</w:t>
    </w:r>
    <w:r w:rsidRPr="00CA47AD">
      <w:fldChar w:fldCharType="end"/>
    </w:r>
  </w:p>
  <w:p w14:paraId="650D8FD2" w14:textId="49CD326C" w:rsidR="00BD1614" w:rsidRPr="00CA47AD" w:rsidRDefault="00BD1614" w:rsidP="001E2226">
    <w:pPr>
      <w:pStyle w:val="Header"/>
    </w:pPr>
    <w:r w:rsidRPr="00CA47AD">
      <w:t>PP</w:t>
    </w:r>
    <w:r w:rsidR="002A7A1D" w:rsidRPr="00CA47AD">
      <w:t>2</w:t>
    </w:r>
    <w:r w:rsidR="008407A7" w:rsidRPr="00CA47AD">
      <w:t>6</w:t>
    </w:r>
    <w:r w:rsidRPr="00CA47AD">
      <w:t>/</w:t>
    </w:r>
    <w:r w:rsidR="00CA47AD">
      <w:t>50</w:t>
    </w:r>
    <w:r w:rsidR="00801154" w:rsidRPr="00CA47AD">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6029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7A38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67F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7A27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D63B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0E2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7C6B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54A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6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2C64CC"/>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849057816">
    <w:abstractNumId w:val="8"/>
  </w:num>
  <w:num w:numId="12" w16cid:durableId="684523734">
    <w:abstractNumId w:val="3"/>
  </w:num>
  <w:num w:numId="13" w16cid:durableId="1599488385">
    <w:abstractNumId w:val="2"/>
  </w:num>
  <w:num w:numId="14" w16cid:durableId="1298031420">
    <w:abstractNumId w:val="1"/>
  </w:num>
  <w:num w:numId="15" w16cid:durableId="1308977798">
    <w:abstractNumId w:val="0"/>
  </w:num>
  <w:num w:numId="16" w16cid:durableId="115178065">
    <w:abstractNumId w:val="8"/>
  </w:num>
  <w:num w:numId="17" w16cid:durableId="755054755">
    <w:abstractNumId w:val="3"/>
  </w:num>
  <w:num w:numId="18" w16cid:durableId="1288242202">
    <w:abstractNumId w:val="2"/>
  </w:num>
  <w:num w:numId="19" w16cid:durableId="1496846064">
    <w:abstractNumId w:val="1"/>
  </w:num>
  <w:num w:numId="20" w16cid:durableId="337119737">
    <w:abstractNumId w:val="0"/>
  </w:num>
  <w:num w:numId="21" w16cid:durableId="387077536">
    <w:abstractNumId w:val="8"/>
  </w:num>
  <w:num w:numId="22" w16cid:durableId="591662730">
    <w:abstractNumId w:val="3"/>
  </w:num>
  <w:num w:numId="23" w16cid:durableId="507990620">
    <w:abstractNumId w:val="2"/>
  </w:num>
  <w:num w:numId="24" w16cid:durableId="222301902">
    <w:abstractNumId w:val="1"/>
  </w:num>
  <w:num w:numId="25" w16cid:durableId="1310399264">
    <w:abstractNumId w:val="0"/>
  </w:num>
  <w:num w:numId="26" w16cid:durableId="1690180651">
    <w:abstractNumId w:val="8"/>
  </w:num>
  <w:num w:numId="27" w16cid:durableId="792017968">
    <w:abstractNumId w:val="3"/>
  </w:num>
  <w:num w:numId="28" w16cid:durableId="1469514858">
    <w:abstractNumId w:val="2"/>
  </w:num>
  <w:num w:numId="29" w16cid:durableId="105346473">
    <w:abstractNumId w:val="1"/>
  </w:num>
  <w:num w:numId="30" w16cid:durableId="238947201">
    <w:abstractNumId w:val="0"/>
  </w:num>
  <w:num w:numId="31" w16cid:durableId="383333276">
    <w:abstractNumId w:val="8"/>
  </w:num>
  <w:num w:numId="32" w16cid:durableId="1981105688">
    <w:abstractNumId w:val="3"/>
  </w:num>
  <w:num w:numId="33" w16cid:durableId="208493747">
    <w:abstractNumId w:val="2"/>
  </w:num>
  <w:num w:numId="34" w16cid:durableId="529413170">
    <w:abstractNumId w:val="1"/>
  </w:num>
  <w:num w:numId="35" w16cid:durableId="1991401284">
    <w:abstractNumId w:val="0"/>
  </w:num>
  <w:num w:numId="36" w16cid:durableId="504904182">
    <w:abstractNumId w:val="8"/>
  </w:num>
  <w:num w:numId="37" w16cid:durableId="1049957143">
    <w:abstractNumId w:val="3"/>
  </w:num>
  <w:num w:numId="38" w16cid:durableId="2059234909">
    <w:abstractNumId w:val="2"/>
  </w:num>
  <w:num w:numId="39" w16cid:durableId="1196653248">
    <w:abstractNumId w:val="1"/>
  </w:num>
  <w:num w:numId="40" w16cid:durableId="171337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16E3"/>
    <w:rsid w:val="00153BA4"/>
    <w:rsid w:val="001941AD"/>
    <w:rsid w:val="0019732C"/>
    <w:rsid w:val="001A0682"/>
    <w:rsid w:val="001B4D8D"/>
    <w:rsid w:val="001C3790"/>
    <w:rsid w:val="001D31B2"/>
    <w:rsid w:val="001E1B9B"/>
    <w:rsid w:val="001E2226"/>
    <w:rsid w:val="001F0B24"/>
    <w:rsid w:val="001F6233"/>
    <w:rsid w:val="002355CD"/>
    <w:rsid w:val="00270B2F"/>
    <w:rsid w:val="002712F9"/>
    <w:rsid w:val="002A0E1B"/>
    <w:rsid w:val="002A7A1D"/>
    <w:rsid w:val="002C1059"/>
    <w:rsid w:val="002C2F9C"/>
    <w:rsid w:val="002E1AF7"/>
    <w:rsid w:val="00322DEA"/>
    <w:rsid w:val="00355FBD"/>
    <w:rsid w:val="003560FE"/>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524001"/>
    <w:rsid w:val="00537202"/>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80087B"/>
    <w:rsid w:val="00801154"/>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016C"/>
    <w:rsid w:val="00987A20"/>
    <w:rsid w:val="009A0E15"/>
    <w:rsid w:val="009D4037"/>
    <w:rsid w:val="009F0592"/>
    <w:rsid w:val="00A03C71"/>
    <w:rsid w:val="00A170C2"/>
    <w:rsid w:val="00A20E72"/>
    <w:rsid w:val="00A246DC"/>
    <w:rsid w:val="00A47BAF"/>
    <w:rsid w:val="00A542D3"/>
    <w:rsid w:val="00A5581F"/>
    <w:rsid w:val="00A5784F"/>
    <w:rsid w:val="00A8436E"/>
    <w:rsid w:val="00A95B66"/>
    <w:rsid w:val="00AB190D"/>
    <w:rsid w:val="00AE0667"/>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A47AD"/>
    <w:rsid w:val="00CC4DC5"/>
    <w:rsid w:val="00CE1A7C"/>
    <w:rsid w:val="00CE496F"/>
    <w:rsid w:val="00D0464B"/>
    <w:rsid w:val="00D12C74"/>
    <w:rsid w:val="00D2263F"/>
    <w:rsid w:val="00D56483"/>
    <w:rsid w:val="00D5658F"/>
    <w:rsid w:val="00D56AD6"/>
    <w:rsid w:val="00D70019"/>
    <w:rsid w:val="00D74B58"/>
    <w:rsid w:val="00D82ABE"/>
    <w:rsid w:val="00DA4ABA"/>
    <w:rsid w:val="00DA685B"/>
    <w:rsid w:val="00DA742B"/>
    <w:rsid w:val="00DB75A4"/>
    <w:rsid w:val="00DE588A"/>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F07DA7"/>
    <w:rsid w:val="00F3254F"/>
    <w:rsid w:val="00F33265"/>
    <w:rsid w:val="00F564C1"/>
    <w:rsid w:val="00F77FA2"/>
    <w:rsid w:val="00F8357A"/>
    <w:rsid w:val="00FA1B77"/>
    <w:rsid w:val="00FB4B65"/>
    <w:rsid w:val="00FB74B8"/>
    <w:rsid w:val="00FC28CE"/>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styleId="Revision">
    <w:name w:val="Revision"/>
    <w:hidden/>
    <w:uiPriority w:val="99"/>
    <w:semiHidden/>
    <w:rsid w:val="00CA47AD"/>
    <w:rPr>
      <w:rFonts w:ascii="Calibri" w:hAnsi="Calibri"/>
      <w:sz w:val="24"/>
      <w:lang w:val="fr-FR" w:eastAsia="en-US"/>
    </w:rPr>
  </w:style>
  <w:style w:type="paragraph" w:styleId="Signature">
    <w:name w:val="Signature"/>
    <w:basedOn w:val="Normal"/>
    <w:link w:val="SignatureChar"/>
    <w:unhideWhenUsed/>
    <w:rsid w:val="0098016C"/>
    <w:pPr>
      <w:tabs>
        <w:tab w:val="clear" w:pos="567"/>
        <w:tab w:val="clear" w:pos="1134"/>
        <w:tab w:val="clear" w:pos="1701"/>
        <w:tab w:val="clear" w:pos="2268"/>
        <w:tab w:val="clear" w:pos="2835"/>
        <w:tab w:val="center" w:pos="7088"/>
      </w:tabs>
      <w:spacing w:before="600"/>
    </w:pPr>
  </w:style>
  <w:style w:type="character" w:customStyle="1" w:styleId="SignatureChar">
    <w:name w:val="Signature Char"/>
    <w:basedOn w:val="DefaultParagraphFont"/>
    <w:link w:val="Signature"/>
    <w:rsid w:val="0098016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402</Words>
  <Characters>2247</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aux dépenses de la Conférence de plénipotentiaires (PP-26)</dc:title>
  <dc:subject>ITU Plenipotentiary Conference (PP-26)</dc:subject>
  <cp:keywords>PP-26, PP26, ITU</cp:keywords>
  <dc:description/>
  <dcterms:created xsi:type="dcterms:W3CDTF">2026-10-09T14:13:00Z</dcterms:created>
  <dcterms:modified xsi:type="dcterms:W3CDTF">2026-10-09T14:17:00Z</dcterms:modified>
  <cp:category>Conference document</cp:category>
</cp:coreProperties>
</file>