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6D349E" w14:paraId="53E2F3C9" w14:textId="77777777" w:rsidTr="005A329F">
        <w:trPr>
          <w:cantSplit/>
          <w:jc w:val="center"/>
        </w:trPr>
        <w:tc>
          <w:tcPr>
            <w:tcW w:w="10031" w:type="dxa"/>
            <w:gridSpan w:val="2"/>
            <w:tcMar>
              <w:left w:w="0" w:type="dxa"/>
              <w:right w:w="0" w:type="dxa"/>
            </w:tcMar>
            <w:vAlign w:val="center"/>
          </w:tcPr>
          <w:p w14:paraId="703F9FD0" w14:textId="1C1F7963" w:rsidR="00BF32F2" w:rsidRPr="006D349E" w:rsidRDefault="00BF32F2" w:rsidP="00BF32F2">
            <w:pPr>
              <w:spacing w:before="0" w:line="240" w:lineRule="atLeast"/>
              <w:rPr>
                <w:rFonts w:cstheme="minorHAnsi"/>
                <w:lang w:val="es-ES"/>
              </w:rPr>
            </w:pPr>
            <w:bookmarkStart w:id="0" w:name="ditulogo"/>
            <w:bookmarkEnd w:id="0"/>
            <w:r w:rsidRPr="006D349E">
              <w:rPr>
                <w:rFonts w:cstheme="minorHAnsi"/>
                <w:noProof/>
                <w:lang w:val="es-ES"/>
              </w:rPr>
              <w:drawing>
                <wp:anchor distT="0" distB="0" distL="0" distR="0" simplePos="0" relativeHeight="251658240" behindDoc="1" locked="0" layoutInCell="1" allowOverlap="1" wp14:anchorId="7E8093DE" wp14:editId="4C22358B">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6D349E" w14:paraId="7936D6CB" w14:textId="77777777" w:rsidTr="005A329F">
        <w:trPr>
          <w:cantSplit/>
          <w:trHeight w:val="283"/>
          <w:jc w:val="center"/>
        </w:trPr>
        <w:tc>
          <w:tcPr>
            <w:tcW w:w="10031" w:type="dxa"/>
            <w:gridSpan w:val="2"/>
            <w:tcBorders>
              <w:bottom w:val="single" w:sz="12" w:space="0" w:color="71716F"/>
            </w:tcBorders>
          </w:tcPr>
          <w:p w14:paraId="11F82F2F" w14:textId="77777777" w:rsidR="00277985" w:rsidRPr="006D349E" w:rsidRDefault="00277985" w:rsidP="00BF32F2">
            <w:pPr>
              <w:spacing w:before="0" w:line="240" w:lineRule="atLeast"/>
              <w:rPr>
                <w:rFonts w:cstheme="minorHAnsi"/>
                <w:b/>
                <w:smallCaps/>
                <w:szCs w:val="24"/>
                <w:lang w:val="es-ES"/>
              </w:rPr>
            </w:pPr>
            <w:bookmarkStart w:id="1" w:name="dhead"/>
          </w:p>
        </w:tc>
      </w:tr>
      <w:tr w:rsidR="00255FA1" w:rsidRPr="006D349E" w14:paraId="420A698C" w14:textId="77777777" w:rsidTr="005A329F">
        <w:trPr>
          <w:cantSplit/>
          <w:trHeight w:val="255"/>
          <w:jc w:val="center"/>
        </w:trPr>
        <w:tc>
          <w:tcPr>
            <w:tcW w:w="7229" w:type="dxa"/>
            <w:tcBorders>
              <w:top w:val="single" w:sz="12" w:space="0" w:color="71716F"/>
            </w:tcBorders>
          </w:tcPr>
          <w:p w14:paraId="47DB16D7" w14:textId="77777777" w:rsidR="00255FA1" w:rsidRPr="006D349E"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3B0821EE" w14:textId="77777777" w:rsidR="00255FA1" w:rsidRPr="006D349E" w:rsidRDefault="00255FA1" w:rsidP="00BF32F2">
            <w:pPr>
              <w:spacing w:before="0"/>
              <w:rPr>
                <w:rFonts w:cstheme="minorHAnsi"/>
                <w:szCs w:val="24"/>
                <w:lang w:val="es-ES"/>
              </w:rPr>
            </w:pPr>
          </w:p>
        </w:tc>
      </w:tr>
      <w:bookmarkEnd w:id="1"/>
      <w:tr w:rsidR="00075113" w:rsidRPr="006D349E" w14:paraId="6E5D99D3" w14:textId="77777777" w:rsidTr="005A329F">
        <w:trPr>
          <w:cantSplit/>
          <w:jc w:val="center"/>
        </w:trPr>
        <w:tc>
          <w:tcPr>
            <w:tcW w:w="7229" w:type="dxa"/>
          </w:tcPr>
          <w:p w14:paraId="248001A5" w14:textId="3DA1C374" w:rsidR="00075113" w:rsidRPr="006D349E" w:rsidRDefault="00075113" w:rsidP="00075113">
            <w:pPr>
              <w:pStyle w:val="Committee"/>
              <w:framePr w:hSpace="0" w:wrap="auto" w:hAnchor="text" w:yAlign="inline"/>
              <w:spacing w:after="0" w:line="240" w:lineRule="auto"/>
              <w:rPr>
                <w:lang w:val="es-ES"/>
              </w:rPr>
            </w:pPr>
            <w:r w:rsidRPr="006D349E">
              <w:rPr>
                <w:lang w:val="es-ES"/>
              </w:rPr>
              <w:t>SESIÓN PLENARIA</w:t>
            </w:r>
          </w:p>
        </w:tc>
        <w:tc>
          <w:tcPr>
            <w:tcW w:w="2802" w:type="dxa"/>
          </w:tcPr>
          <w:p w14:paraId="5DCBCBFD" w14:textId="4108D0D1" w:rsidR="00075113" w:rsidRPr="006D349E" w:rsidRDefault="00075113" w:rsidP="00075113">
            <w:pPr>
              <w:spacing w:before="0"/>
              <w:rPr>
                <w:rFonts w:cstheme="minorHAnsi"/>
                <w:szCs w:val="24"/>
                <w:lang w:val="es-ES"/>
              </w:rPr>
            </w:pPr>
            <w:r w:rsidRPr="006D349E">
              <w:rPr>
                <w:rFonts w:cstheme="minorHAnsi"/>
                <w:b/>
                <w:szCs w:val="24"/>
                <w:lang w:val="es-ES"/>
              </w:rPr>
              <w:t xml:space="preserve">Documento </w:t>
            </w:r>
            <w:r w:rsidR="004C2460" w:rsidRPr="006D349E">
              <w:rPr>
                <w:rFonts w:cstheme="minorHAnsi"/>
                <w:b/>
                <w:szCs w:val="24"/>
                <w:lang w:val="es-ES"/>
              </w:rPr>
              <w:t>49</w:t>
            </w:r>
            <w:r w:rsidRPr="006D349E">
              <w:rPr>
                <w:rFonts w:cstheme="minorHAnsi"/>
                <w:b/>
                <w:szCs w:val="24"/>
                <w:lang w:val="es-ES"/>
              </w:rPr>
              <w:t>-S</w:t>
            </w:r>
          </w:p>
        </w:tc>
      </w:tr>
      <w:tr w:rsidR="00075113" w:rsidRPr="006D349E" w14:paraId="483D078B" w14:textId="77777777" w:rsidTr="005A329F">
        <w:trPr>
          <w:cantSplit/>
          <w:jc w:val="center"/>
        </w:trPr>
        <w:tc>
          <w:tcPr>
            <w:tcW w:w="7229" w:type="dxa"/>
          </w:tcPr>
          <w:p w14:paraId="17E32998" w14:textId="36F0CCB2" w:rsidR="00075113" w:rsidRPr="006D349E" w:rsidRDefault="00075113" w:rsidP="00075113">
            <w:pPr>
              <w:spacing w:before="0"/>
              <w:rPr>
                <w:rFonts w:cstheme="minorHAnsi"/>
                <w:b/>
                <w:szCs w:val="24"/>
                <w:lang w:val="es-ES"/>
              </w:rPr>
            </w:pPr>
          </w:p>
        </w:tc>
        <w:tc>
          <w:tcPr>
            <w:tcW w:w="2802" w:type="dxa"/>
          </w:tcPr>
          <w:p w14:paraId="00BF5C1A" w14:textId="220AD49C" w:rsidR="00075113" w:rsidRPr="006D349E" w:rsidRDefault="00247095" w:rsidP="00075113">
            <w:pPr>
              <w:spacing w:before="0"/>
              <w:rPr>
                <w:rFonts w:cstheme="minorHAnsi"/>
                <w:b/>
                <w:szCs w:val="24"/>
                <w:lang w:val="es-ES"/>
              </w:rPr>
            </w:pPr>
            <w:r>
              <w:rPr>
                <w:rFonts w:cstheme="minorHAnsi"/>
                <w:b/>
                <w:szCs w:val="24"/>
                <w:lang w:val="es-ES"/>
              </w:rPr>
              <w:t>1 de octubre de 2026</w:t>
            </w:r>
          </w:p>
        </w:tc>
      </w:tr>
      <w:tr w:rsidR="00075113" w:rsidRPr="006D349E" w14:paraId="7EE17784" w14:textId="77777777" w:rsidTr="005A329F">
        <w:trPr>
          <w:cantSplit/>
          <w:jc w:val="center"/>
        </w:trPr>
        <w:tc>
          <w:tcPr>
            <w:tcW w:w="7229" w:type="dxa"/>
          </w:tcPr>
          <w:p w14:paraId="68573EE1" w14:textId="77777777" w:rsidR="00075113" w:rsidRPr="006D349E" w:rsidRDefault="00075113" w:rsidP="00075113">
            <w:pPr>
              <w:spacing w:before="0"/>
              <w:rPr>
                <w:rFonts w:cstheme="minorHAnsi"/>
                <w:b/>
                <w:smallCaps/>
                <w:szCs w:val="24"/>
                <w:lang w:val="es-ES"/>
              </w:rPr>
            </w:pPr>
          </w:p>
        </w:tc>
        <w:tc>
          <w:tcPr>
            <w:tcW w:w="2802" w:type="dxa"/>
          </w:tcPr>
          <w:p w14:paraId="76142BCE" w14:textId="03B29E45" w:rsidR="00075113" w:rsidRPr="006D349E" w:rsidRDefault="00075113" w:rsidP="00075113">
            <w:pPr>
              <w:spacing w:before="0"/>
              <w:rPr>
                <w:rFonts w:cstheme="minorHAnsi"/>
                <w:b/>
                <w:szCs w:val="24"/>
                <w:lang w:val="es-ES"/>
              </w:rPr>
            </w:pPr>
            <w:r w:rsidRPr="006D349E">
              <w:rPr>
                <w:rFonts w:cstheme="minorHAnsi"/>
                <w:b/>
                <w:szCs w:val="24"/>
                <w:lang w:val="es-ES"/>
              </w:rPr>
              <w:t>Original: inglés</w:t>
            </w:r>
          </w:p>
        </w:tc>
      </w:tr>
      <w:tr w:rsidR="00075113" w:rsidRPr="006D349E" w14:paraId="3075E850" w14:textId="77777777" w:rsidTr="005A329F">
        <w:trPr>
          <w:cantSplit/>
          <w:jc w:val="center"/>
        </w:trPr>
        <w:tc>
          <w:tcPr>
            <w:tcW w:w="10031" w:type="dxa"/>
            <w:gridSpan w:val="2"/>
          </w:tcPr>
          <w:p w14:paraId="2AB3028F" w14:textId="77777777" w:rsidR="00075113" w:rsidRPr="006D349E" w:rsidRDefault="00075113" w:rsidP="00075113">
            <w:pPr>
              <w:spacing w:before="0" w:line="240" w:lineRule="atLeast"/>
              <w:rPr>
                <w:rFonts w:cstheme="minorHAnsi"/>
                <w:b/>
                <w:szCs w:val="24"/>
                <w:lang w:val="es-ES"/>
              </w:rPr>
            </w:pPr>
          </w:p>
        </w:tc>
      </w:tr>
      <w:tr w:rsidR="004C2460" w:rsidRPr="006D349E" w14:paraId="53FF73A6" w14:textId="77777777" w:rsidTr="005A329F">
        <w:trPr>
          <w:cantSplit/>
          <w:jc w:val="center"/>
        </w:trPr>
        <w:tc>
          <w:tcPr>
            <w:tcW w:w="10031" w:type="dxa"/>
            <w:gridSpan w:val="2"/>
          </w:tcPr>
          <w:p w14:paraId="365E2007" w14:textId="6B8883E9" w:rsidR="004C2460" w:rsidRPr="006D349E" w:rsidRDefault="004C2460" w:rsidP="007D0D91">
            <w:pPr>
              <w:pStyle w:val="Source"/>
              <w:spacing w:before="480"/>
              <w:rPr>
                <w:lang w:val="es-ES"/>
              </w:rPr>
            </w:pPr>
            <w:bookmarkStart w:id="2" w:name="dsource" w:colFirst="0" w:colLast="0"/>
            <w:r w:rsidRPr="006D349E">
              <w:rPr>
                <w:lang w:val="es-ES"/>
              </w:rPr>
              <w:t>Informe del Consejo</w:t>
            </w:r>
          </w:p>
        </w:tc>
      </w:tr>
      <w:tr w:rsidR="004C2460" w:rsidRPr="006D349E" w14:paraId="6C060127" w14:textId="77777777" w:rsidTr="005A329F">
        <w:trPr>
          <w:cantSplit/>
          <w:jc w:val="center"/>
        </w:trPr>
        <w:tc>
          <w:tcPr>
            <w:tcW w:w="10031" w:type="dxa"/>
            <w:gridSpan w:val="2"/>
          </w:tcPr>
          <w:p w14:paraId="0A048F9C" w14:textId="2AAE9729" w:rsidR="004C2460" w:rsidRPr="006D349E" w:rsidRDefault="00A52490" w:rsidP="004C2460">
            <w:pPr>
              <w:pStyle w:val="Title1"/>
              <w:rPr>
                <w:lang w:val="es-ES"/>
              </w:rPr>
            </w:pPr>
            <w:bookmarkStart w:id="3" w:name="dtitle1" w:colFirst="0" w:colLast="0"/>
            <w:bookmarkEnd w:id="2"/>
            <w:r w:rsidRPr="006D349E">
              <w:rPr>
                <w:caps w:val="0"/>
                <w:lang w:val="es-ES"/>
              </w:rPr>
              <w:t xml:space="preserve">PROPUESTA DE LA INDIA DE ACOGER LA CONFERENCIA DE PLENIPOTENCIARIOS </w:t>
            </w:r>
            <w:r>
              <w:rPr>
                <w:caps w:val="0"/>
                <w:lang w:val="es-ES"/>
              </w:rPr>
              <w:br/>
            </w:r>
            <w:r w:rsidRPr="006D349E">
              <w:rPr>
                <w:caps w:val="0"/>
                <w:lang w:val="es-ES"/>
              </w:rPr>
              <w:t>DE 2030 (PP-30)</w:t>
            </w:r>
          </w:p>
        </w:tc>
      </w:tr>
      <w:bookmarkEnd w:id="3"/>
    </w:tbl>
    <w:p w14:paraId="34A83313" w14:textId="0A5FC8CB" w:rsidR="00504FD4" w:rsidRPr="006D349E" w:rsidRDefault="00504FD4" w:rsidP="004C2460">
      <w:pPr>
        <w:spacing w:before="0"/>
        <w:rPr>
          <w:lang w:val="es-ES"/>
        </w:rPr>
      </w:pPr>
    </w:p>
    <w:tbl>
      <w:tblPr>
        <w:tblStyle w:val="TableGrid"/>
        <w:tblW w:w="0" w:type="auto"/>
        <w:jc w:val="center"/>
        <w:tblLook w:val="04A0" w:firstRow="1" w:lastRow="0" w:firstColumn="1" w:lastColumn="0" w:noHBand="0" w:noVBand="1"/>
      </w:tblPr>
      <w:tblGrid>
        <w:gridCol w:w="7937"/>
      </w:tblGrid>
      <w:tr w:rsidR="004C2460" w:rsidRPr="006D349E" w14:paraId="7B6DCE1B" w14:textId="77777777" w:rsidTr="00AC5CFE">
        <w:trPr>
          <w:trHeight w:val="3402"/>
          <w:jc w:val="center"/>
        </w:trPr>
        <w:tc>
          <w:tcPr>
            <w:tcW w:w="7937" w:type="dxa"/>
          </w:tcPr>
          <w:p w14:paraId="1B7C0FCA" w14:textId="77777777" w:rsidR="004C2460" w:rsidRPr="006D349E" w:rsidRDefault="004C2460" w:rsidP="007D0D91">
            <w:pPr>
              <w:pStyle w:val="Headingb"/>
              <w:spacing w:before="120"/>
            </w:pPr>
            <w:r w:rsidRPr="006D349E">
              <w:t>Resumen</w:t>
            </w:r>
          </w:p>
          <w:p w14:paraId="01768B2F" w14:textId="2FCCB4D0" w:rsidR="004C2460" w:rsidRPr="006D349E" w:rsidRDefault="004C2460" w:rsidP="00F70E78">
            <w:pPr>
              <w:spacing w:before="40"/>
              <w:jc w:val="both"/>
              <w:rPr>
                <w:spacing w:val="-3"/>
                <w:lang w:val="es-ES"/>
              </w:rPr>
            </w:pPr>
            <w:r w:rsidRPr="006D349E">
              <w:rPr>
                <w:spacing w:val="-3"/>
                <w:lang w:val="es-ES"/>
              </w:rPr>
              <w:t>El 19 de noviembre de 2024, el Gobierno de la India presentó a la Secretaria General una manifestación de interés en acoger la Conferencia de Plenipotenciarios de 2030 (PP-30) y, posteriormente, sometió una propuesta formal al Consejo en su reunión de 2025 (Documentos </w:t>
            </w:r>
            <w:hyperlink r:id="rId8" w:history="1">
              <w:r w:rsidRPr="006D349E">
                <w:rPr>
                  <w:rStyle w:val="Hyperlink"/>
                  <w:spacing w:val="-3"/>
                  <w:lang w:val="es-ES"/>
                </w:rPr>
                <w:t>C25/19</w:t>
              </w:r>
            </w:hyperlink>
            <w:r w:rsidRPr="006D349E">
              <w:rPr>
                <w:spacing w:val="-3"/>
                <w:lang w:val="es-ES"/>
              </w:rPr>
              <w:t xml:space="preserve"> y </w:t>
            </w:r>
            <w:hyperlink r:id="rId9" w:history="1">
              <w:r w:rsidRPr="006D349E">
                <w:rPr>
                  <w:rStyle w:val="Hyperlink"/>
                  <w:spacing w:val="-3"/>
                  <w:lang w:val="es-ES"/>
                </w:rPr>
                <w:t>C25/73</w:t>
              </w:r>
            </w:hyperlink>
            <w:r w:rsidRPr="006D349E">
              <w:rPr>
                <w:spacing w:val="-3"/>
                <w:lang w:val="es-ES"/>
              </w:rPr>
              <w:t>). Dado que, en ese momento, el Consejo había decidido definir un proceso de licitación formal para acoger futuras conferencias de la UIT, se propuso esperar hasta la adopción de dicho proceso antes de aceptar la invitación de la India. Posteriormente, el Gobierno de la India presentó el Docume</w:t>
            </w:r>
            <w:r w:rsidRPr="006D349E">
              <w:rPr>
                <w:spacing w:val="-3"/>
                <w:szCs w:val="24"/>
                <w:lang w:val="es-ES"/>
              </w:rPr>
              <w:t xml:space="preserve">nto </w:t>
            </w:r>
            <w:hyperlink r:id="rId10" w:history="1">
              <w:r w:rsidRPr="006D349E">
                <w:rPr>
                  <w:rStyle w:val="Hyperlink"/>
                  <w:spacing w:val="-3"/>
                  <w:szCs w:val="24"/>
                  <w:lang w:val="es-ES"/>
                </w:rPr>
                <w:t>CWG-FHR-21/14</w:t>
              </w:r>
            </w:hyperlink>
            <w:r w:rsidRPr="006D349E">
              <w:rPr>
                <w:spacing w:val="-3"/>
                <w:lang w:val="es-ES"/>
              </w:rPr>
              <w:t xml:space="preserve"> en la reunión que el </w:t>
            </w:r>
            <w:r w:rsidR="00023915">
              <w:rPr>
                <w:spacing w:val="-3"/>
                <w:lang w:val="es-ES"/>
              </w:rPr>
              <w:t>Grupo de Trabajo del Consejo sobre Recursos Humanos y Financieros</w:t>
            </w:r>
            <w:r w:rsidRPr="006D349E">
              <w:rPr>
                <w:spacing w:val="-3"/>
                <w:lang w:val="es-ES"/>
              </w:rPr>
              <w:t xml:space="preserve"> celebró en septiembre, y el </w:t>
            </w:r>
            <w:r w:rsidRPr="006D349E">
              <w:rPr>
                <w:spacing w:val="-3"/>
                <w:szCs w:val="24"/>
                <w:lang w:val="es-ES"/>
              </w:rPr>
              <w:t xml:space="preserve">Documento </w:t>
            </w:r>
            <w:hyperlink r:id="rId11" w:history="1">
              <w:r w:rsidRPr="006D349E">
                <w:rPr>
                  <w:rStyle w:val="Hyperlink"/>
                  <w:spacing w:val="-3"/>
                  <w:szCs w:val="24"/>
                  <w:lang w:val="es-ES"/>
                </w:rPr>
                <w:t>C26/78</w:t>
              </w:r>
            </w:hyperlink>
            <w:r w:rsidRPr="006D349E">
              <w:rPr>
                <w:spacing w:val="-3"/>
                <w:lang w:val="es-ES"/>
              </w:rPr>
              <w:t xml:space="preserve"> en la reunión de 2026 del Consejo.</w:t>
            </w:r>
          </w:p>
          <w:p w14:paraId="3BC63289" w14:textId="0C7F676D" w:rsidR="004C2460" w:rsidRPr="006D349E" w:rsidRDefault="004C2460" w:rsidP="00F70E78">
            <w:pPr>
              <w:spacing w:before="40"/>
              <w:jc w:val="both"/>
              <w:rPr>
                <w:spacing w:val="-3"/>
                <w:szCs w:val="24"/>
                <w:lang w:val="es-ES"/>
              </w:rPr>
            </w:pPr>
            <w:r w:rsidRPr="006D349E">
              <w:rPr>
                <w:spacing w:val="-3"/>
                <w:szCs w:val="24"/>
                <w:lang w:val="es-ES"/>
              </w:rPr>
              <w:t>A medida que se fue desarrollando el proceso de selección, se acordó que la oferta antes mencionada no estaría sujeta al nuevo proceso. En la octava sesión plenaria de la reunión de 2026 del Consejo, este aprobó la invitación de la India por la que se ofrecía a acoger la PP-30 y se acordó transmitir dicha invitación a la PP-26 para su aceptación formal y su inclusión en la versión revisada de la Resolución 77 (Rev.</w:t>
            </w:r>
            <w:r w:rsidR="00DB5257">
              <w:rPr>
                <w:spacing w:val="-3"/>
                <w:szCs w:val="24"/>
                <w:lang w:val="es-ES"/>
              </w:rPr>
              <w:t> </w:t>
            </w:r>
            <w:r w:rsidRPr="006D349E">
              <w:rPr>
                <w:spacing w:val="-3"/>
                <w:szCs w:val="24"/>
                <w:lang w:val="es-ES"/>
              </w:rPr>
              <w:t>Bucarest, 2022).</w:t>
            </w:r>
          </w:p>
          <w:p w14:paraId="3D8D8EE8" w14:textId="77777777" w:rsidR="004C2460" w:rsidRPr="006D349E" w:rsidRDefault="004C2460" w:rsidP="00F70E78">
            <w:pPr>
              <w:spacing w:before="40"/>
              <w:jc w:val="both"/>
              <w:rPr>
                <w:spacing w:val="-3"/>
                <w:lang w:val="es-ES"/>
              </w:rPr>
            </w:pPr>
            <w:r w:rsidRPr="006D349E">
              <w:rPr>
                <w:spacing w:val="-3"/>
                <w:lang w:val="es-ES"/>
              </w:rPr>
              <w:t>El presente documento contiene la propuesta oficial de la India, recogida en el Documento C26/78 del Consejo, así como el extracto correspondiente del resumen de los debates de la octava sesión plenaria.</w:t>
            </w:r>
          </w:p>
          <w:p w14:paraId="7AB0371D" w14:textId="77777777" w:rsidR="004C2460" w:rsidRPr="006D349E" w:rsidRDefault="004C2460" w:rsidP="007D0D91">
            <w:pPr>
              <w:pStyle w:val="Headingb"/>
              <w:spacing w:before="120"/>
            </w:pPr>
            <w:r w:rsidRPr="006D349E">
              <w:t>Acción solicitada</w:t>
            </w:r>
          </w:p>
          <w:p w14:paraId="553F55C2" w14:textId="3969D05C" w:rsidR="004C2460" w:rsidRPr="006D349E" w:rsidRDefault="004C2460" w:rsidP="00F70E78">
            <w:pPr>
              <w:spacing w:before="40"/>
              <w:jc w:val="both"/>
              <w:rPr>
                <w:spacing w:val="-2"/>
                <w:lang w:val="es-ES"/>
              </w:rPr>
            </w:pPr>
            <w:r w:rsidRPr="006D349E">
              <w:rPr>
                <w:spacing w:val="-2"/>
                <w:lang w:val="es-ES"/>
              </w:rPr>
              <w:t>Se invita a la Con</w:t>
            </w:r>
            <w:r w:rsidR="00F70E78">
              <w:rPr>
                <w:spacing w:val="-2"/>
                <w:lang w:val="es-ES"/>
              </w:rPr>
              <w:t>2</w:t>
            </w:r>
            <w:r w:rsidRPr="006D349E">
              <w:rPr>
                <w:spacing w:val="-2"/>
                <w:lang w:val="es-ES"/>
              </w:rPr>
              <w:t xml:space="preserve">ferencia de Plenipotenciarios a </w:t>
            </w:r>
            <w:r w:rsidRPr="006D349E">
              <w:rPr>
                <w:b/>
                <w:spacing w:val="-2"/>
                <w:lang w:val="es-ES"/>
              </w:rPr>
              <w:t xml:space="preserve">examinar </w:t>
            </w:r>
            <w:r w:rsidRPr="006D349E">
              <w:rPr>
                <w:spacing w:val="-2"/>
                <w:lang w:val="es-ES"/>
              </w:rPr>
              <w:t>y</w:t>
            </w:r>
            <w:r w:rsidRPr="006D349E">
              <w:rPr>
                <w:b/>
                <w:spacing w:val="-2"/>
                <w:lang w:val="es-ES"/>
              </w:rPr>
              <w:t xml:space="preserve"> aprobar</w:t>
            </w:r>
            <w:r w:rsidRPr="006D349E">
              <w:rPr>
                <w:bCs/>
                <w:spacing w:val="-2"/>
                <w:lang w:val="es-ES"/>
              </w:rPr>
              <w:t xml:space="preserve"> esta</w:t>
            </w:r>
            <w:r w:rsidRPr="006D349E">
              <w:rPr>
                <w:spacing w:val="-2"/>
                <w:lang w:val="es-ES"/>
              </w:rPr>
              <w:t xml:space="preserve"> invitación.</w:t>
            </w:r>
          </w:p>
          <w:p w14:paraId="79C9E7FD" w14:textId="77777777" w:rsidR="004C2460" w:rsidRPr="006D349E" w:rsidRDefault="004C2460" w:rsidP="004C2460">
            <w:pPr>
              <w:spacing w:before="0"/>
              <w:jc w:val="center"/>
              <w:rPr>
                <w:lang w:val="es-ES"/>
              </w:rPr>
            </w:pPr>
            <w:r w:rsidRPr="006D349E">
              <w:rPr>
                <w:lang w:val="es-ES"/>
              </w:rPr>
              <w:t>______________</w:t>
            </w:r>
          </w:p>
          <w:p w14:paraId="51D5C00F" w14:textId="77777777" w:rsidR="004C2460" w:rsidRPr="006D349E" w:rsidRDefault="004C2460" w:rsidP="007D0D91">
            <w:pPr>
              <w:pStyle w:val="Headingb"/>
              <w:spacing w:before="120"/>
            </w:pPr>
            <w:r w:rsidRPr="006D349E">
              <w:t>Referencias</w:t>
            </w:r>
          </w:p>
          <w:p w14:paraId="1035CFB3" w14:textId="5FE267E0" w:rsidR="004C2460" w:rsidRPr="006D349E" w:rsidRDefault="004C2460" w:rsidP="007D0D91">
            <w:pPr>
              <w:spacing w:before="40" w:after="40"/>
              <w:rPr>
                <w:i/>
                <w:sz w:val="22"/>
                <w:szCs w:val="22"/>
                <w:lang w:val="es-ES"/>
              </w:rPr>
            </w:pPr>
            <w:r w:rsidRPr="006D349E">
              <w:rPr>
                <w:i/>
                <w:sz w:val="22"/>
                <w:szCs w:val="22"/>
                <w:lang w:val="es-ES"/>
              </w:rPr>
              <w:t xml:space="preserve">Documentos </w:t>
            </w:r>
            <w:hyperlink r:id="rId12" w:history="1">
              <w:r w:rsidRPr="006D349E">
                <w:rPr>
                  <w:rStyle w:val="Hyperlink"/>
                  <w:i/>
                  <w:iCs/>
                  <w:sz w:val="22"/>
                  <w:szCs w:val="22"/>
                  <w:lang w:val="es-ES"/>
                </w:rPr>
                <w:t>C25/19</w:t>
              </w:r>
            </w:hyperlink>
            <w:r w:rsidRPr="006D349E">
              <w:rPr>
                <w:i/>
                <w:iCs/>
                <w:sz w:val="22"/>
                <w:szCs w:val="22"/>
                <w:lang w:val="es-ES"/>
              </w:rPr>
              <w:t>,</w:t>
            </w:r>
            <w:r w:rsidRPr="006D349E">
              <w:rPr>
                <w:i/>
                <w:sz w:val="22"/>
                <w:szCs w:val="22"/>
                <w:lang w:val="es-ES"/>
              </w:rPr>
              <w:t xml:space="preserve"> </w:t>
            </w:r>
            <w:hyperlink r:id="rId13" w:history="1">
              <w:r w:rsidRPr="006D349E">
                <w:rPr>
                  <w:rStyle w:val="Hyperlink"/>
                  <w:i/>
                  <w:iCs/>
                  <w:sz w:val="22"/>
                  <w:szCs w:val="22"/>
                  <w:lang w:val="es-ES"/>
                </w:rPr>
                <w:t>C25/73</w:t>
              </w:r>
            </w:hyperlink>
            <w:r w:rsidRPr="006D349E">
              <w:rPr>
                <w:i/>
                <w:iCs/>
                <w:sz w:val="22"/>
                <w:szCs w:val="22"/>
                <w:lang w:val="es-ES"/>
              </w:rPr>
              <w:t xml:space="preserve">, </w:t>
            </w:r>
            <w:hyperlink r:id="rId14" w:history="1">
              <w:r w:rsidRPr="006D349E">
                <w:rPr>
                  <w:rStyle w:val="Hyperlink"/>
                  <w:i/>
                  <w:iCs/>
                  <w:sz w:val="22"/>
                  <w:szCs w:val="22"/>
                  <w:lang w:val="es-ES"/>
                </w:rPr>
                <w:t>C25/113</w:t>
              </w:r>
            </w:hyperlink>
            <w:r w:rsidRPr="006D349E">
              <w:rPr>
                <w:i/>
                <w:iCs/>
                <w:sz w:val="22"/>
                <w:szCs w:val="22"/>
                <w:lang w:val="es-ES"/>
              </w:rPr>
              <w:t xml:space="preserve">, </w:t>
            </w:r>
            <w:hyperlink r:id="rId15" w:history="1">
              <w:r w:rsidRPr="006D349E">
                <w:rPr>
                  <w:rStyle w:val="Hyperlink"/>
                  <w:i/>
                  <w:iCs/>
                  <w:sz w:val="22"/>
                  <w:szCs w:val="22"/>
                  <w:lang w:val="es-ES"/>
                </w:rPr>
                <w:t>C26/78</w:t>
              </w:r>
            </w:hyperlink>
            <w:r w:rsidRPr="006D349E">
              <w:rPr>
                <w:i/>
                <w:iCs/>
                <w:sz w:val="22"/>
                <w:szCs w:val="22"/>
                <w:lang w:val="es-ES"/>
              </w:rPr>
              <w:t xml:space="preserve"> y </w:t>
            </w:r>
            <w:hyperlink r:id="rId16" w:history="1">
              <w:r w:rsidRPr="006D349E">
                <w:rPr>
                  <w:rStyle w:val="Hyperlink"/>
                  <w:i/>
                  <w:iCs/>
                  <w:sz w:val="22"/>
                  <w:szCs w:val="22"/>
                  <w:lang w:val="es-ES"/>
                </w:rPr>
                <w:t>C26/125</w:t>
              </w:r>
            </w:hyperlink>
            <w:r w:rsidRPr="006D349E">
              <w:rPr>
                <w:i/>
                <w:iCs/>
                <w:sz w:val="22"/>
                <w:szCs w:val="22"/>
                <w:lang w:val="es-ES"/>
              </w:rPr>
              <w:t xml:space="preserve"> del Consejo; Documento </w:t>
            </w:r>
            <w:hyperlink r:id="rId17" w:history="1">
              <w:r w:rsidRPr="006D349E">
                <w:rPr>
                  <w:rStyle w:val="Hyperlink"/>
                  <w:i/>
                  <w:iCs/>
                  <w:sz w:val="22"/>
                  <w:szCs w:val="22"/>
                  <w:lang w:val="es-ES"/>
                </w:rPr>
                <w:t>CWG-FHR-21/14</w:t>
              </w:r>
            </w:hyperlink>
            <w:r w:rsidRPr="006D349E">
              <w:rPr>
                <w:lang w:val="es-ES"/>
              </w:rPr>
              <w:t>;</w:t>
            </w:r>
            <w:r w:rsidRPr="006D349E">
              <w:rPr>
                <w:sz w:val="22"/>
                <w:szCs w:val="22"/>
                <w:lang w:val="es-ES"/>
              </w:rPr>
              <w:t xml:space="preserve"> </w:t>
            </w:r>
            <w:hyperlink r:id="rId18" w:history="1">
              <w:r w:rsidRPr="006D349E">
                <w:rPr>
                  <w:rStyle w:val="Hyperlink"/>
                  <w:i/>
                  <w:iCs/>
                  <w:sz w:val="22"/>
                  <w:szCs w:val="22"/>
                  <w:lang w:val="es-ES"/>
                </w:rPr>
                <w:t>página web sobre la organización de conferencias de la UIT.</w:t>
              </w:r>
            </w:hyperlink>
          </w:p>
        </w:tc>
      </w:tr>
    </w:tbl>
    <w:p w14:paraId="22D2302B" w14:textId="77777777" w:rsidR="004C2460" w:rsidRPr="006D349E" w:rsidRDefault="004C2460" w:rsidP="004C2460">
      <w:pPr>
        <w:pStyle w:val="enumlev1"/>
        <w:spacing w:before="0"/>
        <w:rPr>
          <w:lang w:val="es-ES"/>
        </w:rPr>
      </w:pPr>
      <w:bookmarkStart w:id="4" w:name="_Hlk133421839"/>
      <w:bookmarkStart w:id="5" w:name="_Hlk133421856"/>
      <w:bookmarkStart w:id="6" w:name="_Hlk133422370"/>
      <w:bookmarkStart w:id="7" w:name="_Hlk133586559"/>
      <w:r w:rsidRPr="006D349E">
        <w:rPr>
          <w:b/>
          <w:bCs/>
          <w:lang w:val="es-ES"/>
        </w:rPr>
        <w:t>Anexos:</w:t>
      </w:r>
      <w:r w:rsidRPr="006D349E">
        <w:rPr>
          <w:lang w:val="es-ES"/>
        </w:rPr>
        <w:t xml:space="preserve"> 2</w:t>
      </w:r>
      <w:r w:rsidRPr="006D349E">
        <w:rPr>
          <w:sz w:val="10"/>
          <w:szCs w:val="10"/>
          <w:lang w:val="es-ES"/>
        </w:rPr>
        <w:br w:type="page"/>
      </w:r>
    </w:p>
    <w:p w14:paraId="748EAAC0" w14:textId="77777777" w:rsidR="004C2460" w:rsidRPr="006D349E" w:rsidRDefault="004C2460" w:rsidP="00FA4FC0">
      <w:pPr>
        <w:pStyle w:val="AnnexNo"/>
        <w:rPr>
          <w:rFonts w:eastAsia="SimSun"/>
          <w:lang w:val="es-ES"/>
        </w:rPr>
      </w:pPr>
      <w:r w:rsidRPr="006D349E">
        <w:rPr>
          <w:rFonts w:eastAsia="SimSun"/>
          <w:lang w:val="es-ES"/>
        </w:rPr>
        <w:lastRenderedPageBreak/>
        <w:t>Annex 1</w:t>
      </w:r>
    </w:p>
    <w:p w14:paraId="20396C62" w14:textId="0C753F1F" w:rsidR="004C2460" w:rsidRPr="006D349E" w:rsidRDefault="004C2460" w:rsidP="004C2460">
      <w:pPr>
        <w:pStyle w:val="Annextitle"/>
        <w:rPr>
          <w:lang w:val="es-ES"/>
        </w:rPr>
      </w:pPr>
      <w:r w:rsidRPr="006D349E">
        <w:rPr>
          <w:lang w:val="es-ES"/>
        </w:rPr>
        <w:t xml:space="preserve">Documento </w:t>
      </w:r>
      <w:hyperlink r:id="rId19" w:history="1">
        <w:r w:rsidRPr="006D349E">
          <w:rPr>
            <w:rStyle w:val="Hyperlink"/>
            <w:lang w:val="es-ES"/>
          </w:rPr>
          <w:t>C26/78</w:t>
        </w:r>
      </w:hyperlink>
      <w:r w:rsidRPr="006D349E">
        <w:rPr>
          <w:lang w:val="es-ES"/>
        </w:rPr>
        <w:t xml:space="preserve"> – Propuesta para celebrar la Conferencia de Plenipotenciarios de 2030 en la India</w:t>
      </w:r>
    </w:p>
    <w:p w14:paraId="55FF9CFA" w14:textId="77777777" w:rsidR="004C2460" w:rsidRPr="006D349E" w:rsidRDefault="004C2460" w:rsidP="004C2460">
      <w:pPr>
        <w:rPr>
          <w:lang w:val="es-ES"/>
        </w:rPr>
      </w:pPr>
    </w:p>
    <w:tbl>
      <w:tblPr>
        <w:tblW w:w="5000" w:type="pct"/>
        <w:jc w:val="center"/>
        <w:tblLook w:val="0000" w:firstRow="0" w:lastRow="0" w:firstColumn="0" w:lastColumn="0" w:noHBand="0" w:noVBand="0"/>
      </w:tblPr>
      <w:tblGrid>
        <w:gridCol w:w="4155"/>
        <w:gridCol w:w="5490"/>
      </w:tblGrid>
      <w:tr w:rsidR="004C2460" w:rsidRPr="006D349E" w14:paraId="1832A2A4" w14:textId="77777777" w:rsidTr="00AC5CFE">
        <w:trPr>
          <w:cantSplit/>
          <w:trHeight w:val="1418"/>
          <w:jc w:val="center"/>
        </w:trPr>
        <w:tc>
          <w:tcPr>
            <w:tcW w:w="5000" w:type="pct"/>
            <w:gridSpan w:val="2"/>
            <w:tcMar>
              <w:left w:w="0" w:type="dxa"/>
            </w:tcMar>
          </w:tcPr>
          <w:p w14:paraId="4A36178F" w14:textId="77777777" w:rsidR="004C2460" w:rsidRPr="006D349E" w:rsidRDefault="004C2460" w:rsidP="00AC5CFE">
            <w:pPr>
              <w:tabs>
                <w:tab w:val="left" w:pos="851"/>
              </w:tabs>
              <w:spacing w:before="0" w:line="240" w:lineRule="atLeast"/>
              <w:jc w:val="right"/>
              <w:rPr>
                <w:b/>
                <w:lang w:val="es-ES"/>
              </w:rPr>
            </w:pPr>
            <w:r w:rsidRPr="006D349E">
              <w:rPr>
                <w:noProof/>
                <w:lang w:val="es-ES"/>
              </w:rPr>
              <w:drawing>
                <wp:inline distT="0" distB="0" distL="0" distR="0" wp14:anchorId="1F542E62" wp14:editId="7B843360">
                  <wp:extent cx="5760085" cy="840740"/>
                  <wp:effectExtent l="0" t="0" r="0" b="0"/>
                  <wp:docPr id="397875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875340" name="Picture 397875340"/>
                          <pic:cNvPicPr/>
                        </pic:nvPicPr>
                        <pic:blipFill>
                          <a:blip r:embed="rId20">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c>
      </w:tr>
      <w:tr w:rsidR="004C2460" w:rsidRPr="006D349E" w14:paraId="7C3D9923" w14:textId="77777777" w:rsidTr="00AC5CFE">
        <w:trPr>
          <w:cantSplit/>
          <w:trHeight w:val="23"/>
          <w:jc w:val="center"/>
        </w:trPr>
        <w:tc>
          <w:tcPr>
            <w:tcW w:w="2154" w:type="pct"/>
            <w:vMerge w:val="restart"/>
            <w:tcMar>
              <w:left w:w="0" w:type="dxa"/>
            </w:tcMar>
          </w:tcPr>
          <w:p w14:paraId="69963150" w14:textId="77777777" w:rsidR="004C2460" w:rsidRPr="006D349E" w:rsidRDefault="004C2460" w:rsidP="00AC5CFE">
            <w:pPr>
              <w:tabs>
                <w:tab w:val="left" w:pos="851"/>
              </w:tabs>
              <w:spacing w:before="0" w:line="240" w:lineRule="atLeast"/>
              <w:rPr>
                <w:b/>
                <w:bCs/>
                <w:lang w:val="es-ES"/>
              </w:rPr>
            </w:pPr>
            <w:r w:rsidRPr="006D349E">
              <w:rPr>
                <w:b/>
                <w:lang w:val="es-ES"/>
              </w:rPr>
              <w:t>Punto del orden del día</w:t>
            </w:r>
            <w:r w:rsidRPr="006D349E">
              <w:rPr>
                <w:b/>
                <w:bCs/>
                <w:lang w:val="es-ES"/>
              </w:rPr>
              <w:t>: PL-3</w:t>
            </w:r>
          </w:p>
        </w:tc>
        <w:tc>
          <w:tcPr>
            <w:tcW w:w="2846" w:type="pct"/>
          </w:tcPr>
          <w:p w14:paraId="41EEABB2" w14:textId="77777777" w:rsidR="004C2460" w:rsidRPr="006D349E" w:rsidRDefault="004C2460" w:rsidP="00AC5CFE">
            <w:pPr>
              <w:tabs>
                <w:tab w:val="left" w:pos="851"/>
              </w:tabs>
              <w:spacing w:before="0" w:line="240" w:lineRule="atLeast"/>
              <w:jc w:val="right"/>
              <w:rPr>
                <w:b/>
                <w:lang w:val="es-ES"/>
              </w:rPr>
            </w:pPr>
            <w:r w:rsidRPr="006D349E">
              <w:rPr>
                <w:b/>
                <w:lang w:val="es-ES"/>
              </w:rPr>
              <w:t>Documento C26/78-S</w:t>
            </w:r>
          </w:p>
        </w:tc>
      </w:tr>
      <w:tr w:rsidR="004C2460" w:rsidRPr="006D349E" w14:paraId="41D46D89" w14:textId="77777777" w:rsidTr="00AC5CFE">
        <w:trPr>
          <w:cantSplit/>
          <w:jc w:val="center"/>
        </w:trPr>
        <w:tc>
          <w:tcPr>
            <w:tcW w:w="2154" w:type="pct"/>
            <w:vMerge/>
          </w:tcPr>
          <w:p w14:paraId="6228CCDF" w14:textId="77777777" w:rsidR="004C2460" w:rsidRPr="006D349E" w:rsidRDefault="004C2460" w:rsidP="00AC5CFE">
            <w:pPr>
              <w:tabs>
                <w:tab w:val="left" w:pos="851"/>
              </w:tabs>
              <w:spacing w:line="240" w:lineRule="atLeast"/>
              <w:rPr>
                <w:b/>
                <w:lang w:val="es-ES"/>
              </w:rPr>
            </w:pPr>
          </w:p>
        </w:tc>
        <w:tc>
          <w:tcPr>
            <w:tcW w:w="2846" w:type="pct"/>
          </w:tcPr>
          <w:p w14:paraId="52487C46" w14:textId="77777777" w:rsidR="004C2460" w:rsidRPr="006D349E" w:rsidRDefault="004C2460" w:rsidP="00AC5CFE">
            <w:pPr>
              <w:tabs>
                <w:tab w:val="left" w:pos="851"/>
              </w:tabs>
              <w:spacing w:before="0"/>
              <w:jc w:val="right"/>
              <w:rPr>
                <w:b/>
                <w:lang w:val="es-ES"/>
              </w:rPr>
            </w:pPr>
            <w:r w:rsidRPr="006D349E">
              <w:rPr>
                <w:b/>
                <w:lang w:val="es-ES"/>
              </w:rPr>
              <w:t>14 de abril de 2026</w:t>
            </w:r>
          </w:p>
        </w:tc>
      </w:tr>
      <w:tr w:rsidR="004C2460" w:rsidRPr="006D349E" w14:paraId="5E96FFBA" w14:textId="77777777" w:rsidTr="00AC5CFE">
        <w:trPr>
          <w:cantSplit/>
          <w:trHeight w:val="23"/>
          <w:jc w:val="center"/>
        </w:trPr>
        <w:tc>
          <w:tcPr>
            <w:tcW w:w="2154" w:type="pct"/>
            <w:vMerge/>
          </w:tcPr>
          <w:p w14:paraId="0D7AEE06" w14:textId="77777777" w:rsidR="004C2460" w:rsidRPr="006D349E" w:rsidRDefault="004C2460" w:rsidP="00AC5CFE">
            <w:pPr>
              <w:tabs>
                <w:tab w:val="left" w:pos="851"/>
              </w:tabs>
              <w:spacing w:line="240" w:lineRule="atLeast"/>
              <w:rPr>
                <w:b/>
                <w:lang w:val="es-ES"/>
              </w:rPr>
            </w:pPr>
          </w:p>
        </w:tc>
        <w:tc>
          <w:tcPr>
            <w:tcW w:w="2846" w:type="pct"/>
          </w:tcPr>
          <w:p w14:paraId="400A1A12" w14:textId="77777777" w:rsidR="004C2460" w:rsidRPr="006D349E" w:rsidRDefault="004C2460" w:rsidP="00AC5CFE">
            <w:pPr>
              <w:tabs>
                <w:tab w:val="left" w:pos="851"/>
              </w:tabs>
              <w:spacing w:before="0" w:line="240" w:lineRule="atLeast"/>
              <w:jc w:val="right"/>
              <w:rPr>
                <w:b/>
                <w:lang w:val="es-ES"/>
              </w:rPr>
            </w:pPr>
            <w:r w:rsidRPr="006D349E">
              <w:rPr>
                <w:b/>
                <w:lang w:val="es-ES"/>
              </w:rPr>
              <w:t>Original: inglés</w:t>
            </w:r>
          </w:p>
        </w:tc>
      </w:tr>
      <w:tr w:rsidR="004C2460" w:rsidRPr="006D349E" w14:paraId="172C9F26" w14:textId="77777777" w:rsidTr="00AC5CFE">
        <w:trPr>
          <w:cantSplit/>
          <w:trHeight w:val="23"/>
          <w:jc w:val="center"/>
        </w:trPr>
        <w:tc>
          <w:tcPr>
            <w:tcW w:w="2154" w:type="pct"/>
          </w:tcPr>
          <w:p w14:paraId="61DD5E95" w14:textId="77777777" w:rsidR="004C2460" w:rsidRPr="006D349E" w:rsidRDefault="004C2460" w:rsidP="00AC5CFE">
            <w:pPr>
              <w:tabs>
                <w:tab w:val="left" w:pos="851"/>
              </w:tabs>
              <w:spacing w:line="240" w:lineRule="atLeast"/>
              <w:rPr>
                <w:b/>
                <w:lang w:val="es-ES"/>
              </w:rPr>
            </w:pPr>
          </w:p>
        </w:tc>
        <w:tc>
          <w:tcPr>
            <w:tcW w:w="2846" w:type="pct"/>
          </w:tcPr>
          <w:p w14:paraId="04825612" w14:textId="77777777" w:rsidR="004C2460" w:rsidRPr="006D349E" w:rsidRDefault="004C2460" w:rsidP="00AC5CFE">
            <w:pPr>
              <w:tabs>
                <w:tab w:val="left" w:pos="851"/>
              </w:tabs>
              <w:spacing w:before="0" w:line="240" w:lineRule="atLeast"/>
              <w:jc w:val="right"/>
              <w:rPr>
                <w:b/>
                <w:lang w:val="es-ES"/>
              </w:rPr>
            </w:pPr>
          </w:p>
        </w:tc>
      </w:tr>
      <w:tr w:rsidR="004C2460" w:rsidRPr="006D349E" w14:paraId="7013651E" w14:textId="77777777" w:rsidTr="00AC5CFE">
        <w:trPr>
          <w:cantSplit/>
          <w:jc w:val="center"/>
        </w:trPr>
        <w:tc>
          <w:tcPr>
            <w:tcW w:w="5000" w:type="pct"/>
            <w:gridSpan w:val="2"/>
            <w:tcMar>
              <w:left w:w="0" w:type="dxa"/>
            </w:tcMar>
          </w:tcPr>
          <w:p w14:paraId="25E22788" w14:textId="77777777" w:rsidR="004C2460" w:rsidRPr="006D349E" w:rsidRDefault="004C2460" w:rsidP="00AC5CFE">
            <w:pPr>
              <w:pStyle w:val="SourceCouncil"/>
              <w:rPr>
                <w:lang w:val="es-ES"/>
              </w:rPr>
            </w:pPr>
            <w:r w:rsidRPr="006D349E">
              <w:rPr>
                <w:rFonts w:cstheme="minorHAnsi"/>
                <w:sz w:val="32"/>
                <w:szCs w:val="32"/>
                <w:lang w:val="es-ES"/>
              </w:rPr>
              <w:t>Contribución de India (República de la)</w:t>
            </w:r>
          </w:p>
        </w:tc>
      </w:tr>
      <w:tr w:rsidR="004C2460" w:rsidRPr="006D349E" w14:paraId="356D230E" w14:textId="77777777" w:rsidTr="00AC5CFE">
        <w:trPr>
          <w:cantSplit/>
          <w:jc w:val="center"/>
        </w:trPr>
        <w:tc>
          <w:tcPr>
            <w:tcW w:w="5000" w:type="pct"/>
            <w:gridSpan w:val="2"/>
            <w:tcMar>
              <w:left w:w="0" w:type="dxa"/>
            </w:tcMar>
          </w:tcPr>
          <w:p w14:paraId="331B3280" w14:textId="77777777" w:rsidR="004C2460" w:rsidRPr="006D349E" w:rsidRDefault="004C2460" w:rsidP="00AC5CFE">
            <w:pPr>
              <w:pStyle w:val="SubtitleCouncil"/>
              <w:rPr>
                <w:lang w:val="es-ES"/>
              </w:rPr>
            </w:pPr>
            <w:r w:rsidRPr="006D349E">
              <w:rPr>
                <w:lang w:val="es-ES"/>
              </w:rPr>
              <w:t>PROPUESTA PARA CELEBRAR LA CONFERENCIA DE PLENIPOTENCIARIOS DE 2030 EN LA INDIA</w:t>
            </w:r>
          </w:p>
        </w:tc>
      </w:tr>
      <w:tr w:rsidR="004C2460" w:rsidRPr="006D349E" w14:paraId="4968B662" w14:textId="77777777" w:rsidTr="00AC5CFE">
        <w:trPr>
          <w:cantSplit/>
          <w:jc w:val="center"/>
        </w:trPr>
        <w:tc>
          <w:tcPr>
            <w:tcW w:w="5000" w:type="pct"/>
            <w:gridSpan w:val="2"/>
            <w:tcBorders>
              <w:top w:val="single" w:sz="4" w:space="0" w:color="auto"/>
              <w:bottom w:val="single" w:sz="4" w:space="0" w:color="auto"/>
            </w:tcBorders>
            <w:tcMar>
              <w:left w:w="0" w:type="dxa"/>
            </w:tcMar>
          </w:tcPr>
          <w:p w14:paraId="36E69FA9" w14:textId="77777777" w:rsidR="004C2460" w:rsidRPr="006D349E" w:rsidRDefault="004C2460" w:rsidP="00AC5CFE">
            <w:pPr>
              <w:spacing w:before="160"/>
              <w:rPr>
                <w:b/>
                <w:bCs/>
                <w:sz w:val="26"/>
                <w:szCs w:val="26"/>
                <w:lang w:val="es-ES"/>
              </w:rPr>
            </w:pPr>
            <w:r w:rsidRPr="006D349E">
              <w:rPr>
                <w:b/>
                <w:bCs/>
                <w:sz w:val="26"/>
                <w:szCs w:val="26"/>
                <w:lang w:val="es-ES"/>
              </w:rPr>
              <w:t>Finalidad</w:t>
            </w:r>
          </w:p>
          <w:p w14:paraId="4887EC7D" w14:textId="77777777" w:rsidR="004C2460" w:rsidRPr="006D349E" w:rsidRDefault="004C2460" w:rsidP="00AC5CFE">
            <w:pPr>
              <w:rPr>
                <w:lang w:val="es-ES"/>
              </w:rPr>
            </w:pPr>
            <w:r w:rsidRPr="006D349E">
              <w:rPr>
                <w:lang w:val="es-ES"/>
              </w:rPr>
              <w:t>Presentar la propuesta de la India para acoger la Conferencia de Plenipotenciarios de la UIT de 2030 y recabar el apoyo de los Estados Miembros.</w:t>
            </w:r>
          </w:p>
          <w:p w14:paraId="218845F0" w14:textId="77777777" w:rsidR="004C2460" w:rsidRPr="006D349E" w:rsidRDefault="004C2460" w:rsidP="00AC5CFE">
            <w:pPr>
              <w:spacing w:before="160"/>
              <w:rPr>
                <w:b/>
                <w:bCs/>
                <w:sz w:val="26"/>
                <w:szCs w:val="26"/>
                <w:lang w:val="es-ES"/>
              </w:rPr>
            </w:pPr>
            <w:r w:rsidRPr="006D349E">
              <w:rPr>
                <w:b/>
                <w:bCs/>
                <w:sz w:val="26"/>
                <w:szCs w:val="26"/>
                <w:lang w:val="es-ES"/>
              </w:rPr>
              <w:t>Acción solicitada al Consejo</w:t>
            </w:r>
          </w:p>
          <w:p w14:paraId="03EFC974" w14:textId="77777777" w:rsidR="004C2460" w:rsidRPr="006D349E" w:rsidRDefault="004C2460" w:rsidP="00AC5CFE">
            <w:pPr>
              <w:spacing w:before="160"/>
              <w:rPr>
                <w:szCs w:val="24"/>
                <w:lang w:val="es-ES"/>
              </w:rPr>
            </w:pPr>
            <w:r w:rsidRPr="006D349E">
              <w:rPr>
                <w:szCs w:val="24"/>
                <w:lang w:val="es-ES"/>
              </w:rPr>
              <w:t xml:space="preserve">Se invita al Consejo a </w:t>
            </w:r>
            <w:r w:rsidRPr="006D349E">
              <w:rPr>
                <w:b/>
                <w:bCs/>
                <w:szCs w:val="24"/>
                <w:lang w:val="es-ES"/>
              </w:rPr>
              <w:t>examinar</w:t>
            </w:r>
            <w:r w:rsidRPr="006D349E">
              <w:rPr>
                <w:szCs w:val="24"/>
                <w:lang w:val="es-ES"/>
              </w:rPr>
              <w:t xml:space="preserve"> y </w:t>
            </w:r>
            <w:r w:rsidRPr="006D349E">
              <w:rPr>
                <w:b/>
                <w:bCs/>
                <w:szCs w:val="24"/>
                <w:lang w:val="es-ES"/>
              </w:rPr>
              <w:t>aprobar</w:t>
            </w:r>
            <w:r w:rsidRPr="006D349E">
              <w:rPr>
                <w:szCs w:val="24"/>
                <w:lang w:val="es-ES"/>
              </w:rPr>
              <w:t xml:space="preserve"> la propuesta de la India para acoger la Conferencia de Plenipotenciarios de la UIT de 2030.</w:t>
            </w:r>
          </w:p>
          <w:p w14:paraId="211022A3" w14:textId="77777777" w:rsidR="004C2460" w:rsidRPr="006D349E" w:rsidRDefault="004C2460" w:rsidP="00AC5CFE">
            <w:pPr>
              <w:spacing w:before="160"/>
              <w:rPr>
                <w:caps/>
                <w:sz w:val="22"/>
                <w:lang w:val="es-ES"/>
              </w:rPr>
            </w:pPr>
            <w:r w:rsidRPr="006D349E">
              <w:rPr>
                <w:sz w:val="22"/>
                <w:lang w:val="es-ES"/>
              </w:rPr>
              <w:t>__________________</w:t>
            </w:r>
          </w:p>
          <w:p w14:paraId="030D833D" w14:textId="77777777" w:rsidR="004C2460" w:rsidRPr="006D349E" w:rsidRDefault="004C2460" w:rsidP="00AC5CFE">
            <w:pPr>
              <w:spacing w:before="160"/>
              <w:rPr>
                <w:b/>
                <w:bCs/>
                <w:sz w:val="26"/>
                <w:szCs w:val="26"/>
                <w:lang w:val="es-ES"/>
              </w:rPr>
            </w:pPr>
            <w:r w:rsidRPr="006D349E">
              <w:rPr>
                <w:b/>
                <w:bCs/>
                <w:sz w:val="26"/>
                <w:szCs w:val="26"/>
                <w:lang w:val="es-ES"/>
              </w:rPr>
              <w:t>Referencias</w:t>
            </w:r>
            <w:r w:rsidRPr="006D349E">
              <w:rPr>
                <w:sz w:val="26"/>
                <w:szCs w:val="26"/>
                <w:lang w:val="es-ES"/>
              </w:rPr>
              <w:t xml:space="preserve"> </w:t>
            </w:r>
          </w:p>
          <w:p w14:paraId="38705B3B" w14:textId="77777777" w:rsidR="004C2460" w:rsidRPr="006D349E" w:rsidRDefault="004C2460" w:rsidP="00AC5CFE">
            <w:pPr>
              <w:spacing w:after="160"/>
              <w:rPr>
                <w:sz w:val="22"/>
                <w:szCs w:val="22"/>
                <w:lang w:val="es-ES"/>
              </w:rPr>
            </w:pPr>
            <w:hyperlink r:id="rId21" w:anchor="/es" w:history="1">
              <w:r w:rsidRPr="006D349E">
                <w:rPr>
                  <w:rStyle w:val="Hyperlink"/>
                  <w:i/>
                  <w:iCs/>
                  <w:sz w:val="22"/>
                  <w:lang w:val="es-ES"/>
                </w:rPr>
                <w:t>Debates del Consejo de la UIT de 2025</w:t>
              </w:r>
            </w:hyperlink>
            <w:r w:rsidRPr="006D349E">
              <w:rPr>
                <w:i/>
                <w:iCs/>
                <w:sz w:val="22"/>
                <w:szCs w:val="22"/>
                <w:lang w:val="es-ES"/>
              </w:rPr>
              <w:t xml:space="preserve">; </w:t>
            </w:r>
            <w:hyperlink r:id="rId22" w:anchor="/es" w:history="1">
              <w:r w:rsidRPr="006D349E">
                <w:rPr>
                  <w:rStyle w:val="Hyperlink"/>
                  <w:i/>
                  <w:iCs/>
                  <w:sz w:val="22"/>
                  <w:lang w:val="es-ES"/>
                </w:rPr>
                <w:t>Reunión del GTC-RHF (septiembre de 2025)</w:t>
              </w:r>
            </w:hyperlink>
            <w:r w:rsidRPr="006D349E">
              <w:rPr>
                <w:i/>
                <w:iCs/>
                <w:sz w:val="22"/>
                <w:szCs w:val="22"/>
                <w:lang w:val="es-ES"/>
              </w:rPr>
              <w:t>; Manifestación de interés presentada el 19 de noviembre de 2024</w:t>
            </w:r>
          </w:p>
        </w:tc>
      </w:tr>
    </w:tbl>
    <w:p w14:paraId="68394EA2" w14:textId="77777777" w:rsidR="004C2460" w:rsidRPr="006D349E" w:rsidRDefault="004C2460" w:rsidP="004C2460">
      <w:pPr>
        <w:rPr>
          <w:lang w:val="es-ES"/>
        </w:rPr>
      </w:pPr>
    </w:p>
    <w:p w14:paraId="798A9363" w14:textId="77777777" w:rsidR="004C2460" w:rsidRPr="006D349E" w:rsidRDefault="004C2460" w:rsidP="004C2460">
      <w:pPr>
        <w:rPr>
          <w:rFonts w:eastAsia="SimSun"/>
          <w:lang w:val="es-ES"/>
        </w:rPr>
      </w:pPr>
      <w:r w:rsidRPr="006D349E">
        <w:rPr>
          <w:rFonts w:eastAsia="SimSun"/>
          <w:lang w:val="es-ES"/>
        </w:rPr>
        <w:br w:type="page"/>
      </w:r>
    </w:p>
    <w:p w14:paraId="54452471" w14:textId="77777777" w:rsidR="004C2460" w:rsidRPr="006D349E" w:rsidRDefault="004C2460" w:rsidP="007D0D91">
      <w:pPr>
        <w:pStyle w:val="Heading1"/>
      </w:pPr>
      <w:r w:rsidRPr="006D349E">
        <w:lastRenderedPageBreak/>
        <w:t>1</w:t>
      </w:r>
      <w:r w:rsidRPr="006D349E">
        <w:tab/>
      </w:r>
      <w:r w:rsidRPr="00C878A3">
        <w:t>Contexto</w:t>
      </w:r>
    </w:p>
    <w:p w14:paraId="7B93D70B" w14:textId="7AD73D45" w:rsidR="004C2460" w:rsidRPr="006D349E" w:rsidRDefault="004C2460" w:rsidP="007D0D91">
      <w:pPr>
        <w:jc w:val="both"/>
        <w:rPr>
          <w:lang w:val="es-ES"/>
        </w:rPr>
      </w:pPr>
      <w:r w:rsidRPr="006D349E">
        <w:rPr>
          <w:lang w:val="es-ES"/>
        </w:rPr>
        <w:t>La India ha sido un Estado Miembro activo y fiel de la Unión Internacional de Telecomunicaciones (UIT) desde 1869, contribuyendo activamente al avance y la proliferación mundial de los servicios de telecomunicaciones. En tanto que Miembro habitual y distinguido del Consejo de la UIT desde 1952, el país ha desempeñado un papel clave en la formulación de políticas internacionales en materia de telecomunicaciones, el fortalecimiento de la cooperación multilateral y la promoción del desarrollo inclusivo y sostenible. Como representante de la región de Asia y Australasia (Región</w:t>
      </w:r>
      <w:r w:rsidR="004433F7">
        <w:rPr>
          <w:lang w:val="es-ES"/>
        </w:rPr>
        <w:t> </w:t>
      </w:r>
      <w:r w:rsidRPr="006D349E">
        <w:rPr>
          <w:lang w:val="es-ES"/>
        </w:rPr>
        <w:t>E), la India siempre ha defendido los principios de una representación equilibrada y de una toma de decisiones basada en el consenso. Su constante compromiso para con la equidad, la colaboración y la innovación hace que el país siga activamente apoyando y dando forma al ecosistema mundial de las telecomunicaciones.</w:t>
      </w:r>
    </w:p>
    <w:p w14:paraId="71ADB296" w14:textId="77777777" w:rsidR="004C2460" w:rsidRPr="006D349E" w:rsidRDefault="004C2460" w:rsidP="007D0D91">
      <w:pPr>
        <w:pStyle w:val="Heading1"/>
      </w:pPr>
      <w:r w:rsidRPr="006D349E">
        <w:t>2</w:t>
      </w:r>
      <w:r w:rsidRPr="006D349E">
        <w:tab/>
      </w:r>
      <w:r w:rsidRPr="007D0D91">
        <w:t>Compromiso</w:t>
      </w:r>
      <w:r w:rsidRPr="006D349E">
        <w:t xml:space="preserve"> de la India para con la UIT</w:t>
      </w:r>
    </w:p>
    <w:p w14:paraId="2FA90C6B" w14:textId="77777777" w:rsidR="004C2460" w:rsidRPr="006D349E" w:rsidRDefault="004C2460" w:rsidP="007D0D91">
      <w:pPr>
        <w:jc w:val="both"/>
        <w:rPr>
          <w:lang w:val="es-ES"/>
        </w:rPr>
      </w:pPr>
      <w:r w:rsidRPr="006D349E">
        <w:rPr>
          <w:lang w:val="es-ES"/>
        </w:rPr>
        <w:t>2.1</w:t>
      </w:r>
      <w:r w:rsidRPr="006D349E">
        <w:rPr>
          <w:lang w:val="es-ES"/>
        </w:rPr>
        <w:tab/>
        <w:t xml:space="preserve">La India reafirmó su firme compromiso para con la UIT organizando con éxito la </w:t>
      </w:r>
      <w:r w:rsidRPr="006D349E">
        <w:rPr>
          <w:b/>
          <w:bCs/>
          <w:lang w:val="es-ES"/>
        </w:rPr>
        <w:t>Asamblea Mundial de Normalización de las Telecomunicaciones (AMNT) de 2024</w:t>
      </w:r>
      <w:r w:rsidRPr="006D349E">
        <w:rPr>
          <w:lang w:val="es-ES"/>
        </w:rPr>
        <w:t xml:space="preserve">, que contó con la participación de más de 3 700 delegados de los </w:t>
      </w:r>
      <w:r w:rsidRPr="006D349E">
        <w:rPr>
          <w:b/>
          <w:bCs/>
          <w:lang w:val="es-ES"/>
        </w:rPr>
        <w:t>194 Estados Miembros</w:t>
      </w:r>
      <w:r w:rsidRPr="006D349E">
        <w:rPr>
          <w:lang w:val="es-ES"/>
        </w:rPr>
        <w:t xml:space="preserve">, entre los que se contaron más de </w:t>
      </w:r>
      <w:r w:rsidRPr="006D349E">
        <w:rPr>
          <w:b/>
          <w:bCs/>
          <w:lang w:val="es-ES"/>
        </w:rPr>
        <w:t>40 Ministros de Comunicaciones/TIC</w:t>
      </w:r>
      <w:r w:rsidRPr="006D349E">
        <w:rPr>
          <w:lang w:val="es-ES"/>
        </w:rPr>
        <w:t>. La Asamblea contó además con la implicación activa de líderes de la industria, nuevas empresas tecnológicas, innovadores, fabricantes, expertos en I+D, instituciones académicas y representantes del sector público.</w:t>
      </w:r>
    </w:p>
    <w:p w14:paraId="034E3C51" w14:textId="46A932A4" w:rsidR="004C2460" w:rsidRPr="006D349E" w:rsidRDefault="004C2460" w:rsidP="007D0D91">
      <w:pPr>
        <w:jc w:val="both"/>
        <w:rPr>
          <w:lang w:val="es-ES"/>
        </w:rPr>
      </w:pPr>
      <w:r w:rsidRPr="006D349E">
        <w:rPr>
          <w:lang w:val="es-ES"/>
        </w:rPr>
        <w:t>2.2</w:t>
      </w:r>
      <w:r w:rsidRPr="006D349E">
        <w:rPr>
          <w:lang w:val="es-ES"/>
        </w:rPr>
        <w:tab/>
        <w:t>La Asamblea Mundial de Normalización de las Telecomunicaciones de 2024, celebrada en la India, se erigió en una plataforma mundial esencial para avanzar el diálogo sobre la normalización inclusiva de las TIC, la innovación digital sostenibles y las tecnologías incipientes, afianzando así el papel de la India como socio proactivo, capaz y fiable en el marco de la gobernanza mundial de las</w:t>
      </w:r>
      <w:r w:rsidR="004433F7">
        <w:rPr>
          <w:lang w:val="es-ES"/>
        </w:rPr>
        <w:t> </w:t>
      </w:r>
      <w:r w:rsidRPr="006D349E">
        <w:rPr>
          <w:lang w:val="es-ES"/>
        </w:rPr>
        <w:t>TIC.</w:t>
      </w:r>
    </w:p>
    <w:p w14:paraId="6B6CA1ED" w14:textId="77777777" w:rsidR="004C2460" w:rsidRPr="006D349E" w:rsidRDefault="004C2460" w:rsidP="007D0D91">
      <w:pPr>
        <w:jc w:val="both"/>
        <w:rPr>
          <w:lang w:val="es-ES"/>
        </w:rPr>
      </w:pPr>
      <w:r w:rsidRPr="006D349E">
        <w:rPr>
          <w:lang w:val="es-ES"/>
        </w:rPr>
        <w:t>2.3</w:t>
      </w:r>
      <w:r w:rsidRPr="006D349E">
        <w:rPr>
          <w:lang w:val="es-ES"/>
        </w:rPr>
        <w:tab/>
        <w:t xml:space="preserve">Además de la AMNT-2024, la India tiene un largo historial de éxitos en la celebración de otros grandes eventos de la UIT, como la </w:t>
      </w:r>
      <w:r w:rsidRPr="006D349E">
        <w:rPr>
          <w:b/>
          <w:bCs/>
          <w:lang w:val="es-ES"/>
        </w:rPr>
        <w:t>Conferencia Mundial de Desarrollo de las Telecomunicaciones (CMDT-2010)</w:t>
      </w:r>
      <w:r w:rsidRPr="006D349E">
        <w:rPr>
          <w:lang w:val="es-ES"/>
        </w:rPr>
        <w:t xml:space="preserve">, </w:t>
      </w:r>
      <w:r w:rsidRPr="006D349E">
        <w:rPr>
          <w:b/>
          <w:bCs/>
          <w:lang w:val="es-ES"/>
        </w:rPr>
        <w:t>reuniones de las CE del UIT-T</w:t>
      </w:r>
      <w:r w:rsidRPr="006D349E">
        <w:rPr>
          <w:lang w:val="es-ES"/>
        </w:rPr>
        <w:t xml:space="preserve">, </w:t>
      </w:r>
      <w:r w:rsidRPr="006D349E">
        <w:rPr>
          <w:b/>
          <w:bCs/>
          <w:lang w:val="es-ES"/>
        </w:rPr>
        <w:t>reuniones de Grupos Temáticos</w:t>
      </w:r>
      <w:r w:rsidRPr="006D349E">
        <w:rPr>
          <w:lang w:val="es-ES"/>
        </w:rPr>
        <w:t xml:space="preserve"> y </w:t>
      </w:r>
      <w:r w:rsidRPr="006D349E">
        <w:rPr>
          <w:b/>
          <w:bCs/>
          <w:lang w:val="es-ES"/>
        </w:rPr>
        <w:t>reuniones de Grupos de Trabajo del UIT-R</w:t>
      </w:r>
      <w:r w:rsidRPr="006D349E">
        <w:rPr>
          <w:lang w:val="es-ES"/>
        </w:rPr>
        <w:t>, que refleja su firme compromiso y liderazgo en todos los ámbitos de trabajo de la Unión.</w:t>
      </w:r>
    </w:p>
    <w:p w14:paraId="418CEB46" w14:textId="77777777" w:rsidR="004C2460" w:rsidRPr="006D349E" w:rsidRDefault="004C2460" w:rsidP="007D0D91">
      <w:pPr>
        <w:pStyle w:val="Heading1"/>
      </w:pPr>
      <w:r w:rsidRPr="006D349E">
        <w:t>3</w:t>
      </w:r>
      <w:r w:rsidRPr="006D349E">
        <w:tab/>
        <w:t>Visión para la PP-2030</w:t>
      </w:r>
    </w:p>
    <w:p w14:paraId="562AB5AB" w14:textId="77777777" w:rsidR="004C2460" w:rsidRPr="006D349E" w:rsidRDefault="004C2460" w:rsidP="007D0D91">
      <w:pPr>
        <w:jc w:val="both"/>
        <w:rPr>
          <w:lang w:val="es-ES"/>
        </w:rPr>
      </w:pPr>
      <w:r w:rsidRPr="006D349E">
        <w:rPr>
          <w:lang w:val="es-ES"/>
        </w:rPr>
        <w:t>3.1</w:t>
      </w:r>
      <w:r w:rsidRPr="006D349E">
        <w:rPr>
          <w:lang w:val="es-ES"/>
        </w:rPr>
        <w:tab/>
        <w:t xml:space="preserve">La India considera la </w:t>
      </w:r>
      <w:r w:rsidRPr="006D349E">
        <w:rPr>
          <w:b/>
          <w:bCs/>
          <w:lang w:val="es-ES"/>
        </w:rPr>
        <w:t>Conferencia de Plenipotenciarios de 2030</w:t>
      </w:r>
      <w:r w:rsidRPr="006D349E">
        <w:rPr>
          <w:lang w:val="es-ES"/>
        </w:rPr>
        <w:t xml:space="preserve"> como un evento capital en pro del diálogo inclusivo, la previsión estratégica y la cooperación multilateral intensa. Gracias a su robusta infraestructura digital, su ecosistema de innovación en expansión y sus iniciativas digitales antropocéntricas, el país ofrece el marco ideal para que los Estados Miembros definan colectivamente el futuro de la UIT.</w:t>
      </w:r>
    </w:p>
    <w:p w14:paraId="3F8847C6" w14:textId="77777777" w:rsidR="004C2460" w:rsidRPr="006D349E" w:rsidRDefault="004C2460" w:rsidP="007D0D91">
      <w:pPr>
        <w:jc w:val="both"/>
        <w:rPr>
          <w:lang w:val="es-ES"/>
        </w:rPr>
      </w:pPr>
      <w:r w:rsidRPr="006D349E">
        <w:rPr>
          <w:lang w:val="es-ES"/>
        </w:rPr>
        <w:t>3.2</w:t>
      </w:r>
      <w:r w:rsidRPr="006D349E">
        <w:rPr>
          <w:lang w:val="es-ES"/>
        </w:rPr>
        <w:tab/>
        <w:t>El lugar de celebración propuesto ofrecerá infraestructuras de clase mundial, conectividad ininterrumpida y una hospitalidad excepcional para garantizar que todos los participantes disfrutan de una experiencia productiva y enriquecedora. La India tiene además el objetivo de hacer gala de sus logros en materia de infraestructura pública digital, conectividad universal e inclusión digital, en armonía con la perspectiva de la UIT y los Objetivos de Desarrollo Sostenible (ODS) para 2030.</w:t>
      </w:r>
    </w:p>
    <w:p w14:paraId="6A364AEC" w14:textId="77777777" w:rsidR="004C2460" w:rsidRPr="006D349E" w:rsidRDefault="004C2460" w:rsidP="007D0D91">
      <w:pPr>
        <w:pStyle w:val="Heading1"/>
      </w:pPr>
      <w:r w:rsidRPr="006D349E">
        <w:lastRenderedPageBreak/>
        <w:t>4</w:t>
      </w:r>
      <w:r w:rsidRPr="006D349E">
        <w:tab/>
        <w:t>Propuesta para acoger la Conferencia de Plenipotenciarios de 2030</w:t>
      </w:r>
    </w:p>
    <w:p w14:paraId="3FE53153" w14:textId="713B2A30" w:rsidR="004C2460" w:rsidRPr="006D349E" w:rsidRDefault="004C2460" w:rsidP="007D0D91">
      <w:pPr>
        <w:jc w:val="both"/>
        <w:rPr>
          <w:lang w:val="es-ES"/>
        </w:rPr>
      </w:pPr>
      <w:r w:rsidRPr="006D349E">
        <w:rPr>
          <w:lang w:val="es-ES"/>
        </w:rPr>
        <w:t>4.1</w:t>
      </w:r>
      <w:r w:rsidRPr="006D349E">
        <w:rPr>
          <w:lang w:val="es-ES"/>
        </w:rPr>
        <w:tab/>
        <w:t xml:space="preserve">La India, guiada por el espíritu de su </w:t>
      </w:r>
      <w:r w:rsidRPr="006D349E">
        <w:rPr>
          <w:b/>
          <w:bCs/>
          <w:lang w:val="es-ES"/>
        </w:rPr>
        <w:t>presidencia del G20</w:t>
      </w:r>
      <w:r w:rsidRPr="006D349E">
        <w:rPr>
          <w:lang w:val="es-ES"/>
        </w:rPr>
        <w:t xml:space="preserve">, la exitosa celebración de la </w:t>
      </w:r>
      <w:r w:rsidRPr="006D349E">
        <w:rPr>
          <w:b/>
          <w:bCs/>
          <w:lang w:val="es-ES"/>
        </w:rPr>
        <w:t>AMNT</w:t>
      </w:r>
      <w:r w:rsidR="004433F7">
        <w:rPr>
          <w:b/>
          <w:bCs/>
          <w:lang w:val="es-ES"/>
        </w:rPr>
        <w:noBreakHyphen/>
      </w:r>
      <w:r w:rsidRPr="006D349E">
        <w:rPr>
          <w:b/>
          <w:bCs/>
          <w:lang w:val="es-ES"/>
        </w:rPr>
        <w:t>2024</w:t>
      </w:r>
      <w:r w:rsidRPr="006D349E">
        <w:rPr>
          <w:lang w:val="es-ES"/>
        </w:rPr>
        <w:t xml:space="preserve"> y los principios del </w:t>
      </w:r>
      <w:r w:rsidRPr="006D349E">
        <w:rPr>
          <w:b/>
          <w:bCs/>
          <w:i/>
          <w:iCs/>
          <w:lang w:val="es-ES" w:bidi="hi-IN"/>
        </w:rPr>
        <w:t>Vasudhaiva Kutumbakam</w:t>
      </w:r>
      <w:r w:rsidRPr="006D349E">
        <w:rPr>
          <w:b/>
          <w:bCs/>
          <w:i/>
          <w:iCs/>
          <w:lang w:val="es-ES"/>
        </w:rPr>
        <w:t xml:space="preserve"> (Una Tierra, una familia, un futuro) </w:t>
      </w:r>
      <w:r w:rsidRPr="006D349E">
        <w:rPr>
          <w:lang w:val="es-ES"/>
        </w:rPr>
        <w:t xml:space="preserve">presentó la propuesta de </w:t>
      </w:r>
      <w:r w:rsidRPr="006D349E">
        <w:rPr>
          <w:b/>
          <w:bCs/>
          <w:lang w:val="es-ES"/>
        </w:rPr>
        <w:t>acoger la Conferencia de Plenipotenciarios de la UIT de 2030</w:t>
      </w:r>
      <w:r w:rsidRPr="006D349E">
        <w:rPr>
          <w:lang w:val="es-ES"/>
        </w:rPr>
        <w:t>.</w:t>
      </w:r>
    </w:p>
    <w:p w14:paraId="56A22514" w14:textId="77777777" w:rsidR="004C2460" w:rsidRPr="006D349E" w:rsidRDefault="004C2460" w:rsidP="007D0D91">
      <w:pPr>
        <w:jc w:val="both"/>
        <w:rPr>
          <w:lang w:val="es-ES"/>
        </w:rPr>
      </w:pPr>
      <w:r w:rsidRPr="006D349E">
        <w:rPr>
          <w:lang w:val="es-ES"/>
        </w:rPr>
        <w:t>4.2</w:t>
      </w:r>
      <w:r w:rsidRPr="006D349E">
        <w:rPr>
          <w:lang w:val="es-ES"/>
        </w:rPr>
        <w:tab/>
        <w:t>El 19 de noviembre de 2024 se presentó a la UIT una manifestación de interés a este respecto, y la propuesta oficial se presentó en las reuniones del Consejo de la UIT de 2025. Los consejeros agradecen la amable invitación del Gobierno de la India y recuerdan el gran éxito logrado con la celebración de la AMNT-24.</w:t>
      </w:r>
    </w:p>
    <w:p w14:paraId="257547A2" w14:textId="05CE5B5E" w:rsidR="004C2460" w:rsidRPr="006D349E" w:rsidRDefault="004C2460" w:rsidP="007D0D91">
      <w:pPr>
        <w:jc w:val="both"/>
        <w:rPr>
          <w:lang w:val="es-ES"/>
        </w:rPr>
      </w:pPr>
      <w:r w:rsidRPr="006D349E">
        <w:rPr>
          <w:lang w:val="es-ES"/>
        </w:rPr>
        <w:t>4.3</w:t>
      </w:r>
      <w:r w:rsidRPr="006D349E">
        <w:rPr>
          <w:lang w:val="es-ES"/>
        </w:rPr>
        <w:tab/>
        <w:t>De conformidad con el Artículo 1 (número 2) y el Artículo 3 (números 41-42) del Convenio de la UIT, el lugar y las fechas de una conferencia o asamblea serán determinados por la Conferencia de Plenipotenciarios o por el Consejo, con el acuerdo de la mayoría de los Estados Miembros. Esta práctica establecida se ha estado adoptando recientemente: Busán (2014) determinó Dubái (2018); Dubái (2018) determinó Bucarest (2022), y Bucarest (2022) determinó Doha (2026). Este enfoque se ve reforzado por la Resolución 77 (Rev. Bucarest, 2022), en la que se establece el programa de Conferencias, Foros, Asambleas y reuniones del Consejo para el periodo 2023-2027, incluida la celebración de la próxima Conferencia de Plenipotenciarios en 2026.</w:t>
      </w:r>
    </w:p>
    <w:p w14:paraId="1F49E3C0" w14:textId="77777777" w:rsidR="004C2460" w:rsidRPr="006D349E" w:rsidRDefault="004C2460" w:rsidP="007D0D91">
      <w:pPr>
        <w:jc w:val="both"/>
        <w:rPr>
          <w:lang w:val="es-ES"/>
        </w:rPr>
      </w:pPr>
      <w:r w:rsidRPr="006D349E">
        <w:rPr>
          <w:lang w:val="es-ES"/>
        </w:rPr>
        <w:t>4.4</w:t>
      </w:r>
      <w:r w:rsidRPr="006D349E">
        <w:rPr>
          <w:lang w:val="es-ES"/>
        </w:rPr>
        <w:tab/>
        <w:t>La India es consciente de los desarrollos en el Consejo de la UIT 2025 donde los Estados Miembros deliberan sobre la necesidad de definir un procedimiento de presentación de candidaturas oficial, colaborativo y transparente para la celebración de conferencias y asambleas de la UIT (si hubiese múltiples candidaturas); la Presidencia propuso que se encomendase esa tarea al Grupo de Trabajo del Consejo sobre Recursos Humanos y Financieros. Con todo, en el caso actual, la candidatura para acoger la PP-30 corresponde únicamente a la India.</w:t>
      </w:r>
    </w:p>
    <w:p w14:paraId="70B304AE" w14:textId="77777777" w:rsidR="004C2460" w:rsidRPr="006D349E" w:rsidRDefault="004C2460" w:rsidP="007D0D91">
      <w:pPr>
        <w:jc w:val="both"/>
        <w:rPr>
          <w:lang w:val="es-ES"/>
        </w:rPr>
      </w:pPr>
      <w:r w:rsidRPr="006D349E">
        <w:rPr>
          <w:lang w:val="es-ES"/>
        </w:rPr>
        <w:t>4.5</w:t>
      </w:r>
      <w:r w:rsidRPr="006D349E">
        <w:rPr>
          <w:lang w:val="es-ES"/>
        </w:rPr>
        <w:tab/>
        <w:t>La propuesta de la India de acoger la PP-30 se debatió durante la 21.ª reunión del Grupo de Trabajo del Consejo sobre Recursos Humanos y Financieros (GTC-RHF) en el mes de septiembre de 2025. Según el informe resumido de la 21.ª reunión, la Presidencia del GTC-RHF recomendará esta contribución al Consejo de 2026 a través del informe final del GTC-RHF, señalando que no ha habido objeciones a la propuesta de la India de acoger la Conferencia de Plenipotenciarios de la UIT de 2030.</w:t>
      </w:r>
    </w:p>
    <w:p w14:paraId="1EC76F70" w14:textId="49F5B081" w:rsidR="004C2460" w:rsidRPr="006D349E" w:rsidRDefault="004C2460" w:rsidP="007D0D91">
      <w:pPr>
        <w:jc w:val="both"/>
        <w:rPr>
          <w:lang w:val="es-ES"/>
        </w:rPr>
      </w:pPr>
      <w:r w:rsidRPr="006D349E">
        <w:rPr>
          <w:lang w:val="es-ES"/>
        </w:rPr>
        <w:t>4.6</w:t>
      </w:r>
      <w:r w:rsidRPr="006D349E">
        <w:rPr>
          <w:lang w:val="es-ES"/>
        </w:rPr>
        <w:tab/>
        <w:t>Varios delegados expresaron que la candidatura de la India debería aceptarse y no debería aplicarse retroactivamente que el nuevo proceso de presentación de candidaturas.</w:t>
      </w:r>
    </w:p>
    <w:p w14:paraId="640AE8A3" w14:textId="77777777" w:rsidR="004C2460" w:rsidRPr="006D349E" w:rsidRDefault="004C2460" w:rsidP="007D0D91">
      <w:pPr>
        <w:jc w:val="both"/>
        <w:rPr>
          <w:lang w:val="es-ES"/>
        </w:rPr>
      </w:pPr>
      <w:r w:rsidRPr="006D349E">
        <w:rPr>
          <w:lang w:val="es-ES"/>
        </w:rPr>
        <w:t>4.7</w:t>
      </w:r>
      <w:r w:rsidRPr="006D349E">
        <w:rPr>
          <w:lang w:val="es-ES"/>
        </w:rPr>
        <w:tab/>
        <w:t>La Presidencia recordó a los delegados que el GTC-RHF no tenía por mandato la decisión sobre la candidatura de la India para acoger la Conferencia de Plenipotenciarios de 2030. Esa decisión correspondía más bien al Consejo o a la Conferencia de Plenipotenciarios.</w:t>
      </w:r>
    </w:p>
    <w:p w14:paraId="118BA3F6" w14:textId="77777777" w:rsidR="004C2460" w:rsidRPr="006D349E" w:rsidRDefault="004C2460" w:rsidP="007D0D91">
      <w:pPr>
        <w:pStyle w:val="Heading1"/>
      </w:pPr>
      <w:r w:rsidRPr="006D349E">
        <w:t>5</w:t>
      </w:r>
      <w:r w:rsidRPr="006D349E">
        <w:tab/>
        <w:t>Acción solicitada al Consejo</w:t>
      </w:r>
    </w:p>
    <w:p w14:paraId="351DD9AD" w14:textId="77777777" w:rsidR="004C2460" w:rsidRPr="006D349E" w:rsidRDefault="004C2460" w:rsidP="007D0D91">
      <w:pPr>
        <w:jc w:val="both"/>
        <w:rPr>
          <w:lang w:val="es-ES"/>
        </w:rPr>
      </w:pPr>
      <w:r w:rsidRPr="006D349E">
        <w:rPr>
          <w:lang w:val="es-ES"/>
        </w:rPr>
        <w:t xml:space="preserve">Se invita al Consejo a </w:t>
      </w:r>
      <w:r w:rsidRPr="006D349E">
        <w:rPr>
          <w:b/>
          <w:bCs/>
          <w:lang w:val="es-ES"/>
        </w:rPr>
        <w:t>examinar</w:t>
      </w:r>
      <w:r w:rsidRPr="006D349E">
        <w:rPr>
          <w:lang w:val="es-ES"/>
        </w:rPr>
        <w:t xml:space="preserve"> y </w:t>
      </w:r>
      <w:r w:rsidRPr="006D349E">
        <w:rPr>
          <w:b/>
          <w:bCs/>
          <w:lang w:val="es-ES"/>
        </w:rPr>
        <w:t>aprobar</w:t>
      </w:r>
      <w:r w:rsidRPr="006D349E">
        <w:rPr>
          <w:lang w:val="es-ES"/>
        </w:rPr>
        <w:t xml:space="preserve"> la propuesta de la India para acoger la Conferencia de Plenipotenciarios de la UIT de 2030.</w:t>
      </w:r>
    </w:p>
    <w:p w14:paraId="55349C5C" w14:textId="77777777" w:rsidR="004C2460" w:rsidRPr="006D349E" w:rsidRDefault="004C2460" w:rsidP="004C2460">
      <w:pPr>
        <w:rPr>
          <w:lang w:val="es-ES"/>
        </w:rPr>
      </w:pPr>
      <w:r w:rsidRPr="006D349E">
        <w:rPr>
          <w:lang w:val="es-ES"/>
        </w:rPr>
        <w:br w:type="page"/>
      </w:r>
    </w:p>
    <w:bookmarkEnd w:id="4"/>
    <w:bookmarkEnd w:id="5"/>
    <w:bookmarkEnd w:id="6"/>
    <w:bookmarkEnd w:id="7"/>
    <w:p w14:paraId="5E5F5F72" w14:textId="77777777" w:rsidR="004C2460" w:rsidRPr="006D349E" w:rsidRDefault="004C2460" w:rsidP="004C2460">
      <w:pPr>
        <w:pStyle w:val="AnnexNo"/>
        <w:rPr>
          <w:lang w:val="es-ES"/>
        </w:rPr>
      </w:pPr>
      <w:r w:rsidRPr="006D349E">
        <w:rPr>
          <w:lang w:val="es-ES"/>
        </w:rPr>
        <w:lastRenderedPageBreak/>
        <w:t>AnexO 2</w:t>
      </w:r>
    </w:p>
    <w:p w14:paraId="0BDD7315" w14:textId="3C75C3D0" w:rsidR="004C2460" w:rsidRPr="006D349E" w:rsidRDefault="004C2460" w:rsidP="004C2460">
      <w:pPr>
        <w:pStyle w:val="Annextitle"/>
        <w:rPr>
          <w:lang w:val="es-ES"/>
        </w:rPr>
      </w:pPr>
      <w:r w:rsidRPr="006D349E">
        <w:rPr>
          <w:lang w:val="es-ES"/>
        </w:rPr>
        <w:t xml:space="preserve">Extracto del resumen de los debates de la octava sesión plenaria de la reunión de 2026 del Consejo (Documento </w:t>
      </w:r>
      <w:hyperlink r:id="rId23" w:history="1">
        <w:r w:rsidRPr="006D349E">
          <w:rPr>
            <w:rStyle w:val="Hyperlink"/>
            <w:lang w:val="es-ES"/>
          </w:rPr>
          <w:t>C26/125</w:t>
        </w:r>
      </w:hyperlink>
      <w:r w:rsidRPr="006D349E">
        <w:rPr>
          <w:lang w:val="es-ES"/>
        </w:rPr>
        <w:t>)</w:t>
      </w:r>
    </w:p>
    <w:p w14:paraId="499497DD" w14:textId="4588A68D" w:rsidR="004C2460" w:rsidRPr="006D349E" w:rsidRDefault="004C2460" w:rsidP="007D0D91">
      <w:pPr>
        <w:pStyle w:val="Heading1"/>
      </w:pPr>
      <w:r w:rsidRPr="006D349E">
        <w:t>3</w:t>
      </w:r>
      <w:r w:rsidRPr="006D349E">
        <w:tab/>
        <w:t>Propuesta para celebrar la Conferencia de Plenipotenciarios de 2030 en la India (Documento </w:t>
      </w:r>
      <w:hyperlink r:id="rId24" w:history="1">
        <w:r w:rsidRPr="006D349E">
          <w:rPr>
            <w:rStyle w:val="Hyperlink"/>
          </w:rPr>
          <w:t>C26/78</w:t>
        </w:r>
      </w:hyperlink>
      <w:r w:rsidRPr="006D349E">
        <w:t>)</w:t>
      </w:r>
    </w:p>
    <w:p w14:paraId="6492CBB4" w14:textId="77777777" w:rsidR="004C2460" w:rsidRPr="006D349E" w:rsidRDefault="004C2460" w:rsidP="007D0D91">
      <w:pPr>
        <w:jc w:val="both"/>
        <w:rPr>
          <w:lang w:val="es-ES"/>
        </w:rPr>
      </w:pPr>
      <w:r w:rsidRPr="006D349E">
        <w:rPr>
          <w:lang w:val="es-ES"/>
        </w:rPr>
        <w:t>3.1</w:t>
      </w:r>
      <w:r w:rsidRPr="006D349E">
        <w:rPr>
          <w:lang w:val="es-ES"/>
        </w:rPr>
        <w:tab/>
        <w:t>El consejero de la India presenta la contribución recogida en el Documento C26/78, en la que la Administración de la India reitera su oferta de acoger la Conferencia de Plenipotenciarios de 2030 (PP-30). El orador recuerda que la India es un miembro veterano y comprometido de la UIT, y señala que el país cuenta con una vasta experiencia en lo que respecta a la organización de reuniones internacionales del más alto nivel. La Administración de la India concibe la PP-30 como un evento histórico que obrará en favor del establecimiento de un diálogo inclusivo, la previsión estratégica y una sólida cooperación multilateral, todo ello respaldado por una infraestructura de primer orden, una conectividad fluida y una hospitalidad excepcional.</w:t>
      </w:r>
    </w:p>
    <w:p w14:paraId="6E9DB119" w14:textId="77777777" w:rsidR="004C2460" w:rsidRPr="006D349E" w:rsidRDefault="004C2460" w:rsidP="007D0D91">
      <w:pPr>
        <w:jc w:val="both"/>
        <w:rPr>
          <w:lang w:val="es-ES"/>
        </w:rPr>
      </w:pPr>
      <w:r w:rsidRPr="006D349E">
        <w:rPr>
          <w:lang w:val="es-ES"/>
        </w:rPr>
        <w:t>3.2</w:t>
      </w:r>
      <w:r w:rsidRPr="006D349E">
        <w:rPr>
          <w:lang w:val="es-ES"/>
        </w:rPr>
        <w:tab/>
        <w:t>En el debate posterior, los consejeros, tras reconocer la experiencia y los conocimientos que atesora la India en torno a la organización de reuniones internacionales, expresan su apoyo a la oferta de dicha Administración de acoger la PP-30. Acto seguido, encomian el compromiso de la India para con los valores compartidos de la UIT y afirman confiar en que el país cuenta con los recursos y la capacidad necesarios para organizar con éxito una Conferencia de Plenipotenciarios. Algunos consejeros, si bien apoyan plenamente la oferta de la India, consideran que esta debe remitirse a la PP-26 para su aprobación, de acuerdo con la práctica establecida.</w:t>
      </w:r>
    </w:p>
    <w:p w14:paraId="329FFDD3" w14:textId="77777777" w:rsidR="004C2460" w:rsidRPr="006D349E" w:rsidRDefault="004C2460" w:rsidP="007D0D91">
      <w:pPr>
        <w:jc w:val="both"/>
        <w:rPr>
          <w:lang w:val="es-ES"/>
        </w:rPr>
      </w:pPr>
      <w:r w:rsidRPr="006D349E">
        <w:rPr>
          <w:lang w:val="es-ES"/>
        </w:rPr>
        <w:t>3.3</w:t>
      </w:r>
      <w:r w:rsidRPr="006D349E">
        <w:rPr>
          <w:lang w:val="es-ES"/>
        </w:rPr>
        <w:tab/>
        <w:t>El consejero de la India agradece a todos los Estados Miembros y a todos los consejeros su confianza y apoyo, y reafirma el compromiso de su Administración para con el éxito de la Conferencia de Plenipotenciarios.</w:t>
      </w:r>
    </w:p>
    <w:p w14:paraId="3ED9574D" w14:textId="77777777" w:rsidR="004C2460" w:rsidRPr="006D349E" w:rsidRDefault="004C2460" w:rsidP="007D0D91">
      <w:pPr>
        <w:jc w:val="both"/>
        <w:rPr>
          <w:lang w:val="es-ES"/>
        </w:rPr>
      </w:pPr>
      <w:r w:rsidRPr="006D349E">
        <w:rPr>
          <w:lang w:val="es-ES"/>
        </w:rPr>
        <w:t>3.4</w:t>
      </w:r>
      <w:r w:rsidRPr="006D349E">
        <w:rPr>
          <w:lang w:val="es-ES"/>
        </w:rPr>
        <w:tab/>
        <w:t>En respuesta a una pregunta de un consejero, un representante de la Secretaría General señala que el proceso de selección de países anfitriones de conferencias y asambleas de la UIT (Documento </w:t>
      </w:r>
      <w:hyperlink r:id="rId25" w:history="1">
        <w:r w:rsidRPr="006D349E">
          <w:rPr>
            <w:rStyle w:val="Hyperlink"/>
            <w:lang w:val="es-ES"/>
          </w:rPr>
          <w:t>C26/70</w:t>
        </w:r>
      </w:hyperlink>
      <w:r w:rsidRPr="006D349E">
        <w:rPr>
          <w:lang w:val="es-ES"/>
        </w:rPr>
        <w:t>) empezará a aplicarse en los eventos de 2031.</w:t>
      </w:r>
    </w:p>
    <w:p w14:paraId="32F70209" w14:textId="77777777" w:rsidR="004C2460" w:rsidRPr="006D349E" w:rsidRDefault="004C2460" w:rsidP="007D0D91">
      <w:pPr>
        <w:jc w:val="both"/>
        <w:rPr>
          <w:lang w:val="es-ES"/>
        </w:rPr>
      </w:pPr>
      <w:r w:rsidRPr="006D349E">
        <w:rPr>
          <w:lang w:val="es-ES"/>
        </w:rPr>
        <w:t>3.5</w:t>
      </w:r>
      <w:r w:rsidRPr="006D349E">
        <w:rPr>
          <w:lang w:val="es-ES"/>
        </w:rPr>
        <w:tab/>
        <w:t xml:space="preserve">El Consejo </w:t>
      </w:r>
      <w:r w:rsidRPr="006D349E">
        <w:rPr>
          <w:b/>
          <w:bCs/>
          <w:lang w:val="es-ES"/>
        </w:rPr>
        <w:t xml:space="preserve">aprueba </w:t>
      </w:r>
      <w:r w:rsidRPr="006D349E">
        <w:rPr>
          <w:lang w:val="es-ES"/>
        </w:rPr>
        <w:t xml:space="preserve">la invitación de la India por la que se ofrece a acoger la PP-30 y </w:t>
      </w:r>
      <w:r w:rsidRPr="006D349E">
        <w:rPr>
          <w:b/>
          <w:bCs/>
          <w:lang w:val="es-ES"/>
        </w:rPr>
        <w:t>acuerda</w:t>
      </w:r>
      <w:r w:rsidRPr="006D349E">
        <w:rPr>
          <w:lang w:val="es-ES"/>
        </w:rPr>
        <w:t xml:space="preserve"> transmitir dicha invitación a la PP-26 para su aceptación formal y su inclusión en la versión revisada de la Resolución 77 (Rev. Bucarest, 2022).</w:t>
      </w:r>
    </w:p>
    <w:p w14:paraId="38CB7B3C" w14:textId="77777777" w:rsidR="004C2460" w:rsidRPr="006D349E" w:rsidRDefault="004C2460" w:rsidP="00411C49">
      <w:pPr>
        <w:pStyle w:val="Reasons"/>
        <w:rPr>
          <w:lang w:val="es-ES"/>
        </w:rPr>
      </w:pPr>
    </w:p>
    <w:p w14:paraId="71437EFE" w14:textId="77777777" w:rsidR="004C2460" w:rsidRPr="006D349E" w:rsidRDefault="004C2460">
      <w:pPr>
        <w:jc w:val="center"/>
        <w:rPr>
          <w:lang w:val="es-ES"/>
        </w:rPr>
      </w:pPr>
      <w:r w:rsidRPr="006D349E">
        <w:rPr>
          <w:lang w:val="es-ES"/>
        </w:rPr>
        <w:t>______________</w:t>
      </w:r>
    </w:p>
    <w:sectPr w:rsidR="004C2460" w:rsidRPr="006D349E" w:rsidSect="00A70E95">
      <w:headerReference w:type="default" r:id="rId26"/>
      <w:footerReference w:type="first" r:id="rId27"/>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AACB9" w14:textId="77777777" w:rsidR="00C10284" w:rsidRDefault="00C10284">
      <w:r>
        <w:separator/>
      </w:r>
    </w:p>
  </w:endnote>
  <w:endnote w:type="continuationSeparator" w:id="0">
    <w:p w14:paraId="5670BBF7" w14:textId="77777777" w:rsidR="00C10284" w:rsidRDefault="00C10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3EDA9" w14:textId="04542714"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3B5DC9" w:rsidRPr="009415B6">
        <w:rPr>
          <w:rStyle w:val="Hyperlink"/>
          <w:color w:val="00A3E0"/>
          <w:sz w:val="22"/>
          <w:szCs w:val="22"/>
          <w:lang w:val="en-GB"/>
        </w:rPr>
        <w:t>www.itu.int</w:t>
      </w:r>
      <w:proofErr w:type="spellEnd"/>
      <w:r w:rsidR="003B5DC9" w:rsidRPr="009415B6">
        <w:rPr>
          <w:rStyle w:val="Hyperlink"/>
          <w:color w:val="00A3E0"/>
          <w:sz w:val="22"/>
          <w:szCs w:val="22"/>
          <w:lang w:val="en-GB"/>
        </w:rPr>
        <w:t>/plenipotentiary/</w:t>
      </w:r>
    </w:hyperlink>
    <w:r w:rsidR="003B5DC9" w:rsidRPr="007D0D91">
      <w:rPr>
        <w:color w:val="0000FF"/>
        <w:sz w:val="22"/>
        <w:szCs w:val="22"/>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382C0" w14:textId="77777777" w:rsidR="00C10284" w:rsidRDefault="00C10284">
      <w:r>
        <w:t>____________________</w:t>
      </w:r>
    </w:p>
  </w:footnote>
  <w:footnote w:type="continuationSeparator" w:id="0">
    <w:p w14:paraId="5E564AD1" w14:textId="77777777" w:rsidR="00C10284" w:rsidRDefault="00C10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64C7"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6D6C2C56" w14:textId="26289550" w:rsidR="00255FA1" w:rsidRDefault="00255FA1" w:rsidP="00C43474">
    <w:pPr>
      <w:pStyle w:val="Header"/>
    </w:pPr>
    <w:r>
      <w:rPr>
        <w:lang w:val="en-US"/>
      </w:rPr>
      <w:t>PP</w:t>
    </w:r>
    <w:r w:rsidR="009D1BE0">
      <w:rPr>
        <w:lang w:val="en-US"/>
      </w:rPr>
      <w:t>2</w:t>
    </w:r>
    <w:r w:rsidR="009415B6">
      <w:rPr>
        <w:lang w:val="en-US"/>
      </w:rPr>
      <w:t>6</w:t>
    </w:r>
    <w:r>
      <w:t>/</w:t>
    </w:r>
    <w:r w:rsidR="004C2460">
      <w:t>49</w:t>
    </w:r>
    <w:r w:rsidR="00075113">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23915"/>
    <w:rsid w:val="000507CA"/>
    <w:rsid w:val="00057402"/>
    <w:rsid w:val="00075113"/>
    <w:rsid w:val="000863AB"/>
    <w:rsid w:val="000A1523"/>
    <w:rsid w:val="000B1752"/>
    <w:rsid w:val="0010546D"/>
    <w:rsid w:val="00135F93"/>
    <w:rsid w:val="001632E3"/>
    <w:rsid w:val="001D4983"/>
    <w:rsid w:val="001D6EC3"/>
    <w:rsid w:val="001D787B"/>
    <w:rsid w:val="001E3D06"/>
    <w:rsid w:val="001F0B24"/>
    <w:rsid w:val="001F5B03"/>
    <w:rsid w:val="00225F6B"/>
    <w:rsid w:val="00237C17"/>
    <w:rsid w:val="00242376"/>
    <w:rsid w:val="00247095"/>
    <w:rsid w:val="00255FA1"/>
    <w:rsid w:val="00262FF4"/>
    <w:rsid w:val="00277985"/>
    <w:rsid w:val="002C6527"/>
    <w:rsid w:val="002E44FC"/>
    <w:rsid w:val="003537B5"/>
    <w:rsid w:val="003707E5"/>
    <w:rsid w:val="00375610"/>
    <w:rsid w:val="00391611"/>
    <w:rsid w:val="003B092A"/>
    <w:rsid w:val="003B5DC9"/>
    <w:rsid w:val="003D0027"/>
    <w:rsid w:val="003E6E73"/>
    <w:rsid w:val="003F0F4A"/>
    <w:rsid w:val="004433F7"/>
    <w:rsid w:val="00484B72"/>
    <w:rsid w:val="00491A25"/>
    <w:rsid w:val="004A346E"/>
    <w:rsid w:val="004A63A9"/>
    <w:rsid w:val="004B07DB"/>
    <w:rsid w:val="004B09D4"/>
    <w:rsid w:val="004B0BCB"/>
    <w:rsid w:val="004C2460"/>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369A4"/>
    <w:rsid w:val="00641DBD"/>
    <w:rsid w:val="006426C0"/>
    <w:rsid w:val="006455D2"/>
    <w:rsid w:val="006537F3"/>
    <w:rsid w:val="006B5512"/>
    <w:rsid w:val="006C190D"/>
    <w:rsid w:val="006D349E"/>
    <w:rsid w:val="00720686"/>
    <w:rsid w:val="00737EFF"/>
    <w:rsid w:val="00750806"/>
    <w:rsid w:val="007875D2"/>
    <w:rsid w:val="007D0D91"/>
    <w:rsid w:val="007D61E2"/>
    <w:rsid w:val="007F6EBC"/>
    <w:rsid w:val="00810D8B"/>
    <w:rsid w:val="00882773"/>
    <w:rsid w:val="008B4706"/>
    <w:rsid w:val="008B6676"/>
    <w:rsid w:val="008C3FA8"/>
    <w:rsid w:val="008E51C5"/>
    <w:rsid w:val="008F7109"/>
    <w:rsid w:val="009107B0"/>
    <w:rsid w:val="00912950"/>
    <w:rsid w:val="009220DE"/>
    <w:rsid w:val="00930E84"/>
    <w:rsid w:val="009415B6"/>
    <w:rsid w:val="00956FE6"/>
    <w:rsid w:val="0099270D"/>
    <w:rsid w:val="0099551E"/>
    <w:rsid w:val="009A1A86"/>
    <w:rsid w:val="009D1BE0"/>
    <w:rsid w:val="009E0C42"/>
    <w:rsid w:val="00A50BE3"/>
    <w:rsid w:val="00A52490"/>
    <w:rsid w:val="00A70E95"/>
    <w:rsid w:val="00AA1F73"/>
    <w:rsid w:val="00AB176C"/>
    <w:rsid w:val="00AB190D"/>
    <w:rsid w:val="00AB34CA"/>
    <w:rsid w:val="00AD400E"/>
    <w:rsid w:val="00AF0DC5"/>
    <w:rsid w:val="00B012B7"/>
    <w:rsid w:val="00B30C52"/>
    <w:rsid w:val="00B501AB"/>
    <w:rsid w:val="00B73978"/>
    <w:rsid w:val="00B77C4D"/>
    <w:rsid w:val="00BB13FE"/>
    <w:rsid w:val="00BC7EE2"/>
    <w:rsid w:val="00BF32F2"/>
    <w:rsid w:val="00BF5475"/>
    <w:rsid w:val="00C10284"/>
    <w:rsid w:val="00C20ED7"/>
    <w:rsid w:val="00C42D2D"/>
    <w:rsid w:val="00C43474"/>
    <w:rsid w:val="00C61A48"/>
    <w:rsid w:val="00C80F8F"/>
    <w:rsid w:val="00C84355"/>
    <w:rsid w:val="00C84A65"/>
    <w:rsid w:val="00C878A3"/>
    <w:rsid w:val="00CA3051"/>
    <w:rsid w:val="00CD20D9"/>
    <w:rsid w:val="00CD701A"/>
    <w:rsid w:val="00D05AAE"/>
    <w:rsid w:val="00D05E6B"/>
    <w:rsid w:val="00D066F8"/>
    <w:rsid w:val="00D254A6"/>
    <w:rsid w:val="00D42B55"/>
    <w:rsid w:val="00D57D70"/>
    <w:rsid w:val="00DB5257"/>
    <w:rsid w:val="00DE3E41"/>
    <w:rsid w:val="00E05D81"/>
    <w:rsid w:val="00E53DFC"/>
    <w:rsid w:val="00E66FC3"/>
    <w:rsid w:val="00E677DD"/>
    <w:rsid w:val="00E77F17"/>
    <w:rsid w:val="00E809D8"/>
    <w:rsid w:val="00E921EC"/>
    <w:rsid w:val="00EB23D0"/>
    <w:rsid w:val="00EC395A"/>
    <w:rsid w:val="00F01632"/>
    <w:rsid w:val="00F04858"/>
    <w:rsid w:val="00F13AA4"/>
    <w:rsid w:val="00F3510D"/>
    <w:rsid w:val="00F43C07"/>
    <w:rsid w:val="00F43D44"/>
    <w:rsid w:val="00F70E78"/>
    <w:rsid w:val="00F80E6E"/>
    <w:rsid w:val="00FA4FC0"/>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7239E2"/>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7D0D91"/>
    <w:pPr>
      <w:keepNext/>
      <w:keepLines/>
      <w:spacing w:before="360"/>
      <w:ind w:left="567" w:hanging="567"/>
      <w:outlineLvl w:val="0"/>
    </w:pPr>
    <w:rPr>
      <w:b/>
      <w:sz w:val="28"/>
      <w:lang w:val="es-ES"/>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qFormat/>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table" w:styleId="TableGrid">
    <w:name w:val="Table Grid"/>
    <w:basedOn w:val="TableNormal"/>
    <w:rsid w:val="004C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rceCouncil">
    <w:name w:val="Source_Council"/>
    <w:basedOn w:val="Source"/>
    <w:rsid w:val="004C2460"/>
    <w:pPr>
      <w:spacing w:before="480"/>
      <w:jc w:val="left"/>
    </w:pPr>
    <w:rPr>
      <w:lang w:val="en-GB"/>
    </w:rPr>
  </w:style>
  <w:style w:type="paragraph" w:customStyle="1" w:styleId="SubtitleCouncil">
    <w:name w:val="Sub_title_Council"/>
    <w:basedOn w:val="Normal"/>
    <w:rsid w:val="004C2460"/>
    <w:pPr>
      <w:spacing w:after="120"/>
    </w:pPr>
    <w:rPr>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s://www.itu.int/md/S25-CL-C-0019/es" TargetMode="External"/><Relationship Id="rId13" Type="http://schemas.openxmlformats.org/officeDocument/2006/relationships/hyperlink" Target="https://www.itu.int/md/S25-CL-C-0073/es" TargetMode="External"/><Relationship Id="rId18" Type="http://schemas.openxmlformats.org/officeDocument/2006/relationships/hyperlink" Target="https://council.itu.int/2026/en/resources/hosting-an-itu-conference/"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council.itu.int/2025/en/documents/" TargetMode="External"/><Relationship Id="rId7" Type="http://schemas.openxmlformats.org/officeDocument/2006/relationships/image" Target="media/image1.png"/><Relationship Id="rId12" Type="http://schemas.openxmlformats.org/officeDocument/2006/relationships/hyperlink" Target="https://www.itu.int/md/S25-CL-C-0019/es" TargetMode="External"/><Relationship Id="rId17" Type="http://schemas.openxmlformats.org/officeDocument/2006/relationships/hyperlink" Target="https://www.itu.int/md/S25-CWGFHR21-C-0014/es" TargetMode="External"/><Relationship Id="rId25" Type="http://schemas.openxmlformats.org/officeDocument/2006/relationships/hyperlink" Target="https://www.itu.int/md/S26-CL-C-0070/es" TargetMode="External"/><Relationship Id="rId2" Type="http://schemas.openxmlformats.org/officeDocument/2006/relationships/styles" Target="styles.xml"/><Relationship Id="rId16" Type="http://schemas.openxmlformats.org/officeDocument/2006/relationships/hyperlink" Target="https://www.itu.int/md/S26-CL-C-0125/es" TargetMode="External"/><Relationship Id="rId20" Type="http://schemas.openxmlformats.org/officeDocument/2006/relationships/image" Target="media/image2.png"/><Relationship Id="rId29"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hyperlink" Target="https://www.itu.int/md/S26-CL-C-0078/es" TargetMode="External"/><Relationship Id="rId24" Type="http://schemas.openxmlformats.org/officeDocument/2006/relationships/hyperlink" Target="https://www.itu.int/md/S26-CL-C-0078/es" TargetMode="External"/><Relationship Id="rId5" Type="http://schemas.openxmlformats.org/officeDocument/2006/relationships/footnotes" Target="footnotes.xml"/><Relationship Id="rId15" Type="http://schemas.openxmlformats.org/officeDocument/2006/relationships/hyperlink" Target="https://www.itu.int/md/S26-CL-C-0078/es" TargetMode="External"/><Relationship Id="rId23" Type="http://schemas.openxmlformats.org/officeDocument/2006/relationships/hyperlink" Target="https://www.itu.int/md/S26-CL-C-0125/es" TargetMode="External"/><Relationship Id="rId28" Type="http://schemas.openxmlformats.org/officeDocument/2006/relationships/fontTable" Target="fontTable.xml"/><Relationship Id="rId10" Type="http://schemas.openxmlformats.org/officeDocument/2006/relationships/hyperlink" Target="https://www.itu.int/md/S25-CWGFHR21-C-0014/es" TargetMode="External"/><Relationship Id="rId19" Type="http://schemas.openxmlformats.org/officeDocument/2006/relationships/hyperlink" Target="https://www.itu.int/md/S26-CL-C-0078/es" TargetMode="External"/><Relationship Id="rId4" Type="http://schemas.openxmlformats.org/officeDocument/2006/relationships/webSettings" Target="webSettings.xml"/><Relationship Id="rId9" Type="http://schemas.openxmlformats.org/officeDocument/2006/relationships/hyperlink" Target="https://www.itu.int/md/S25-CL-C-0073/es" TargetMode="External"/><Relationship Id="rId14" Type="http://schemas.openxmlformats.org/officeDocument/2006/relationships/hyperlink" Target="https://www.itu.int/md/S25-CL-C-0113/es" TargetMode="External"/><Relationship Id="rId22" Type="http://schemas.openxmlformats.org/officeDocument/2006/relationships/hyperlink" Target="https://council.itu.int/2025/en/documents/"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1975</Words>
  <Characters>10373</Characters>
  <Application>Microsoft Office Word</Application>
  <DocSecurity>0</DocSecurity>
  <Lines>199</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12272</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la india de acoger la Conferencia de Plenipotenciarios de 2030 (PP-30)</dc:title>
  <dc:subject>ITU Plenipotentiary Conference (PP-26)</dc:subject>
  <cp:keywords>PP-26, PP26, ITU</cp:keywords>
  <dc:description/>
  <dcterms:created xsi:type="dcterms:W3CDTF">2026-10-08T15:11:00Z</dcterms:created>
  <dcterms:modified xsi:type="dcterms:W3CDTF">2026-10-08T15:13:00Z</dcterms:modified>
  <cp:category>Conference document</cp:category>
</cp:coreProperties>
</file>