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023A6C"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023A6C" w:rsidRDefault="00CE496F" w:rsidP="00CE496F">
            <w:pPr>
              <w:spacing w:before="0" w:line="240" w:lineRule="atLeast"/>
              <w:rPr>
                <w:rFonts w:cstheme="minorHAnsi"/>
              </w:rPr>
            </w:pPr>
            <w:bookmarkStart w:id="0" w:name="ditulogo"/>
            <w:bookmarkEnd w:id="0"/>
            <w:r w:rsidRPr="00023A6C">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23A6C" w14:paraId="3120A8D9" w14:textId="77777777" w:rsidTr="00BD5C12">
        <w:trPr>
          <w:cantSplit/>
          <w:jc w:val="center"/>
        </w:trPr>
        <w:tc>
          <w:tcPr>
            <w:tcW w:w="10031" w:type="dxa"/>
            <w:gridSpan w:val="2"/>
            <w:tcBorders>
              <w:bottom w:val="single" w:sz="12" w:space="0" w:color="71716F"/>
            </w:tcBorders>
          </w:tcPr>
          <w:p w14:paraId="57068B73" w14:textId="77777777" w:rsidR="002E1AF7" w:rsidRPr="00023A6C" w:rsidRDefault="002E1AF7" w:rsidP="00CE496F">
            <w:pPr>
              <w:spacing w:before="0" w:line="240" w:lineRule="atLeast"/>
              <w:rPr>
                <w:rFonts w:cstheme="minorHAnsi"/>
                <w:b/>
                <w:smallCaps/>
                <w:szCs w:val="24"/>
              </w:rPr>
            </w:pPr>
            <w:bookmarkStart w:id="1" w:name="dhead"/>
          </w:p>
        </w:tc>
      </w:tr>
      <w:tr w:rsidR="00BD1614" w:rsidRPr="00023A6C" w14:paraId="20A2296F" w14:textId="77777777" w:rsidTr="00EC1877">
        <w:trPr>
          <w:cantSplit/>
          <w:jc w:val="center"/>
        </w:trPr>
        <w:tc>
          <w:tcPr>
            <w:tcW w:w="7229" w:type="dxa"/>
            <w:tcBorders>
              <w:top w:val="single" w:sz="12" w:space="0" w:color="71716F"/>
            </w:tcBorders>
          </w:tcPr>
          <w:p w14:paraId="4CFA6027" w14:textId="77777777" w:rsidR="00BD1614" w:rsidRPr="00023A6C"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023A6C" w:rsidRDefault="00BD1614" w:rsidP="007A47E9">
            <w:pPr>
              <w:spacing w:before="0"/>
              <w:rPr>
                <w:rFonts w:cstheme="minorHAnsi"/>
                <w:szCs w:val="24"/>
              </w:rPr>
            </w:pPr>
          </w:p>
        </w:tc>
      </w:tr>
      <w:tr w:rsidR="00BD1614" w:rsidRPr="00023A6C" w14:paraId="5EBA9561" w14:textId="77777777" w:rsidTr="00CE496F">
        <w:trPr>
          <w:cantSplit/>
          <w:jc w:val="center"/>
        </w:trPr>
        <w:tc>
          <w:tcPr>
            <w:tcW w:w="7229" w:type="dxa"/>
          </w:tcPr>
          <w:p w14:paraId="081C5B53" w14:textId="208B41EF" w:rsidR="00BD1614" w:rsidRPr="00023A6C" w:rsidRDefault="00801154" w:rsidP="00801154">
            <w:pPr>
              <w:pStyle w:val="Committee"/>
              <w:framePr w:hSpace="0" w:wrap="auto" w:hAnchor="text" w:yAlign="inline"/>
              <w:spacing w:after="0" w:line="240" w:lineRule="auto"/>
              <w:rPr>
                <w:lang w:val="fr-FR"/>
              </w:rPr>
            </w:pPr>
            <w:r w:rsidRPr="00023A6C">
              <w:rPr>
                <w:lang w:val="fr-FR"/>
              </w:rPr>
              <w:t>SÉANCE PLÉNIÈRE</w:t>
            </w:r>
          </w:p>
        </w:tc>
        <w:tc>
          <w:tcPr>
            <w:tcW w:w="2802" w:type="dxa"/>
            <w:tcMar>
              <w:left w:w="142" w:type="dxa"/>
              <w:right w:w="0" w:type="dxa"/>
            </w:tcMar>
          </w:tcPr>
          <w:p w14:paraId="42E82404" w14:textId="78343D04" w:rsidR="00BD1614" w:rsidRPr="00023A6C" w:rsidRDefault="00801154" w:rsidP="007A47E9">
            <w:pPr>
              <w:spacing w:before="0"/>
              <w:rPr>
                <w:rFonts w:cstheme="minorHAnsi"/>
                <w:szCs w:val="24"/>
              </w:rPr>
            </w:pPr>
            <w:r w:rsidRPr="00023A6C">
              <w:rPr>
                <w:rFonts w:cstheme="minorHAnsi"/>
                <w:b/>
                <w:szCs w:val="24"/>
              </w:rPr>
              <w:t xml:space="preserve">Document </w:t>
            </w:r>
            <w:r w:rsidR="00A15CE9" w:rsidRPr="00023A6C">
              <w:rPr>
                <w:rFonts w:cstheme="minorHAnsi"/>
                <w:b/>
                <w:szCs w:val="24"/>
              </w:rPr>
              <w:t>48</w:t>
            </w:r>
            <w:r w:rsidRPr="00023A6C">
              <w:rPr>
                <w:rFonts w:cstheme="minorHAnsi"/>
                <w:b/>
                <w:szCs w:val="24"/>
              </w:rPr>
              <w:t>-F</w:t>
            </w:r>
          </w:p>
        </w:tc>
      </w:tr>
      <w:tr w:rsidR="00BD1614" w:rsidRPr="00023A6C" w14:paraId="5C605E2F" w14:textId="77777777" w:rsidTr="00CE496F">
        <w:trPr>
          <w:cantSplit/>
          <w:jc w:val="center"/>
        </w:trPr>
        <w:tc>
          <w:tcPr>
            <w:tcW w:w="7229" w:type="dxa"/>
          </w:tcPr>
          <w:p w14:paraId="3701819B" w14:textId="4343949C" w:rsidR="00BD1614" w:rsidRPr="00023A6C" w:rsidRDefault="00BD1614" w:rsidP="007A47E9">
            <w:pPr>
              <w:spacing w:before="0"/>
              <w:rPr>
                <w:rFonts w:cstheme="minorHAnsi"/>
                <w:b/>
                <w:szCs w:val="24"/>
              </w:rPr>
            </w:pPr>
          </w:p>
        </w:tc>
        <w:tc>
          <w:tcPr>
            <w:tcW w:w="2802" w:type="dxa"/>
            <w:tcMar>
              <w:left w:w="142" w:type="dxa"/>
              <w:right w:w="0" w:type="dxa"/>
            </w:tcMar>
          </w:tcPr>
          <w:p w14:paraId="4FD5E934" w14:textId="6011F642" w:rsidR="00BD1614" w:rsidRPr="00023A6C" w:rsidRDefault="004C27FA" w:rsidP="007A47E9">
            <w:pPr>
              <w:spacing w:before="0"/>
              <w:rPr>
                <w:rFonts w:cstheme="minorHAnsi"/>
                <w:b/>
                <w:szCs w:val="24"/>
              </w:rPr>
            </w:pPr>
            <w:r w:rsidRPr="00023A6C">
              <w:rPr>
                <w:rFonts w:cstheme="minorHAnsi"/>
                <w:b/>
                <w:szCs w:val="24"/>
              </w:rPr>
              <w:t>5 octobre</w:t>
            </w:r>
            <w:r w:rsidR="00A15CE9" w:rsidRPr="00023A6C">
              <w:rPr>
                <w:rFonts w:cstheme="minorHAnsi"/>
                <w:b/>
                <w:szCs w:val="24"/>
              </w:rPr>
              <w:t xml:space="preserve"> 2026</w:t>
            </w:r>
          </w:p>
        </w:tc>
      </w:tr>
      <w:tr w:rsidR="00BD1614" w:rsidRPr="00023A6C" w14:paraId="6B2B4BC1" w14:textId="77777777" w:rsidTr="00CE496F">
        <w:trPr>
          <w:cantSplit/>
          <w:jc w:val="center"/>
        </w:trPr>
        <w:tc>
          <w:tcPr>
            <w:tcW w:w="7229" w:type="dxa"/>
          </w:tcPr>
          <w:p w14:paraId="780A194C" w14:textId="77777777" w:rsidR="00BD1614" w:rsidRPr="00023A6C"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023A6C" w:rsidRDefault="00801154" w:rsidP="007A47E9">
            <w:pPr>
              <w:spacing w:before="0"/>
              <w:rPr>
                <w:rFonts w:cstheme="minorHAnsi"/>
                <w:b/>
                <w:szCs w:val="24"/>
              </w:rPr>
            </w:pPr>
            <w:r w:rsidRPr="00023A6C">
              <w:rPr>
                <w:rFonts w:cstheme="minorHAnsi"/>
                <w:b/>
                <w:szCs w:val="24"/>
              </w:rPr>
              <w:t>Original: anglais</w:t>
            </w:r>
          </w:p>
        </w:tc>
      </w:tr>
      <w:tr w:rsidR="00BD1614" w:rsidRPr="00023A6C" w14:paraId="4259B884" w14:textId="77777777" w:rsidTr="002E1AF7">
        <w:trPr>
          <w:cantSplit/>
          <w:jc w:val="center"/>
        </w:trPr>
        <w:tc>
          <w:tcPr>
            <w:tcW w:w="10031" w:type="dxa"/>
            <w:gridSpan w:val="2"/>
          </w:tcPr>
          <w:p w14:paraId="770628D7" w14:textId="77777777" w:rsidR="00BD1614" w:rsidRPr="00023A6C" w:rsidRDefault="00BD1614" w:rsidP="007A47E9">
            <w:pPr>
              <w:spacing w:before="0" w:line="240" w:lineRule="atLeast"/>
              <w:rPr>
                <w:rFonts w:cstheme="minorHAnsi"/>
                <w:b/>
                <w:szCs w:val="24"/>
              </w:rPr>
            </w:pPr>
          </w:p>
        </w:tc>
      </w:tr>
      <w:tr w:rsidR="00BD1614" w:rsidRPr="00023A6C" w14:paraId="6A9FB924" w14:textId="77777777" w:rsidTr="002E1AF7">
        <w:trPr>
          <w:cantSplit/>
          <w:jc w:val="center"/>
        </w:trPr>
        <w:tc>
          <w:tcPr>
            <w:tcW w:w="10031" w:type="dxa"/>
            <w:gridSpan w:val="2"/>
          </w:tcPr>
          <w:p w14:paraId="070875E6" w14:textId="138307D0" w:rsidR="00BD1614" w:rsidRPr="00023A6C" w:rsidRDefault="00A15CE9" w:rsidP="007A47E9">
            <w:pPr>
              <w:pStyle w:val="Source"/>
            </w:pPr>
            <w:bookmarkStart w:id="2" w:name="dsource" w:colFirst="0" w:colLast="0"/>
            <w:bookmarkEnd w:id="1"/>
            <w:r w:rsidRPr="00023A6C">
              <w:t>Rapport de la Secrétaire générale</w:t>
            </w:r>
          </w:p>
        </w:tc>
      </w:tr>
      <w:tr w:rsidR="00BD1614" w:rsidRPr="00023A6C" w14:paraId="534EEA05" w14:textId="77777777" w:rsidTr="002E1AF7">
        <w:trPr>
          <w:cantSplit/>
          <w:jc w:val="center"/>
        </w:trPr>
        <w:tc>
          <w:tcPr>
            <w:tcW w:w="10031" w:type="dxa"/>
            <w:gridSpan w:val="2"/>
          </w:tcPr>
          <w:p w14:paraId="0C8E89F3" w14:textId="32B6E6B6" w:rsidR="00BD1614" w:rsidRPr="00023A6C" w:rsidRDefault="00383A8E" w:rsidP="007A47E9">
            <w:pPr>
              <w:pStyle w:val="Title1"/>
            </w:pPr>
            <w:bookmarkStart w:id="3" w:name="dtitle1" w:colFirst="0" w:colLast="0"/>
            <w:bookmarkEnd w:id="2"/>
            <w:r w:rsidRPr="00023A6C">
              <w:rPr>
                <w:caps w:val="0"/>
              </w:rPr>
              <w:t>ANALYSE DES LACUNES CONCERNANT LA MISE À JOUR DES RÉSOLUTIONS 1332</w:t>
            </w:r>
            <w:r w:rsidRPr="00023A6C">
              <w:rPr>
                <w:caps w:val="0"/>
              </w:rPr>
              <w:br/>
              <w:t>ET 1334 DU CONSEIL, DE LA RÉSOLUTION 140 (RÉV. BUCAREST, 2022)</w:t>
            </w:r>
            <w:r w:rsidRPr="00023A6C">
              <w:rPr>
                <w:caps w:val="0"/>
              </w:rPr>
              <w:br/>
              <w:t xml:space="preserve">DE LA </w:t>
            </w:r>
            <w:proofErr w:type="spellStart"/>
            <w:r w:rsidRPr="00023A6C">
              <w:rPr>
                <w:caps w:val="0"/>
              </w:rPr>
              <w:t>CONFERENCE</w:t>
            </w:r>
            <w:proofErr w:type="spellEnd"/>
            <w:r w:rsidRPr="00023A6C">
              <w:rPr>
                <w:caps w:val="0"/>
              </w:rPr>
              <w:t xml:space="preserve"> DE </w:t>
            </w:r>
            <w:proofErr w:type="spellStart"/>
            <w:r w:rsidRPr="00023A6C">
              <w:rPr>
                <w:caps w:val="0"/>
              </w:rPr>
              <w:t>PLENIPOTENTIAIRES</w:t>
            </w:r>
            <w:proofErr w:type="spellEnd"/>
            <w:r w:rsidRPr="00023A6C">
              <w:rPr>
                <w:caps w:val="0"/>
              </w:rPr>
              <w:t xml:space="preserve"> ET DU MANDAT DU</w:t>
            </w:r>
            <w:r w:rsidRPr="00023A6C">
              <w:rPr>
                <w:caps w:val="0"/>
              </w:rPr>
              <w:br/>
            </w:r>
            <w:proofErr w:type="spellStart"/>
            <w:r w:rsidRPr="00023A6C">
              <w:rPr>
                <w:caps w:val="0"/>
              </w:rPr>
              <w:t>GTC</w:t>
            </w:r>
            <w:proofErr w:type="spellEnd"/>
            <w:r w:rsidRPr="00023A6C">
              <w:rPr>
                <w:caps w:val="0"/>
              </w:rPr>
              <w:t xml:space="preserve">-INTERNET À LA LUMIÈRE DES RÉSULTATS DU </w:t>
            </w:r>
            <w:proofErr w:type="spellStart"/>
            <w:r w:rsidRPr="00023A6C">
              <w:rPr>
                <w:caps w:val="0"/>
              </w:rPr>
              <w:t>SMSI+20</w:t>
            </w:r>
            <w:proofErr w:type="spellEnd"/>
          </w:p>
        </w:tc>
      </w:tr>
      <w:bookmarkEnd w:id="3"/>
    </w:tbl>
    <w:p w14:paraId="7AD6F79A" w14:textId="21F96CFB" w:rsidR="000D15FB" w:rsidRPr="00023A6C" w:rsidRDefault="000D15FB" w:rsidP="00E60DA1"/>
    <w:tbl>
      <w:tblPr>
        <w:tblStyle w:val="TableGrid"/>
        <w:tblW w:w="0" w:type="auto"/>
        <w:jc w:val="center"/>
        <w:tblLook w:val="04A0" w:firstRow="1" w:lastRow="0" w:firstColumn="1" w:lastColumn="0" w:noHBand="0" w:noVBand="1"/>
      </w:tblPr>
      <w:tblGrid>
        <w:gridCol w:w="7937"/>
      </w:tblGrid>
      <w:tr w:rsidR="00A15CE9" w:rsidRPr="00023A6C" w14:paraId="00E71614" w14:textId="77777777" w:rsidTr="00975C1E">
        <w:trPr>
          <w:jc w:val="center"/>
        </w:trPr>
        <w:tc>
          <w:tcPr>
            <w:tcW w:w="7937" w:type="dxa"/>
          </w:tcPr>
          <w:p w14:paraId="46091BCF" w14:textId="77777777" w:rsidR="00A15CE9" w:rsidRPr="00023A6C" w:rsidRDefault="00A15CE9" w:rsidP="00383A8E">
            <w:pPr>
              <w:pStyle w:val="Headingb"/>
            </w:pPr>
            <w:r w:rsidRPr="00023A6C">
              <w:t>Résumé</w:t>
            </w:r>
          </w:p>
          <w:p w14:paraId="667CBD19" w14:textId="1E1092A7" w:rsidR="00A15CE9" w:rsidRPr="00023A6C" w:rsidRDefault="00A15CE9" w:rsidP="00A15CE9">
            <w:r w:rsidRPr="00023A6C">
              <w:t>Le présent document a pour objet d'évaluer l'alignement a) des Résolutions 1332 (C11,</w:t>
            </w:r>
            <w:r w:rsidR="00646671" w:rsidRPr="00023A6C">
              <w:t> </w:t>
            </w:r>
            <w:r w:rsidRPr="00023A6C">
              <w:t>dernière</w:t>
            </w:r>
            <w:r w:rsidR="00646671" w:rsidRPr="00023A6C">
              <w:t> </w:t>
            </w:r>
            <w:r w:rsidRPr="00023A6C">
              <w:t>mod. C24) et 1334 (C11, dernière mod. C23) du Conseil et de la Résolution 140 (Rév.</w:t>
            </w:r>
            <w:r w:rsidR="00646671" w:rsidRPr="00023A6C">
              <w:t> </w:t>
            </w:r>
            <w:r w:rsidRPr="00023A6C">
              <w:t>Bucarest,</w:t>
            </w:r>
            <w:r w:rsidR="00646671" w:rsidRPr="00023A6C">
              <w:t> </w:t>
            </w:r>
            <w:r w:rsidRPr="00023A6C">
              <w:t>2022) de la Conférence de plénipotentiaires, et b) des Résolutions 1305 (C09,</w:t>
            </w:r>
            <w:r w:rsidR="00646671" w:rsidRPr="00023A6C">
              <w:t> </w:t>
            </w:r>
            <w:r w:rsidRPr="00023A6C">
              <w:t>dernière mod. C19) et 1336 (C11, dernière mod. C19) du Conseil et de la Résolution 102 (Rév.</w:t>
            </w:r>
            <w:r w:rsidR="00646671" w:rsidRPr="00023A6C">
              <w:t> </w:t>
            </w:r>
            <w:r w:rsidRPr="00023A6C">
              <w:t>Bucarest, 2022) de la Conférence de plénipotentiaires avec les résultats de l'examen du</w:t>
            </w:r>
            <w:r w:rsidR="00646671" w:rsidRPr="00023A6C">
              <w:t> </w:t>
            </w:r>
            <w:r w:rsidRPr="00023A6C">
              <w:t xml:space="preserve">SMSI+20, et de recenser les lacunes et les domaines où des mises à jour seraient souhaitables. Le présent document est une version actualisée du Document </w:t>
            </w:r>
            <w:hyperlink r:id="rId9" w:history="1">
              <w:r w:rsidRPr="00023A6C">
                <w:rPr>
                  <w:rStyle w:val="Hyperlink"/>
                </w:rPr>
                <w:t>C26/60</w:t>
              </w:r>
            </w:hyperlink>
            <w:r w:rsidRPr="00023A6C">
              <w:t xml:space="preserve">, présenté par le Secrétariat lors de la session de 2026 du Conseil, compte tenu des </w:t>
            </w:r>
            <w:hyperlink r:id="rId10" w:history="1">
              <w:r w:rsidRPr="00023A6C">
                <w:rPr>
                  <w:rStyle w:val="Hyperlink"/>
                </w:rPr>
                <w:t>discussions</w:t>
              </w:r>
            </w:hyperlink>
            <w:r w:rsidRPr="00023A6C">
              <w:t xml:space="preserve"> qui ont suivi sa présentation.</w:t>
            </w:r>
          </w:p>
          <w:p w14:paraId="5A6F4D4F" w14:textId="77777777" w:rsidR="00A15CE9" w:rsidRPr="00023A6C" w:rsidRDefault="00A15CE9" w:rsidP="00383A8E">
            <w:pPr>
              <w:pStyle w:val="Headingb"/>
            </w:pPr>
            <w:proofErr w:type="gramStart"/>
            <w:r w:rsidRPr="00023A6C">
              <w:t>Suite à</w:t>
            </w:r>
            <w:proofErr w:type="gramEnd"/>
            <w:r w:rsidRPr="00023A6C">
              <w:t xml:space="preserve"> donner</w:t>
            </w:r>
          </w:p>
          <w:p w14:paraId="7AF5B8BF" w14:textId="77777777" w:rsidR="00A15CE9" w:rsidRPr="00023A6C" w:rsidRDefault="00A15CE9" w:rsidP="00A15CE9">
            <w:r w:rsidRPr="00023A6C">
              <w:t xml:space="preserve">La Conférence de plénipotentiaires est invitée à </w:t>
            </w:r>
            <w:r w:rsidRPr="00023A6C">
              <w:rPr>
                <w:b/>
                <w:bCs/>
              </w:rPr>
              <w:t>examiner</w:t>
            </w:r>
            <w:r w:rsidRPr="00023A6C">
              <w:t xml:space="preserve"> le présent rapport.</w:t>
            </w:r>
          </w:p>
          <w:p w14:paraId="3FBD6A8D" w14:textId="77777777" w:rsidR="00A15CE9" w:rsidRPr="00023A6C" w:rsidRDefault="00A15CE9" w:rsidP="00383A8E">
            <w:pPr>
              <w:pStyle w:val="Headingb"/>
            </w:pPr>
            <w:r w:rsidRPr="00023A6C">
              <w:t>Incidences financières</w:t>
            </w:r>
          </w:p>
          <w:p w14:paraId="60AD841A" w14:textId="77777777" w:rsidR="00A15CE9" w:rsidRPr="00023A6C" w:rsidRDefault="00A15CE9" w:rsidP="00A15CE9">
            <w:r w:rsidRPr="00023A6C">
              <w:t>Dans les limites du budget alloué.</w:t>
            </w:r>
          </w:p>
          <w:p w14:paraId="7BB1D453" w14:textId="77777777" w:rsidR="00A15CE9" w:rsidRPr="00023A6C" w:rsidRDefault="00A15CE9" w:rsidP="00A15CE9">
            <w:pPr>
              <w:jc w:val="center"/>
            </w:pPr>
            <w:r w:rsidRPr="00023A6C">
              <w:t>______________</w:t>
            </w:r>
          </w:p>
          <w:p w14:paraId="702B7028" w14:textId="77777777" w:rsidR="00A15CE9" w:rsidRPr="00023A6C" w:rsidRDefault="00A15CE9" w:rsidP="00383A8E">
            <w:pPr>
              <w:pStyle w:val="Headingb"/>
            </w:pPr>
            <w:r w:rsidRPr="00023A6C">
              <w:t>Références</w:t>
            </w:r>
          </w:p>
          <w:p w14:paraId="5AD38D78" w14:textId="43958735" w:rsidR="00A15CE9" w:rsidRPr="00383A8E" w:rsidRDefault="00A15CE9" w:rsidP="00D52C5F">
            <w:pPr>
              <w:spacing w:after="120"/>
              <w:rPr>
                <w:i/>
                <w:iCs/>
                <w:sz w:val="22"/>
                <w:szCs w:val="22"/>
              </w:rPr>
            </w:pPr>
            <w:r w:rsidRPr="00383A8E">
              <w:rPr>
                <w:i/>
                <w:iCs/>
                <w:sz w:val="22"/>
                <w:szCs w:val="22"/>
              </w:rPr>
              <w:t xml:space="preserve">Résolutions </w:t>
            </w:r>
            <w:hyperlink r:id="rId11" w:history="1">
              <w:r w:rsidRPr="00383A8E">
                <w:rPr>
                  <w:rStyle w:val="Hyperlink"/>
                  <w:i/>
                  <w:iCs/>
                  <w:sz w:val="22"/>
                  <w:szCs w:val="22"/>
                </w:rPr>
                <w:t>102</w:t>
              </w:r>
            </w:hyperlink>
            <w:r w:rsidRPr="00383A8E">
              <w:rPr>
                <w:i/>
                <w:iCs/>
                <w:sz w:val="22"/>
                <w:szCs w:val="22"/>
              </w:rPr>
              <w:t xml:space="preserve"> (Rév. Bucarest, 2022) et </w:t>
            </w:r>
            <w:hyperlink r:id="rId12" w:history="1">
              <w:r w:rsidRPr="00383A8E">
                <w:rPr>
                  <w:rStyle w:val="Hyperlink"/>
                  <w:i/>
                  <w:iCs/>
                  <w:sz w:val="22"/>
                  <w:szCs w:val="22"/>
                </w:rPr>
                <w:t>140</w:t>
              </w:r>
            </w:hyperlink>
            <w:r w:rsidRPr="00383A8E">
              <w:rPr>
                <w:i/>
                <w:iCs/>
                <w:sz w:val="22"/>
                <w:szCs w:val="22"/>
              </w:rPr>
              <w:t xml:space="preserve"> (Rév. Bucarest, 2022) de la Conférence de plénipotentiaires; Résolutions </w:t>
            </w:r>
            <w:hyperlink r:id="rId13" w:history="1">
              <w:r w:rsidRPr="00383A8E">
                <w:rPr>
                  <w:rStyle w:val="Hyperlink"/>
                  <w:i/>
                  <w:iCs/>
                  <w:sz w:val="22"/>
                  <w:szCs w:val="22"/>
                </w:rPr>
                <w:t>1305</w:t>
              </w:r>
            </w:hyperlink>
            <w:r w:rsidRPr="00383A8E">
              <w:rPr>
                <w:i/>
                <w:iCs/>
                <w:sz w:val="22"/>
                <w:szCs w:val="22"/>
              </w:rPr>
              <w:t xml:space="preserve"> (C09, dernière mod. C19), </w:t>
            </w:r>
            <w:hyperlink r:id="rId14" w:history="1">
              <w:r w:rsidRPr="00383A8E">
                <w:rPr>
                  <w:rStyle w:val="Hyperlink"/>
                  <w:i/>
                  <w:iCs/>
                  <w:sz w:val="22"/>
                  <w:szCs w:val="22"/>
                </w:rPr>
                <w:t>1332</w:t>
              </w:r>
            </w:hyperlink>
            <w:r w:rsidRPr="00383A8E">
              <w:rPr>
                <w:i/>
                <w:iCs/>
                <w:sz w:val="22"/>
                <w:szCs w:val="22"/>
              </w:rPr>
              <w:t xml:space="preserve"> (C11, dernière mod. C24), </w:t>
            </w:r>
            <w:hyperlink r:id="rId15" w:history="1">
              <w:r w:rsidRPr="00383A8E">
                <w:rPr>
                  <w:rStyle w:val="Hyperlink"/>
                  <w:i/>
                  <w:iCs/>
                  <w:sz w:val="22"/>
                  <w:szCs w:val="22"/>
                </w:rPr>
                <w:t>1334</w:t>
              </w:r>
            </w:hyperlink>
            <w:r w:rsidRPr="00383A8E">
              <w:rPr>
                <w:i/>
                <w:iCs/>
                <w:sz w:val="22"/>
                <w:szCs w:val="22"/>
              </w:rPr>
              <w:t xml:space="preserve"> (C11, dernière mod. C23) et </w:t>
            </w:r>
            <w:hyperlink r:id="rId16" w:history="1">
              <w:r w:rsidRPr="00383A8E">
                <w:rPr>
                  <w:rStyle w:val="Hyperlink"/>
                  <w:i/>
                  <w:iCs/>
                  <w:sz w:val="22"/>
                  <w:szCs w:val="22"/>
                </w:rPr>
                <w:t>1336</w:t>
              </w:r>
            </w:hyperlink>
            <w:r w:rsidRPr="00383A8E">
              <w:rPr>
                <w:i/>
                <w:iCs/>
                <w:sz w:val="22"/>
                <w:szCs w:val="22"/>
              </w:rPr>
              <w:t xml:space="preserve"> (C11, dernière mod. C19) du Conseil; Documents </w:t>
            </w:r>
            <w:hyperlink r:id="rId17" w:history="1">
              <w:r w:rsidRPr="00383A8E">
                <w:rPr>
                  <w:rStyle w:val="Hyperlink"/>
                  <w:i/>
                  <w:iCs/>
                  <w:sz w:val="22"/>
                  <w:szCs w:val="22"/>
                </w:rPr>
                <w:t>C26/60</w:t>
              </w:r>
            </w:hyperlink>
            <w:r w:rsidRPr="00383A8E">
              <w:rPr>
                <w:i/>
                <w:iCs/>
                <w:sz w:val="22"/>
                <w:szCs w:val="22"/>
              </w:rPr>
              <w:t xml:space="preserve"> et </w:t>
            </w:r>
            <w:hyperlink r:id="rId18" w:history="1">
              <w:r w:rsidRPr="00383A8E">
                <w:rPr>
                  <w:rStyle w:val="Hyperlink"/>
                  <w:i/>
                  <w:iCs/>
                  <w:sz w:val="22"/>
                  <w:szCs w:val="22"/>
                </w:rPr>
                <w:t>C26/93</w:t>
              </w:r>
            </w:hyperlink>
            <w:r w:rsidRPr="00383A8E">
              <w:rPr>
                <w:i/>
                <w:iCs/>
                <w:sz w:val="22"/>
                <w:szCs w:val="22"/>
              </w:rPr>
              <w:t xml:space="preserve"> du Conseil; Résolution </w:t>
            </w:r>
            <w:hyperlink r:id="rId19" w:history="1">
              <w:r w:rsidRPr="00383A8E">
                <w:rPr>
                  <w:rStyle w:val="Hyperlink"/>
                  <w:i/>
                  <w:iCs/>
                  <w:sz w:val="22"/>
                  <w:szCs w:val="22"/>
                </w:rPr>
                <w:t>A/RES/80/173</w:t>
              </w:r>
            </w:hyperlink>
            <w:r w:rsidRPr="00383A8E">
              <w:rPr>
                <w:i/>
                <w:iCs/>
                <w:sz w:val="22"/>
                <w:szCs w:val="22"/>
              </w:rPr>
              <w:t xml:space="preserve"> de l'Assemblée générale des Nations Unies</w:t>
            </w:r>
            <w:r w:rsidR="00D52C5F" w:rsidRPr="00383A8E">
              <w:rPr>
                <w:i/>
                <w:iCs/>
                <w:sz w:val="22"/>
                <w:szCs w:val="22"/>
              </w:rPr>
              <w:t>.</w:t>
            </w:r>
          </w:p>
        </w:tc>
      </w:tr>
    </w:tbl>
    <w:p w14:paraId="41D2DBEE" w14:textId="1FA28B64" w:rsidR="00BD1614" w:rsidRPr="00023A6C" w:rsidRDefault="00BD1614" w:rsidP="00646671">
      <w:r w:rsidRPr="00023A6C">
        <w:br w:type="page"/>
      </w:r>
    </w:p>
    <w:p w14:paraId="11A1C081" w14:textId="45A90FD6" w:rsidR="00646671" w:rsidRPr="00023A6C" w:rsidRDefault="00646671" w:rsidP="00383A8E">
      <w:pPr>
        <w:pStyle w:val="Heading1"/>
        <w:rPr>
          <w:rFonts w:eastAsia="Calibri"/>
        </w:rPr>
      </w:pPr>
      <w:r w:rsidRPr="00023A6C">
        <w:lastRenderedPageBreak/>
        <w:t>1</w:t>
      </w:r>
      <w:r w:rsidRPr="00023A6C">
        <w:tab/>
      </w:r>
      <w:r w:rsidRPr="00383A8E">
        <w:t>Introduction</w:t>
      </w:r>
    </w:p>
    <w:p w14:paraId="0562DA07" w14:textId="03792D11" w:rsidR="00646671" w:rsidRPr="00023A6C" w:rsidRDefault="00646671" w:rsidP="00D52C5F">
      <w:pPr>
        <w:tabs>
          <w:tab w:val="clear" w:pos="567"/>
          <w:tab w:val="left" w:pos="709"/>
        </w:tabs>
        <w:rPr>
          <w:rFonts w:eastAsia="Calibri"/>
        </w:rPr>
      </w:pPr>
      <w:r w:rsidRPr="00023A6C">
        <w:t>1.1</w:t>
      </w:r>
      <w:r w:rsidRPr="00023A6C">
        <w:tab/>
        <w:t>Le présent document fait suite à la demande formulée par le Groupe de travail du Conseil sur le SMSI et les ODD (GTC-SMSI/ODD), à sa 44ème réunion, telle qu'elle figure aux paragraphes 8.16 à 8.19 du rapport de la réunion, tendant à ce que le Secrétariat prépare une analyse des lacunes pour évaluer l'alignement des Résolutions de l'UIT en vigueur avec les résultats de l'examen du SMSI+20. Rappelant la décision prise par le GTC-SMSI/ODD de préparer une analyse des lacunes concernant les incidences du SMSI+20 sur les travaux et les mandats actuels de l'UIT, qui sera soumise au Conseil pour étude et examen, le Groupe de travail du Conseil sur les questions de politiques publiques internationales relatives à l'Internet (GTC-Internet) a également demandé au Secrétariat, à sa 23ème réunion, de contribuer à cette analyse pour tout ce qui concerne le mandat du GTC</w:t>
      </w:r>
      <w:r w:rsidRPr="00023A6C">
        <w:noBreakHyphen/>
        <w:t>Internet (</w:t>
      </w:r>
      <w:hyperlink r:id="rId20" w:history="1">
        <w:r w:rsidRPr="00023A6C">
          <w:rPr>
            <w:rStyle w:val="Hyperlink"/>
          </w:rPr>
          <w:t>paragraphe 4.1.3 du rapport de la réunion</w:t>
        </w:r>
      </w:hyperlink>
      <w:r w:rsidRPr="00023A6C">
        <w:t>).</w:t>
      </w:r>
      <w:hyperlink r:id="rId21"/>
    </w:p>
    <w:p w14:paraId="3C52E4C2" w14:textId="77777777" w:rsidR="00646671" w:rsidRPr="00023A6C" w:rsidRDefault="00646671" w:rsidP="00D52C5F">
      <w:pPr>
        <w:tabs>
          <w:tab w:val="clear" w:pos="567"/>
          <w:tab w:val="left" w:pos="709"/>
        </w:tabs>
        <w:rPr>
          <w:rFonts w:eastAsia="Calibri"/>
        </w:rPr>
      </w:pPr>
      <w:r w:rsidRPr="00023A6C">
        <w:t>1.2</w:t>
      </w:r>
      <w:r w:rsidRPr="00023A6C">
        <w:tab/>
        <w:t>L'analyse porte sur les Résolutions 1332 (C11, dernière mod. C24) et 1334 (C11, dernière mod. C23) du Conseil, ainsi que sur la Résolution 140 (Rév. Bucarest, 2022) de la Conférence de plénipotentiaires (PP) eu égard:</w:t>
      </w:r>
    </w:p>
    <w:p w14:paraId="531EB261" w14:textId="77777777" w:rsidR="00646671" w:rsidRPr="00023A6C" w:rsidRDefault="00646671" w:rsidP="00D52C5F">
      <w:pPr>
        <w:pStyle w:val="enumlev1"/>
        <w:tabs>
          <w:tab w:val="clear" w:pos="567"/>
        </w:tabs>
        <w:ind w:left="709" w:hanging="709"/>
        <w:rPr>
          <w:rFonts w:eastAsia="Calibri"/>
        </w:rPr>
      </w:pPr>
      <w:r w:rsidRPr="00023A6C">
        <w:t>–</w:t>
      </w:r>
      <w:r w:rsidRPr="00023A6C">
        <w:tab/>
        <w:t>aux demandes d'activités concrètes découlant de l'examen du SMSI+20;</w:t>
      </w:r>
    </w:p>
    <w:p w14:paraId="5BAE0D27" w14:textId="77777777" w:rsidR="00646671" w:rsidRPr="00023A6C" w:rsidRDefault="00646671" w:rsidP="00D52C5F">
      <w:pPr>
        <w:pStyle w:val="enumlev1"/>
        <w:tabs>
          <w:tab w:val="clear" w:pos="567"/>
        </w:tabs>
        <w:ind w:left="709" w:hanging="709"/>
        <w:rPr>
          <w:rFonts w:eastAsia="Calibri"/>
        </w:rPr>
      </w:pPr>
      <w:r w:rsidRPr="00023A6C">
        <w:t>–</w:t>
      </w:r>
      <w:r w:rsidRPr="00023A6C">
        <w:tab/>
        <w:t>aux activités en cours à l'UIT;</w:t>
      </w:r>
    </w:p>
    <w:p w14:paraId="3F3B69CF" w14:textId="774A261F" w:rsidR="00646671" w:rsidRPr="00023A6C" w:rsidRDefault="00646671" w:rsidP="00D52C5F">
      <w:pPr>
        <w:pStyle w:val="enumlev1"/>
        <w:tabs>
          <w:tab w:val="clear" w:pos="567"/>
        </w:tabs>
        <w:ind w:left="709" w:hanging="709"/>
        <w:rPr>
          <w:rFonts w:eastAsia="Calibri"/>
        </w:rPr>
      </w:pPr>
      <w:r w:rsidRPr="00023A6C">
        <w:t>–</w:t>
      </w:r>
      <w:r w:rsidRPr="00023A6C">
        <w:tab/>
        <w:t>aux propositions de révision soumises par la Fédération de Russie à la 44ème réunion du GTC-SMSI/ODD;</w:t>
      </w:r>
    </w:p>
    <w:p w14:paraId="6556FF77" w14:textId="77777777" w:rsidR="00646671" w:rsidRPr="00023A6C" w:rsidRDefault="00646671" w:rsidP="00D52C5F">
      <w:pPr>
        <w:pStyle w:val="enumlev1"/>
        <w:tabs>
          <w:tab w:val="clear" w:pos="567"/>
        </w:tabs>
        <w:ind w:left="709" w:hanging="709"/>
        <w:rPr>
          <w:rFonts w:eastAsia="Calibri"/>
        </w:rPr>
      </w:pPr>
      <w:r w:rsidRPr="00023A6C">
        <w:t>–</w:t>
      </w:r>
      <w:r w:rsidRPr="00023A6C">
        <w:tab/>
        <w:t xml:space="preserve">à la contribution soumise par les </w:t>
      </w:r>
      <w:r w:rsidRPr="00023A6C">
        <w:rPr>
          <w:rFonts w:cs="Calibri"/>
        </w:rPr>
        <w:t>É</w:t>
      </w:r>
      <w:r w:rsidRPr="00023A6C">
        <w:t>tats-Unis à la 44ème réunion du GTC-SMSI/ODD.</w:t>
      </w:r>
    </w:p>
    <w:p w14:paraId="55936D31" w14:textId="1E6D62AF" w:rsidR="00646671" w:rsidRPr="00023A6C" w:rsidRDefault="00646671" w:rsidP="00D52C5F">
      <w:pPr>
        <w:tabs>
          <w:tab w:val="clear" w:pos="567"/>
          <w:tab w:val="left" w:pos="709"/>
        </w:tabs>
        <w:rPr>
          <w:rFonts w:eastAsia="Calibri"/>
          <w:kern w:val="2"/>
          <w14:ligatures w14:val="standardContextual"/>
        </w:rPr>
      </w:pPr>
      <w:r w:rsidRPr="00023A6C">
        <w:t>1.3</w:t>
      </w:r>
      <w:r w:rsidRPr="00023A6C">
        <w:tab/>
        <w:t>L'analyse porte également sur les dispositions des Résolutions 1305 et 1336 du Conseil et de la Résolution 102 (Rév. Bucarest, 2022) de la Conférence de plénipotentiaires relatives au mandat du GTC-Internet, au regard des dispositions pertinentes du Document final de l'examen du SMSI+20 (</w:t>
      </w:r>
      <w:hyperlink r:id="rId22" w:history="1">
        <w:r w:rsidRPr="00023A6C">
          <w:rPr>
            <w:rStyle w:val="Hyperlink"/>
          </w:rPr>
          <w:t>A/RES/80/173</w:t>
        </w:r>
      </w:hyperlink>
      <w:r w:rsidRPr="00023A6C">
        <w:t xml:space="preserve">) et compte tenu également des contributions reçues à la 23ème réunion du </w:t>
      </w:r>
      <w:proofErr w:type="spellStart"/>
      <w:r w:rsidRPr="00023A6C">
        <w:t>GTC</w:t>
      </w:r>
      <w:proofErr w:type="spellEnd"/>
      <w:r w:rsidRPr="00023A6C">
        <w:t>-Internet.</w:t>
      </w:r>
      <w:hyperlink r:id="rId23" w:history="1"/>
    </w:p>
    <w:p w14:paraId="13D0DF66" w14:textId="77777777" w:rsidR="00646671" w:rsidRPr="00023A6C" w:rsidRDefault="00646671" w:rsidP="00D52C5F">
      <w:pPr>
        <w:tabs>
          <w:tab w:val="clear" w:pos="567"/>
          <w:tab w:val="left" w:pos="709"/>
        </w:tabs>
        <w:rPr>
          <w:rFonts w:eastAsia="Calibri"/>
          <w:kern w:val="2"/>
          <w14:ligatures w14:val="standardContextual"/>
        </w:rPr>
      </w:pPr>
      <w:r w:rsidRPr="00023A6C">
        <w:t>1.4</w:t>
      </w:r>
      <w:r w:rsidRPr="00023A6C">
        <w:tab/>
        <w:t>Le Document final de l'examen du SMSI+20 (</w:t>
      </w:r>
      <w:hyperlink r:id="rId24" w:history="1">
        <w:r w:rsidRPr="00023A6C">
          <w:rPr>
            <w:rStyle w:val="Hyperlink"/>
          </w:rPr>
          <w:t>A/RES/80/173</w:t>
        </w:r>
      </w:hyperlink>
      <w:r w:rsidRPr="00023A6C">
        <w:t>) n'a pas eu pour effet d'attribuer de nouvelles missions à l'UIT, dans la mesure où c'est aux organes directeurs de l'Union qu'il appartient de définir le mandat de celle-ci. La Résolution invite l'Union à mener un certain nombre d'activités concrètes dans le cadre de son mandat. La reconnaissance par l'Assemblée générale des Nations Unies des travaux actuellement menés par l'UIT souligne encore un peu plus que les contributions apportées par l'Union à la mise en œuvre des résultats du SMSI demeurent importantes.</w:t>
      </w:r>
      <w:hyperlink r:id="rId25" w:history="1"/>
    </w:p>
    <w:p w14:paraId="4F17036D" w14:textId="77777777" w:rsidR="00646671" w:rsidRPr="00023A6C" w:rsidRDefault="00646671" w:rsidP="00383A8E">
      <w:pPr>
        <w:pStyle w:val="Heading1"/>
        <w:rPr>
          <w:rFonts w:eastAsia="Calibri"/>
        </w:rPr>
      </w:pPr>
      <w:r w:rsidRPr="00023A6C">
        <w:t>2</w:t>
      </w:r>
      <w:r w:rsidRPr="00023A6C">
        <w:tab/>
        <w:t>Champ et méthode</w:t>
      </w:r>
    </w:p>
    <w:p w14:paraId="40EB4F5A" w14:textId="77777777" w:rsidR="00646671" w:rsidRPr="00023A6C" w:rsidRDefault="00646671" w:rsidP="00D52C5F">
      <w:pPr>
        <w:tabs>
          <w:tab w:val="clear" w:pos="567"/>
          <w:tab w:val="left" w:pos="709"/>
        </w:tabs>
      </w:pPr>
      <w:r w:rsidRPr="00023A6C">
        <w:t>2.1</w:t>
      </w:r>
      <w:r w:rsidRPr="00023A6C">
        <w:tab/>
        <w:t>Le Secrétariat a examiné la version actuelle des Résolutions susmentionnées, les a mises en regard avec les demandes du SMSI+20 et a évalué leur cohérence par rapport aux programmes de travail actuels de l'UIT ou au mandat du GTC-Internet, selon le cas.</w:t>
      </w:r>
    </w:p>
    <w:p w14:paraId="1E5018F9" w14:textId="77777777" w:rsidR="00646671" w:rsidRPr="00023A6C" w:rsidRDefault="00646671" w:rsidP="00D52C5F">
      <w:pPr>
        <w:tabs>
          <w:tab w:val="clear" w:pos="567"/>
          <w:tab w:val="left" w:pos="709"/>
        </w:tabs>
      </w:pPr>
      <w:r w:rsidRPr="00023A6C">
        <w:t>2.2</w:t>
      </w:r>
      <w:r w:rsidRPr="00023A6C">
        <w:tab/>
        <w:t>L'analyse porte avant tout sur les lacunes de fond et les points pour lesquels les Résolutions susmentionnées pourraient être mises à jour compte tenu des résultats du SMSI+20.</w:t>
      </w:r>
    </w:p>
    <w:p w14:paraId="01DAC3CE" w14:textId="77777777" w:rsidR="00646671" w:rsidRPr="00023A6C" w:rsidRDefault="00646671" w:rsidP="00D52C5F">
      <w:pPr>
        <w:tabs>
          <w:tab w:val="clear" w:pos="567"/>
          <w:tab w:val="left" w:pos="709"/>
        </w:tabs>
      </w:pPr>
      <w:r w:rsidRPr="00023A6C">
        <w:t>2.3</w:t>
      </w:r>
      <w:r w:rsidRPr="00023A6C">
        <w:tab/>
        <w:t>Les contributions des États Membres ont été analysées afin de répertorier les adjonctions, les précisions ou les modifications structurelles proposées.</w:t>
      </w:r>
    </w:p>
    <w:p w14:paraId="409663EB" w14:textId="656FA3F8" w:rsidR="00646671" w:rsidRPr="00023A6C" w:rsidRDefault="00646671" w:rsidP="00D52C5F">
      <w:pPr>
        <w:tabs>
          <w:tab w:val="clear" w:pos="567"/>
          <w:tab w:val="left" w:pos="709"/>
        </w:tabs>
      </w:pPr>
      <w:r w:rsidRPr="00023A6C">
        <w:t>2.4</w:t>
      </w:r>
      <w:r w:rsidRPr="00023A6C">
        <w:tab/>
        <w:t>L'analyse porte avant tout sur les lacunes de fond plutôt que sur les ajustements d'ordre rédactionnel.</w:t>
      </w:r>
    </w:p>
    <w:p w14:paraId="6483FD0C" w14:textId="1973BAB6" w:rsidR="00646671" w:rsidRPr="00023A6C" w:rsidRDefault="00646671" w:rsidP="00D52C5F">
      <w:pPr>
        <w:keepLines/>
        <w:tabs>
          <w:tab w:val="clear" w:pos="567"/>
          <w:tab w:val="left" w:pos="709"/>
        </w:tabs>
        <w:rPr>
          <w:rFonts w:eastAsia="Calibri"/>
        </w:rPr>
      </w:pPr>
      <w:r w:rsidRPr="00023A6C">
        <w:lastRenderedPageBreak/>
        <w:t>2.5</w:t>
      </w:r>
      <w:r w:rsidRPr="00023A6C">
        <w:tab/>
        <w:t xml:space="preserve">Le présent document est une version actualisée du Document </w:t>
      </w:r>
      <w:hyperlink r:id="rId26" w:history="1">
        <w:r w:rsidRPr="00023A6C">
          <w:rPr>
            <w:rStyle w:val="Hyperlink"/>
            <w:rFonts w:eastAsia="Calibri"/>
            <w:spacing w:val="-2"/>
            <w:szCs w:val="24"/>
          </w:rPr>
          <w:t>C26/60</w:t>
        </w:r>
      </w:hyperlink>
      <w:r w:rsidRPr="00023A6C">
        <w:rPr>
          <w:rFonts w:eastAsia="Calibri"/>
          <w:szCs w:val="24"/>
        </w:rPr>
        <w:t xml:space="preserve">, présenté par le Secrétariat lors de la session de 2026 du Conseil. Il intègre les </w:t>
      </w:r>
      <w:hyperlink r:id="rId27" w:history="1">
        <w:r w:rsidRPr="00023A6C">
          <w:rPr>
            <w:rStyle w:val="Hyperlink"/>
            <w:rFonts w:eastAsia="Calibri"/>
            <w:szCs w:val="24"/>
          </w:rPr>
          <w:t>discussions</w:t>
        </w:r>
      </w:hyperlink>
      <w:r w:rsidRPr="00023A6C">
        <w:rPr>
          <w:rFonts w:eastAsia="Calibri"/>
          <w:szCs w:val="24"/>
        </w:rPr>
        <w:t xml:space="preserve"> qui ont suivi sa présentation.</w:t>
      </w:r>
    </w:p>
    <w:p w14:paraId="368F9B90" w14:textId="77777777" w:rsidR="00646671" w:rsidRPr="00023A6C" w:rsidRDefault="00646671" w:rsidP="00383A8E">
      <w:pPr>
        <w:pStyle w:val="Heading1"/>
        <w:rPr>
          <w:rFonts w:eastAsia="Calibri"/>
        </w:rPr>
      </w:pPr>
      <w:r w:rsidRPr="00023A6C">
        <w:t>3</w:t>
      </w:r>
      <w:r w:rsidRPr="00023A6C">
        <w:tab/>
        <w:t>Résumé des demandes du SMSI+20</w:t>
      </w:r>
    </w:p>
    <w:p w14:paraId="3E4FB3DC" w14:textId="77777777" w:rsidR="00646671" w:rsidRPr="00023A6C" w:rsidRDefault="00646671" w:rsidP="001F1D95">
      <w:pPr>
        <w:tabs>
          <w:tab w:val="clear" w:pos="567"/>
          <w:tab w:val="left" w:pos="709"/>
        </w:tabs>
        <w:rPr>
          <w:rFonts w:eastAsia="Calibri"/>
        </w:rPr>
      </w:pPr>
      <w:r w:rsidRPr="00023A6C">
        <w:t>3.1</w:t>
      </w:r>
      <w:r w:rsidRPr="00023A6C">
        <w:tab/>
        <w:t>L'examen du SMSI+20 a été l'occasion de saluer et de réaffirmer le mandat actuel de l'UIT. Il a permis de définir un ensemble d'activités concrètes à mener dans le cadre de ce mandat.</w:t>
      </w:r>
    </w:p>
    <w:p w14:paraId="12B3E2E1" w14:textId="77777777" w:rsidR="00646671" w:rsidRPr="00023A6C" w:rsidRDefault="00646671" w:rsidP="00383A8E">
      <w:pPr>
        <w:pStyle w:val="Heading2"/>
        <w:rPr>
          <w:rFonts w:eastAsia="Calibri"/>
        </w:rPr>
      </w:pPr>
      <w:r w:rsidRPr="00023A6C">
        <w:t>3.2</w:t>
      </w:r>
      <w:r w:rsidRPr="00023A6C">
        <w:tab/>
        <w:t>Mise en œuvre des résultats du SMSI</w:t>
      </w:r>
    </w:p>
    <w:p w14:paraId="1A13910E" w14:textId="77777777" w:rsidR="00646671" w:rsidRPr="00023A6C" w:rsidRDefault="00646671" w:rsidP="001F1D95">
      <w:pPr>
        <w:tabs>
          <w:tab w:val="clear" w:pos="567"/>
          <w:tab w:val="left" w:pos="709"/>
        </w:tabs>
        <w:rPr>
          <w:rFonts w:eastAsia="Calibri" w:cstheme="minorBidi"/>
        </w:rPr>
      </w:pPr>
      <w:r w:rsidRPr="00023A6C">
        <w:t>3.2.1</w:t>
      </w:r>
      <w:r w:rsidRPr="00023A6C">
        <w:tab/>
        <w:t>La Résolution de l'Assemblée générale des Nations Unies reconnaît explicitement l'utilité des travaux en cours à l'UIT en ce qui concerne la mise en œuvre des résultats du SMSI aux niveaux international et régional, y compris son rôle de chef de file, ses fonctions de coordination et ses responsabilités en matière d'établissement de rapports. Cette reconnaissance rend les activités actuellement menées par l'UIT plus pertinentes et garantit la continuité des travaux futurs.</w:t>
      </w:r>
    </w:p>
    <w:p w14:paraId="7BB08C37" w14:textId="77777777" w:rsidR="00646671" w:rsidRPr="00023A6C" w:rsidRDefault="00646671" w:rsidP="001F1D95">
      <w:pPr>
        <w:tabs>
          <w:tab w:val="clear" w:pos="567"/>
          <w:tab w:val="left" w:pos="709"/>
        </w:tabs>
        <w:rPr>
          <w:rFonts w:asciiTheme="minorHAnsi" w:eastAsia="Calibri" w:hAnsiTheme="minorHAnsi" w:cstheme="minorBidi"/>
          <w:kern w:val="2"/>
          <w14:ligatures w14:val="standardContextual"/>
        </w:rPr>
      </w:pPr>
      <w:r w:rsidRPr="00023A6C">
        <w:t>3.2.2</w:t>
      </w:r>
      <w:r w:rsidRPr="00023A6C">
        <w:tab/>
        <w:t>Les demandes de l'examen du SMSI+20 sont les suivantes:</w:t>
      </w:r>
    </w:p>
    <w:p w14:paraId="3F001AC8" w14:textId="77777777" w:rsidR="00646671" w:rsidRPr="00023A6C" w:rsidRDefault="00646671" w:rsidP="00D52C5F">
      <w:pPr>
        <w:pStyle w:val="enumlev1"/>
        <w:tabs>
          <w:tab w:val="clear" w:pos="567"/>
        </w:tabs>
        <w:ind w:left="709" w:hanging="709"/>
      </w:pPr>
      <w:r w:rsidRPr="00023A6C">
        <w:t>–</w:t>
      </w:r>
      <w:r w:rsidRPr="00023A6C">
        <w:tab/>
        <w:t>renforcer l'établissement de rapports concernant la mise en œuvre des résultats du SMSI à l'intention des organes directeurs internes, du Forum du SMSI et d'entités externes, notamment, mais pas uniquement, des rapports présentés à la Commission de la science et de la technique au service du développement des Nations Unies (CSTD);</w:t>
      </w:r>
    </w:p>
    <w:p w14:paraId="02104DCA" w14:textId="3F9EF1B4" w:rsidR="00646671" w:rsidRPr="00023A6C" w:rsidRDefault="00646671" w:rsidP="00D52C5F">
      <w:pPr>
        <w:pStyle w:val="enumlev1"/>
        <w:tabs>
          <w:tab w:val="clear" w:pos="567"/>
        </w:tabs>
        <w:ind w:left="709" w:hanging="709"/>
        <w:rPr>
          <w:rFonts w:eastAsia="Calibri"/>
        </w:rPr>
      </w:pPr>
      <w:r w:rsidRPr="00023A6C">
        <w:t>–</w:t>
      </w:r>
      <w:r w:rsidRPr="00023A6C">
        <w:tab/>
        <w:t xml:space="preserve">élaborer des feuilles de route et des approches de surveillance, </w:t>
      </w:r>
      <w:r w:rsidR="004C27FA" w:rsidRPr="00023A6C">
        <w:t xml:space="preserve">y compris pour les grandes orientations du SMSI, </w:t>
      </w:r>
      <w:r w:rsidRPr="00023A6C">
        <w:t>dans les domaines indiqués dans le document final issu du SMSI+20</w:t>
      </w:r>
      <w:r w:rsidR="006A2E73" w:rsidRPr="00023A6C">
        <w:t>;</w:t>
      </w:r>
    </w:p>
    <w:p w14:paraId="4684FDC6" w14:textId="77777777" w:rsidR="00646671" w:rsidRPr="00023A6C" w:rsidRDefault="00646671" w:rsidP="00D52C5F">
      <w:pPr>
        <w:pStyle w:val="enumlev1"/>
        <w:tabs>
          <w:tab w:val="clear" w:pos="567"/>
        </w:tabs>
        <w:ind w:left="709" w:hanging="709"/>
        <w:rPr>
          <w:rFonts w:eastAsia="Calibri"/>
        </w:rPr>
      </w:pPr>
      <w:r w:rsidRPr="00023A6C">
        <w:t>–</w:t>
      </w:r>
      <w:r w:rsidRPr="00023A6C">
        <w:tab/>
        <w:t>mettre davantage l'accent sur une connectivité efficace, l'inclusion numérique, l'accessibilité et le renforcement des capacités;</w:t>
      </w:r>
    </w:p>
    <w:p w14:paraId="77086208" w14:textId="77777777" w:rsidR="00646671" w:rsidRPr="00023A6C" w:rsidRDefault="00646671" w:rsidP="00D52C5F">
      <w:pPr>
        <w:pStyle w:val="enumlev1"/>
        <w:tabs>
          <w:tab w:val="clear" w:pos="567"/>
        </w:tabs>
        <w:ind w:left="709" w:hanging="709"/>
        <w:rPr>
          <w:rFonts w:eastAsia="Calibri"/>
        </w:rPr>
      </w:pPr>
      <w:r w:rsidRPr="00023A6C">
        <w:t>–</w:t>
      </w:r>
      <w:r w:rsidRPr="00023A6C">
        <w:tab/>
        <w:t>porter une attention accrue aux technologies émergentes telles que l'IA, la gouvernance des données, la confiance et la sécurité;</w:t>
      </w:r>
    </w:p>
    <w:p w14:paraId="17A5BA3B" w14:textId="77777777" w:rsidR="00646671" w:rsidRPr="00023A6C" w:rsidRDefault="00646671" w:rsidP="00D52C5F">
      <w:pPr>
        <w:pStyle w:val="enumlev1"/>
        <w:tabs>
          <w:tab w:val="clear" w:pos="567"/>
        </w:tabs>
        <w:ind w:left="709" w:hanging="709"/>
      </w:pPr>
      <w:r w:rsidRPr="00023A6C">
        <w:t>–</w:t>
      </w:r>
      <w:r w:rsidRPr="00023A6C">
        <w:tab/>
        <w:t>renforcer les mécanismes de coordination interinstitutions et les mécanismes de coordination multi-parties prenantes pour favoriser la mise en œuvre cohérente des résultats du SMSI avec les autres processus des Nations Unies;</w:t>
      </w:r>
    </w:p>
    <w:p w14:paraId="4BE61D82" w14:textId="3966208B" w:rsidR="00646671" w:rsidRPr="00023A6C" w:rsidRDefault="00646671" w:rsidP="00D52C5F">
      <w:pPr>
        <w:pStyle w:val="enumlev1"/>
        <w:tabs>
          <w:tab w:val="clear" w:pos="567"/>
        </w:tabs>
        <w:ind w:left="709" w:hanging="709"/>
      </w:pPr>
      <w:r w:rsidRPr="00023A6C">
        <w:t>–</w:t>
      </w:r>
      <w:r w:rsidRPr="00023A6C">
        <w:tab/>
        <w:t>renforcer l</w:t>
      </w:r>
      <w:r w:rsidR="006A2E73" w:rsidRPr="00023A6C">
        <w:t>'</w:t>
      </w:r>
      <w:r w:rsidRPr="00023A6C">
        <w:t>appui apporté à la mise en œuvre des grandes orientations du SMSI dans les pays en développement, notamment concernant les services financiers numériques, le renforcement des capacités, l</w:t>
      </w:r>
      <w:r w:rsidR="006A2E73" w:rsidRPr="00023A6C">
        <w:t>'</w:t>
      </w:r>
      <w:r w:rsidRPr="00023A6C">
        <w:t>environnement propice, la santé et les changements climatiques</w:t>
      </w:r>
      <w:r w:rsidR="006A2E73" w:rsidRPr="00023A6C">
        <w:t>;</w:t>
      </w:r>
    </w:p>
    <w:p w14:paraId="0D52C957" w14:textId="2E920BAD" w:rsidR="0089259A" w:rsidRPr="00023A6C" w:rsidRDefault="0089259A" w:rsidP="00D52C5F">
      <w:pPr>
        <w:pStyle w:val="enumlev1"/>
        <w:tabs>
          <w:tab w:val="clear" w:pos="567"/>
        </w:tabs>
        <w:ind w:left="709" w:hanging="709"/>
        <w:rPr>
          <w:rFonts w:eastAsia="Calibri"/>
        </w:rPr>
      </w:pPr>
      <w:r w:rsidRPr="00023A6C">
        <w:t>–</w:t>
      </w:r>
      <w:r w:rsidRPr="00023A6C">
        <w:tab/>
        <w:t>renforcer l</w:t>
      </w:r>
      <w:r w:rsidR="00E07030" w:rsidRPr="00023A6C">
        <w:t>'</w:t>
      </w:r>
      <w:r w:rsidRPr="00023A6C">
        <w:t>action menée pour remédier aux lacunes et aux difficultés en matière de financement du numérique dans les pays en développement, notamment moyennant la création de l</w:t>
      </w:r>
      <w:r w:rsidR="00E07030" w:rsidRPr="00023A6C">
        <w:t>'</w:t>
      </w:r>
      <w:r w:rsidRPr="00023A6C">
        <w:t>équipe spéciale sur le financement du développement numérique chargée de formulée des recommandations;</w:t>
      </w:r>
    </w:p>
    <w:p w14:paraId="5606E748" w14:textId="2B6A6E07" w:rsidR="00646671" w:rsidRPr="00023A6C" w:rsidRDefault="00646671" w:rsidP="00D52C5F">
      <w:pPr>
        <w:pStyle w:val="enumlev1"/>
        <w:tabs>
          <w:tab w:val="clear" w:pos="567"/>
        </w:tabs>
        <w:ind w:left="709" w:hanging="709"/>
        <w:rPr>
          <w:rFonts w:eastAsia="Calibri"/>
        </w:rPr>
      </w:pPr>
      <w:r w:rsidRPr="00023A6C">
        <w:t>–</w:t>
      </w:r>
      <w:r w:rsidRPr="00023A6C">
        <w:tab/>
        <w:t>actualiser le calendrier de mise en œuvre des résultats du SMSI pour la nouvelle période</w:t>
      </w:r>
      <w:r w:rsidR="006A2E73" w:rsidRPr="00023A6C">
        <w:t> </w:t>
      </w:r>
      <w:r w:rsidRPr="00023A6C">
        <w:t>2026-2035.</w:t>
      </w:r>
    </w:p>
    <w:p w14:paraId="61E393F0" w14:textId="77777777" w:rsidR="00646671" w:rsidRPr="00023A6C" w:rsidRDefault="00646671" w:rsidP="00383A8E">
      <w:pPr>
        <w:pStyle w:val="Heading2"/>
        <w:rPr>
          <w:rFonts w:eastAsia="Calibri"/>
        </w:rPr>
      </w:pPr>
      <w:r w:rsidRPr="00023A6C">
        <w:lastRenderedPageBreak/>
        <w:t>3.3</w:t>
      </w:r>
      <w:r w:rsidRPr="00023A6C">
        <w:tab/>
        <w:t>Mandat du GTC-Internet</w:t>
      </w:r>
    </w:p>
    <w:p w14:paraId="72AF55C5" w14:textId="77777777" w:rsidR="00646671" w:rsidRPr="00023A6C" w:rsidRDefault="00646671" w:rsidP="00D52C5F">
      <w:pPr>
        <w:keepLines/>
        <w:tabs>
          <w:tab w:val="clear" w:pos="567"/>
          <w:tab w:val="left" w:pos="709"/>
        </w:tabs>
        <w:rPr>
          <w:rFonts w:asciiTheme="minorHAnsi" w:eastAsia="Calibri" w:hAnsiTheme="minorHAnsi" w:cstheme="minorBidi"/>
          <w:kern w:val="2"/>
          <w14:ligatures w14:val="standardContextual"/>
        </w:rPr>
      </w:pPr>
      <w:r w:rsidRPr="00023A6C">
        <w:t>3.3.1</w:t>
      </w:r>
      <w:r w:rsidRPr="00023A6C">
        <w:tab/>
        <w:t>Le Document final de l'examen du SMSI+20 réaffirme l'importance de l'Agenda de Tunis pour la société de l'information en ce qui concerne l'élaboration et l'application par les États, le secteur privé et la société civile, chacun selon son rôle, de principes, normes, règles, procédures de prise de décision et programmes communs propres à modeler l'évolution et l'utilisation de l'Internet.</w:t>
      </w:r>
    </w:p>
    <w:p w14:paraId="4B7A62DF" w14:textId="77777777" w:rsidR="00646671" w:rsidRPr="00023A6C" w:rsidRDefault="00646671" w:rsidP="001F1D95">
      <w:pPr>
        <w:tabs>
          <w:tab w:val="clear" w:pos="567"/>
          <w:tab w:val="left" w:pos="709"/>
        </w:tabs>
        <w:rPr>
          <w:rFonts w:asciiTheme="minorHAnsi" w:eastAsia="Calibri" w:hAnsiTheme="minorHAnsi" w:cstheme="minorHAnsi"/>
          <w:kern w:val="2"/>
          <w:szCs w:val="24"/>
          <w14:ligatures w14:val="standardContextual"/>
        </w:rPr>
      </w:pPr>
      <w:r w:rsidRPr="00023A6C">
        <w:t>3.3.2</w:t>
      </w:r>
      <w:r w:rsidRPr="00023A6C">
        <w:tab/>
        <w:t>Le Document final reconnaît notamment qu'Internet est une ressource mondiale indispensable à une transformation numérique inclusive et équitable et que la gouvernance d'Internet doit conserver son caractère mondial et multipartite et associer pleinement les États, le secteur privé, la société civile, les organisations internationales, les milieux techniques et universitaires et toutes les autres parties concernées, chacune selon son rôle et ses attributions.</w:t>
      </w:r>
    </w:p>
    <w:p w14:paraId="312FEC0A" w14:textId="77777777" w:rsidR="00646671" w:rsidRPr="00023A6C" w:rsidRDefault="00646671" w:rsidP="001F1D95">
      <w:pPr>
        <w:tabs>
          <w:tab w:val="clear" w:pos="567"/>
          <w:tab w:val="left" w:pos="709"/>
        </w:tabs>
        <w:rPr>
          <w:rFonts w:asciiTheme="minorHAnsi" w:eastAsia="Calibri" w:hAnsiTheme="minorHAnsi" w:cstheme="minorHAnsi"/>
          <w:kern w:val="2"/>
          <w:szCs w:val="24"/>
          <w14:ligatures w14:val="standardContextual"/>
        </w:rPr>
      </w:pPr>
      <w:r w:rsidRPr="00023A6C">
        <w:t>3.3.3</w:t>
      </w:r>
      <w:r w:rsidRPr="00023A6C">
        <w:tab/>
        <w:t>Le Document final reconnaît en outre que nombre de nouvelles initiatives et activités ont été lancées depuis la tenue du Sommet mondial afin de favoriser les débats, le partage d'expériences et la coopération entre États et avec tous les autres groupes de parties prenantes, et demande aux États Membres et aux autres parties prenantes, dans le respect de la vocation et des missions des uns et des autres, d'œuvrer en toute coopération à la réalisation des ambitions du Sommet mondial.</w:t>
      </w:r>
    </w:p>
    <w:p w14:paraId="167F0C1C" w14:textId="39D86458" w:rsidR="00646671" w:rsidRPr="00023A6C" w:rsidRDefault="00646671" w:rsidP="00D52C5F">
      <w:pPr>
        <w:tabs>
          <w:tab w:val="clear" w:pos="567"/>
          <w:tab w:val="left" w:pos="709"/>
        </w:tabs>
      </w:pPr>
      <w:r w:rsidRPr="00023A6C">
        <w:t>3.3.4</w:t>
      </w:r>
      <w:r w:rsidRPr="00023A6C">
        <w:tab/>
        <w:t>Ces points de la Résolution de l'Assemblée générale des Nations Unies mériteront peut</w:t>
      </w:r>
      <w:r w:rsidRPr="00023A6C">
        <w:noBreakHyphen/>
        <w:t>être un examen plus approfondi, afin de lever les ambiguïtés et de garantir leur alignement avec les Résolutions en vigueur de l'UIT.</w:t>
      </w:r>
    </w:p>
    <w:p w14:paraId="3BCED474" w14:textId="77777777" w:rsidR="006A2E73" w:rsidRPr="00023A6C" w:rsidRDefault="006A2E73" w:rsidP="00646671"/>
    <w:p w14:paraId="094F9308" w14:textId="4CC850C1" w:rsidR="006A2E73" w:rsidRPr="00023A6C" w:rsidRDefault="006A2E73" w:rsidP="00646671">
      <w:pPr>
        <w:sectPr w:rsidR="006A2E73" w:rsidRPr="00023A6C" w:rsidSect="003A0B7D">
          <w:headerReference w:type="default" r:id="rId28"/>
          <w:footerReference w:type="first" r:id="rId29"/>
          <w:type w:val="continuous"/>
          <w:pgSz w:w="11913" w:h="16834"/>
          <w:pgMar w:top="1418" w:right="1134" w:bottom="1418" w:left="1134" w:header="720" w:footer="720" w:gutter="0"/>
          <w:paperSrc w:first="15" w:other="15"/>
          <w:cols w:space="720"/>
          <w:titlePg/>
        </w:sectPr>
      </w:pPr>
    </w:p>
    <w:p w14:paraId="7D632A19" w14:textId="4042702B" w:rsidR="006A2E73" w:rsidRPr="00023A6C" w:rsidRDefault="006A2E73" w:rsidP="00383A8E">
      <w:pPr>
        <w:pStyle w:val="Heading1"/>
        <w:rPr>
          <w:rFonts w:eastAsia="Calibri"/>
        </w:rPr>
      </w:pPr>
      <w:r w:rsidRPr="00023A6C">
        <w:lastRenderedPageBreak/>
        <w:t>4</w:t>
      </w:r>
      <w:r w:rsidRPr="00023A6C">
        <w:tab/>
        <w:t>Analyse des lacunes</w:t>
      </w:r>
    </w:p>
    <w:p w14:paraId="605302EE" w14:textId="4FD608DF" w:rsidR="006A2E73" w:rsidRPr="00023A6C" w:rsidRDefault="006A2E73" w:rsidP="00383A8E">
      <w:pPr>
        <w:pStyle w:val="Heading2"/>
      </w:pPr>
      <w:r w:rsidRPr="00023A6C">
        <w:t>4.1</w:t>
      </w:r>
      <w:r w:rsidRPr="00023A6C">
        <w:tab/>
        <w:t>Alignement avec les demandes du SMSI+20</w:t>
      </w:r>
    </w:p>
    <w:tbl>
      <w:tblPr>
        <w:tblStyle w:val="TableGrid1"/>
        <w:tblW w:w="14034" w:type="dxa"/>
        <w:tblInd w:w="-5" w:type="dxa"/>
        <w:tblLayout w:type="fixed"/>
        <w:tblLook w:val="04A0" w:firstRow="1" w:lastRow="0" w:firstColumn="1" w:lastColumn="0" w:noHBand="0" w:noVBand="1"/>
      </w:tblPr>
      <w:tblGrid>
        <w:gridCol w:w="1276"/>
        <w:gridCol w:w="1701"/>
        <w:gridCol w:w="1985"/>
        <w:gridCol w:w="2693"/>
        <w:gridCol w:w="6379"/>
      </w:tblGrid>
      <w:tr w:rsidR="006A2E73" w:rsidRPr="00023A6C" w14:paraId="38153EAE" w14:textId="77777777" w:rsidTr="001F1D95">
        <w:trPr>
          <w:trHeight w:val="344"/>
          <w:tblHeader/>
        </w:trPr>
        <w:tc>
          <w:tcPr>
            <w:tcW w:w="1276" w:type="dxa"/>
            <w:vAlign w:val="center"/>
            <w:hideMark/>
          </w:tcPr>
          <w:p w14:paraId="6BA45C6B" w14:textId="77777777" w:rsidR="006A2E73" w:rsidRPr="00023A6C" w:rsidRDefault="006A2E73" w:rsidP="001F1D95">
            <w:pPr>
              <w:pStyle w:val="Tablehead"/>
              <w:spacing w:before="80" w:after="80"/>
              <w:rPr>
                <w:sz w:val="20"/>
                <w:szCs w:val="20"/>
              </w:rPr>
            </w:pPr>
            <w:r w:rsidRPr="00023A6C">
              <w:rPr>
                <w:sz w:val="20"/>
                <w:szCs w:val="20"/>
              </w:rPr>
              <w:t>Domaine</w:t>
            </w:r>
          </w:p>
        </w:tc>
        <w:tc>
          <w:tcPr>
            <w:tcW w:w="1701" w:type="dxa"/>
            <w:vAlign w:val="center"/>
          </w:tcPr>
          <w:p w14:paraId="1B7A6DA8" w14:textId="77777777" w:rsidR="006A2E73" w:rsidRPr="00023A6C" w:rsidRDefault="006A2E73" w:rsidP="001F1D95">
            <w:pPr>
              <w:pStyle w:val="Tablehead"/>
              <w:spacing w:before="80" w:after="80"/>
              <w:rPr>
                <w:sz w:val="20"/>
                <w:szCs w:val="20"/>
              </w:rPr>
            </w:pPr>
            <w:r w:rsidRPr="00023A6C">
              <w:rPr>
                <w:sz w:val="20"/>
                <w:szCs w:val="20"/>
              </w:rPr>
              <w:t>Résolutions de l'UIT</w:t>
            </w:r>
          </w:p>
        </w:tc>
        <w:tc>
          <w:tcPr>
            <w:tcW w:w="1985" w:type="dxa"/>
            <w:vAlign w:val="center"/>
            <w:hideMark/>
          </w:tcPr>
          <w:p w14:paraId="42CD9861" w14:textId="77777777" w:rsidR="006A2E73" w:rsidRPr="00023A6C" w:rsidRDefault="006A2E73" w:rsidP="001F1D95">
            <w:pPr>
              <w:pStyle w:val="Tablehead"/>
              <w:spacing w:before="80" w:after="80"/>
              <w:rPr>
                <w:sz w:val="20"/>
                <w:szCs w:val="20"/>
              </w:rPr>
            </w:pPr>
            <w:r w:rsidRPr="00023A6C">
              <w:rPr>
                <w:sz w:val="20"/>
                <w:szCs w:val="20"/>
              </w:rPr>
              <w:t>État actuel des dispositions des Résolutions de l'UIT</w:t>
            </w:r>
          </w:p>
        </w:tc>
        <w:tc>
          <w:tcPr>
            <w:tcW w:w="2693" w:type="dxa"/>
            <w:vAlign w:val="center"/>
            <w:hideMark/>
          </w:tcPr>
          <w:p w14:paraId="645B8C9D" w14:textId="77777777" w:rsidR="006A2E73" w:rsidRPr="00023A6C" w:rsidRDefault="006A2E73" w:rsidP="001F1D95">
            <w:pPr>
              <w:pStyle w:val="Tablehead"/>
              <w:spacing w:before="80" w:after="80"/>
              <w:rPr>
                <w:sz w:val="20"/>
                <w:szCs w:val="20"/>
              </w:rPr>
            </w:pPr>
            <w:r w:rsidRPr="00023A6C">
              <w:rPr>
                <w:sz w:val="20"/>
                <w:szCs w:val="20"/>
              </w:rPr>
              <w:t>Demandes du SMSI+20</w:t>
            </w:r>
          </w:p>
        </w:tc>
        <w:tc>
          <w:tcPr>
            <w:tcW w:w="6379" w:type="dxa"/>
            <w:vAlign w:val="center"/>
            <w:hideMark/>
          </w:tcPr>
          <w:p w14:paraId="272E58E6" w14:textId="77777777" w:rsidR="006A2E73" w:rsidRPr="00023A6C" w:rsidRDefault="006A2E73" w:rsidP="001F1D95">
            <w:pPr>
              <w:pStyle w:val="Tablehead"/>
              <w:spacing w:before="80" w:after="80"/>
              <w:rPr>
                <w:sz w:val="20"/>
                <w:szCs w:val="20"/>
              </w:rPr>
            </w:pPr>
            <w:r w:rsidRPr="00023A6C">
              <w:rPr>
                <w:sz w:val="20"/>
                <w:szCs w:val="20"/>
              </w:rPr>
              <w:t>Conclusions</w:t>
            </w:r>
          </w:p>
        </w:tc>
      </w:tr>
      <w:tr w:rsidR="006A2E73" w:rsidRPr="00023A6C" w14:paraId="4C93D351" w14:textId="77777777" w:rsidTr="001F1D95">
        <w:tc>
          <w:tcPr>
            <w:tcW w:w="1276" w:type="dxa"/>
            <w:hideMark/>
          </w:tcPr>
          <w:p w14:paraId="22126BDC" w14:textId="0E4FEE52" w:rsidR="006A2E73" w:rsidRPr="00023A6C" w:rsidRDefault="006A2E73" w:rsidP="001F1D95">
            <w:pPr>
              <w:pStyle w:val="Tabletext"/>
              <w:spacing w:before="40" w:after="40"/>
              <w:rPr>
                <w:sz w:val="20"/>
                <w:szCs w:val="20"/>
              </w:rPr>
            </w:pPr>
            <w:r w:rsidRPr="00023A6C">
              <w:rPr>
                <w:sz w:val="20"/>
                <w:szCs w:val="20"/>
              </w:rPr>
              <w:t>Rapports sur la mise en</w:t>
            </w:r>
            <w:r w:rsidR="001F1D95" w:rsidRPr="00023A6C">
              <w:rPr>
                <w:sz w:val="20"/>
                <w:szCs w:val="20"/>
              </w:rPr>
              <w:t> </w:t>
            </w:r>
            <w:r w:rsidRPr="00023A6C">
              <w:rPr>
                <w:sz w:val="20"/>
                <w:szCs w:val="20"/>
              </w:rPr>
              <w:t>œuvre des résultats du SMSI</w:t>
            </w:r>
          </w:p>
        </w:tc>
        <w:tc>
          <w:tcPr>
            <w:tcW w:w="1701" w:type="dxa"/>
          </w:tcPr>
          <w:p w14:paraId="37C097D0" w14:textId="3B655EFA" w:rsidR="006A2E73" w:rsidRPr="00023A6C" w:rsidRDefault="006A2E73" w:rsidP="001F1D95">
            <w:pPr>
              <w:pStyle w:val="Tabletext"/>
              <w:spacing w:before="40" w:after="40"/>
              <w:rPr>
                <w:sz w:val="20"/>
                <w:szCs w:val="20"/>
              </w:rPr>
            </w:pPr>
            <w:r w:rsidRPr="00023A6C">
              <w:rPr>
                <w:sz w:val="20"/>
                <w:szCs w:val="20"/>
              </w:rPr>
              <w:t>Résolutions 1332 et</w:t>
            </w:r>
            <w:r w:rsidR="001F1D95" w:rsidRPr="00023A6C">
              <w:rPr>
                <w:sz w:val="20"/>
                <w:szCs w:val="20"/>
              </w:rPr>
              <w:t> </w:t>
            </w:r>
            <w:r w:rsidRPr="00023A6C">
              <w:rPr>
                <w:sz w:val="20"/>
                <w:szCs w:val="20"/>
              </w:rPr>
              <w:t>1334 du Conseil et Résolution 140 (Rév. Bucarest, 2022) de la PP</w:t>
            </w:r>
          </w:p>
        </w:tc>
        <w:tc>
          <w:tcPr>
            <w:tcW w:w="1985" w:type="dxa"/>
            <w:hideMark/>
          </w:tcPr>
          <w:p w14:paraId="728CC593" w14:textId="77777777" w:rsidR="006A2E73" w:rsidRPr="00023A6C" w:rsidRDefault="006A2E73" w:rsidP="001F1D95">
            <w:pPr>
              <w:pStyle w:val="Tabletext"/>
              <w:spacing w:before="40" w:after="40"/>
              <w:rPr>
                <w:sz w:val="20"/>
                <w:szCs w:val="20"/>
              </w:rPr>
            </w:pPr>
            <w:r w:rsidRPr="00023A6C">
              <w:rPr>
                <w:sz w:val="20"/>
                <w:szCs w:val="20"/>
              </w:rPr>
              <w:t>Obligations générales en matière de rapports, sans échéances fixes</w:t>
            </w:r>
          </w:p>
        </w:tc>
        <w:tc>
          <w:tcPr>
            <w:tcW w:w="2693" w:type="dxa"/>
            <w:hideMark/>
          </w:tcPr>
          <w:p w14:paraId="1D848F64" w14:textId="0A38D9B3" w:rsidR="006A2E73" w:rsidRPr="00023A6C" w:rsidRDefault="006A2E73" w:rsidP="001F1D95">
            <w:pPr>
              <w:pStyle w:val="Tabletext"/>
              <w:spacing w:before="40" w:after="40"/>
              <w:rPr>
                <w:sz w:val="20"/>
                <w:szCs w:val="20"/>
              </w:rPr>
            </w:pPr>
            <w:r w:rsidRPr="00023A6C">
              <w:rPr>
                <w:sz w:val="20"/>
                <w:szCs w:val="20"/>
              </w:rPr>
              <w:t>Renforcement des obligations de rapport, notamment des rapports faits à la CSTD dans le cadre du dispositif général de rapport sur la mise en</w:t>
            </w:r>
            <w:r w:rsidR="001F1D95" w:rsidRPr="00023A6C">
              <w:rPr>
                <w:sz w:val="20"/>
                <w:szCs w:val="20"/>
              </w:rPr>
              <w:t> </w:t>
            </w:r>
            <w:r w:rsidRPr="00023A6C">
              <w:rPr>
                <w:sz w:val="20"/>
                <w:szCs w:val="20"/>
              </w:rPr>
              <w:t>œuvre des résultats du</w:t>
            </w:r>
            <w:r w:rsidR="001F1D95" w:rsidRPr="00023A6C">
              <w:rPr>
                <w:sz w:val="20"/>
                <w:szCs w:val="20"/>
              </w:rPr>
              <w:t> </w:t>
            </w:r>
            <w:r w:rsidRPr="00023A6C">
              <w:rPr>
                <w:sz w:val="20"/>
                <w:szCs w:val="20"/>
              </w:rPr>
              <w:t>SMSI</w:t>
            </w:r>
          </w:p>
        </w:tc>
        <w:tc>
          <w:tcPr>
            <w:tcW w:w="6379" w:type="dxa"/>
            <w:hideMark/>
          </w:tcPr>
          <w:p w14:paraId="017DB3E4" w14:textId="6AD5317F" w:rsidR="006A2E73" w:rsidRPr="00023A6C" w:rsidRDefault="006A2E73" w:rsidP="001F1D95">
            <w:pPr>
              <w:pStyle w:val="Tabletext"/>
              <w:spacing w:before="40" w:after="40"/>
              <w:rPr>
                <w:sz w:val="20"/>
                <w:szCs w:val="20"/>
              </w:rPr>
            </w:pPr>
            <w:r w:rsidRPr="00023A6C">
              <w:rPr>
                <w:sz w:val="20"/>
                <w:szCs w:val="20"/>
              </w:rPr>
              <w:t>Élaborer des feuilles de route ciblées et axées sur les résultats aux fins de la mise en œuvre des grandes orientations du SMSI, rattachées, selon qu'il conviendra, aux cibles de développement durable et aux engagements du Pacte numérique mondial qui leur correspondent.</w:t>
            </w:r>
          </w:p>
          <w:p w14:paraId="4E6AED05" w14:textId="762A2663" w:rsidR="006A2E73" w:rsidRPr="00023A6C" w:rsidRDefault="006A2E73" w:rsidP="001F1D95">
            <w:pPr>
              <w:pStyle w:val="Tabletext"/>
              <w:spacing w:before="40" w:after="40"/>
              <w:rPr>
                <w:sz w:val="20"/>
                <w:szCs w:val="20"/>
              </w:rPr>
            </w:pPr>
            <w:r w:rsidRPr="00023A6C">
              <w:rPr>
                <w:sz w:val="20"/>
                <w:szCs w:val="20"/>
              </w:rPr>
              <w:t>Renforcer le suivi et l'évaluation grâce à des objectifs, indicateurs et instruments de mesure appropriés, l'accent étant mis sur les incidences et les résultats tangibles pour les États Membres</w:t>
            </w:r>
          </w:p>
          <w:p w14:paraId="6C7EE398" w14:textId="77777777" w:rsidR="006A2E73" w:rsidRPr="00023A6C" w:rsidRDefault="006A2E73" w:rsidP="001F1D95">
            <w:pPr>
              <w:pStyle w:val="Tabletext"/>
              <w:spacing w:before="40" w:after="40"/>
              <w:rPr>
                <w:sz w:val="20"/>
                <w:szCs w:val="20"/>
              </w:rPr>
            </w:pPr>
            <w:r w:rsidRPr="00023A6C">
              <w:rPr>
                <w:sz w:val="20"/>
                <w:szCs w:val="20"/>
              </w:rPr>
              <w:t>Intégrer les rapports spécifiquement demandés dans le document final issu du SMSI+20, dont le rapport qui devra être soumis à la Commission de la science et de la technique en 2027 sur les feuilles de route aux fins de la mise en œuvre des grandes orientations, dans le cadre des mandats et des ressources actuels et sans créer d'obligations supplémentaires en matière de rapports pour les États Membres.</w:t>
            </w:r>
          </w:p>
          <w:p w14:paraId="7713C5AF" w14:textId="507F0D37" w:rsidR="0089259A" w:rsidRPr="00023A6C" w:rsidRDefault="0046716B" w:rsidP="001F1D95">
            <w:pPr>
              <w:pStyle w:val="Tabletext"/>
              <w:spacing w:before="40" w:after="40"/>
              <w:rPr>
                <w:sz w:val="20"/>
                <w:szCs w:val="20"/>
              </w:rPr>
            </w:pPr>
            <w:r w:rsidRPr="00023A6C">
              <w:rPr>
                <w:sz w:val="20"/>
                <w:szCs w:val="20"/>
              </w:rPr>
              <w:t>Renforcer la coordination sur les droits humains et l</w:t>
            </w:r>
            <w:r w:rsidR="00E07030" w:rsidRPr="00023A6C">
              <w:rPr>
                <w:sz w:val="20"/>
                <w:szCs w:val="20"/>
              </w:rPr>
              <w:t>'</w:t>
            </w:r>
            <w:r w:rsidRPr="00023A6C">
              <w:rPr>
                <w:sz w:val="20"/>
                <w:szCs w:val="20"/>
              </w:rPr>
              <w:t>égalité hommes</w:t>
            </w:r>
            <w:r w:rsidR="00361FB1" w:rsidRPr="00023A6C">
              <w:rPr>
                <w:sz w:val="20"/>
                <w:szCs w:val="20"/>
              </w:rPr>
              <w:noBreakHyphen/>
            </w:r>
            <w:r w:rsidRPr="00023A6C">
              <w:rPr>
                <w:sz w:val="20"/>
                <w:szCs w:val="20"/>
              </w:rPr>
              <w:t>femmes, y compris en y associant le HCR et ONU-Femmes.</w:t>
            </w:r>
          </w:p>
        </w:tc>
      </w:tr>
      <w:tr w:rsidR="006A2E73" w:rsidRPr="00023A6C" w14:paraId="0105C40C" w14:textId="77777777" w:rsidTr="001F1D95">
        <w:tc>
          <w:tcPr>
            <w:tcW w:w="1276" w:type="dxa"/>
            <w:hideMark/>
          </w:tcPr>
          <w:p w14:paraId="5E1EB74C" w14:textId="77777777" w:rsidR="006A2E73" w:rsidRPr="00023A6C" w:rsidRDefault="006A2E73" w:rsidP="001F1D95">
            <w:pPr>
              <w:pStyle w:val="Tabletext"/>
              <w:spacing w:before="40" w:after="40"/>
              <w:rPr>
                <w:sz w:val="20"/>
                <w:szCs w:val="20"/>
              </w:rPr>
            </w:pPr>
            <w:r w:rsidRPr="00023A6C">
              <w:rPr>
                <w:sz w:val="20"/>
                <w:szCs w:val="20"/>
              </w:rPr>
              <w:t>Inclusion numérique</w:t>
            </w:r>
          </w:p>
        </w:tc>
        <w:tc>
          <w:tcPr>
            <w:tcW w:w="1701" w:type="dxa"/>
          </w:tcPr>
          <w:p w14:paraId="5B6AB586" w14:textId="1E902E9B" w:rsidR="006A2E73" w:rsidRPr="00023A6C" w:rsidRDefault="006A2E73" w:rsidP="001F1D95">
            <w:pPr>
              <w:pStyle w:val="Tabletext"/>
              <w:spacing w:before="40" w:after="40"/>
              <w:rPr>
                <w:sz w:val="20"/>
                <w:szCs w:val="20"/>
              </w:rPr>
            </w:pPr>
            <w:r w:rsidRPr="00023A6C">
              <w:rPr>
                <w:sz w:val="20"/>
                <w:szCs w:val="20"/>
              </w:rPr>
              <w:t>Résolutions 1332 et</w:t>
            </w:r>
            <w:r w:rsidR="001F1D95" w:rsidRPr="00023A6C">
              <w:rPr>
                <w:sz w:val="20"/>
                <w:szCs w:val="20"/>
              </w:rPr>
              <w:t> </w:t>
            </w:r>
            <w:r w:rsidRPr="00023A6C">
              <w:rPr>
                <w:sz w:val="20"/>
                <w:szCs w:val="20"/>
              </w:rPr>
              <w:t>1334 du Conseil, Résolution 140 (Rév. Bucarest, 2022) de la PP et Résolutions 1305 et</w:t>
            </w:r>
            <w:r w:rsidR="001F1D95" w:rsidRPr="00023A6C">
              <w:rPr>
                <w:sz w:val="20"/>
                <w:szCs w:val="20"/>
              </w:rPr>
              <w:t> </w:t>
            </w:r>
            <w:r w:rsidRPr="00023A6C">
              <w:rPr>
                <w:sz w:val="20"/>
                <w:szCs w:val="20"/>
              </w:rPr>
              <w:t>1336 du Conseil et Résolution 102 (Rév. Bucarest, 2022) de la PP</w:t>
            </w:r>
          </w:p>
        </w:tc>
        <w:tc>
          <w:tcPr>
            <w:tcW w:w="1985" w:type="dxa"/>
            <w:hideMark/>
          </w:tcPr>
          <w:p w14:paraId="27C2CA7F" w14:textId="77777777" w:rsidR="006A2E73" w:rsidRPr="00023A6C" w:rsidRDefault="006A2E73" w:rsidP="001F1D95">
            <w:pPr>
              <w:pStyle w:val="Tabletext"/>
              <w:spacing w:before="40" w:after="40"/>
              <w:rPr>
                <w:sz w:val="20"/>
                <w:szCs w:val="20"/>
              </w:rPr>
            </w:pPr>
            <w:r w:rsidRPr="00023A6C">
              <w:rPr>
                <w:sz w:val="20"/>
                <w:szCs w:val="20"/>
              </w:rPr>
              <w:t>Références générales à l'accès et au renforcement des capacités</w:t>
            </w:r>
          </w:p>
        </w:tc>
        <w:tc>
          <w:tcPr>
            <w:tcW w:w="2693" w:type="dxa"/>
            <w:hideMark/>
          </w:tcPr>
          <w:p w14:paraId="76DF246E" w14:textId="757DED88" w:rsidR="001F1D95" w:rsidRPr="00023A6C" w:rsidRDefault="006A2E73" w:rsidP="001F1D95">
            <w:pPr>
              <w:pStyle w:val="Tabletext"/>
              <w:spacing w:before="40" w:after="40"/>
            </w:pPr>
            <w:r w:rsidRPr="00023A6C">
              <w:rPr>
                <w:sz w:val="20"/>
                <w:szCs w:val="20"/>
              </w:rPr>
              <w:t>Demandes plus détaillées concernant l'accessibilité, l'accessibilité économique, la connectivité efficace, les compétences numériques et la réduction de la fracture numérique, en particulier pour appuyer les pays en développement.</w:t>
            </w:r>
          </w:p>
        </w:tc>
        <w:tc>
          <w:tcPr>
            <w:tcW w:w="6379" w:type="dxa"/>
            <w:hideMark/>
          </w:tcPr>
          <w:p w14:paraId="400A5A45" w14:textId="0B1372B8" w:rsidR="006A2E73" w:rsidRPr="00023A6C" w:rsidRDefault="006A2E73" w:rsidP="001F1D95">
            <w:pPr>
              <w:pStyle w:val="Tabletext"/>
              <w:spacing w:before="40" w:after="40"/>
              <w:rPr>
                <w:sz w:val="20"/>
                <w:szCs w:val="20"/>
              </w:rPr>
            </w:pPr>
            <w:r w:rsidRPr="00023A6C">
              <w:rPr>
                <w:sz w:val="20"/>
                <w:szCs w:val="20"/>
              </w:rPr>
              <w:t>Mettre davantage l'accent sur l'accessibilité, l'accessibilité financière, la connectivité efficace, la lutte contre l'insuffisance de l'infrastructure, les compétences numériques, le renforcement des capacités, l'inclusion numérique sans différence de genre et la réduction de la fracture numérique, en particulier pour appuyer les pays en développement, dans le cadre des mandats actuels.</w:t>
            </w:r>
          </w:p>
          <w:p w14:paraId="6835D9FD" w14:textId="0CAA2131" w:rsidR="006A2E73" w:rsidRPr="00023A6C" w:rsidRDefault="006A2E73" w:rsidP="001F1D95">
            <w:pPr>
              <w:pStyle w:val="Tabletext"/>
              <w:spacing w:before="40" w:after="40"/>
              <w:rPr>
                <w:sz w:val="20"/>
                <w:szCs w:val="20"/>
              </w:rPr>
            </w:pPr>
            <w:r w:rsidRPr="00023A6C">
              <w:rPr>
                <w:sz w:val="20"/>
                <w:szCs w:val="20"/>
              </w:rPr>
              <w:t>Renforcer les dispositions concernant le financement du développement du numérique, en particulier pour appuyer les pays en développement, dans les limites des mandats et des ressources actuels.</w:t>
            </w:r>
          </w:p>
          <w:p w14:paraId="74F89F57" w14:textId="77777777" w:rsidR="006A2E73" w:rsidRPr="00023A6C" w:rsidRDefault="006A2E73" w:rsidP="00361FB1">
            <w:pPr>
              <w:pStyle w:val="Tabletext"/>
              <w:keepNext/>
              <w:keepLines/>
              <w:spacing w:before="40" w:after="40"/>
              <w:rPr>
                <w:sz w:val="20"/>
                <w:szCs w:val="20"/>
              </w:rPr>
            </w:pPr>
            <w:r w:rsidRPr="00023A6C">
              <w:rPr>
                <w:sz w:val="20"/>
                <w:szCs w:val="20"/>
              </w:rPr>
              <w:lastRenderedPageBreak/>
              <w:t>En ce qui concerne le mandat du GTC-Internet, la Résolution 1305 du Conseil énumère les questions de politiques publiques à traiter (Annexe 1). Ces questions étant définies en des termes généraux, les thèmes plus détaillés mentionnés dans le document final de l'examen du SMSI+20 peuvent être examinés par le GTC-Internet dans le cadre des catégories définies dans la Résolution, s'il le juge approprié.</w:t>
            </w:r>
          </w:p>
        </w:tc>
      </w:tr>
      <w:tr w:rsidR="006A2E73" w:rsidRPr="00023A6C" w14:paraId="2043DB3A" w14:textId="77777777" w:rsidTr="001F1D95">
        <w:trPr>
          <w:trHeight w:val="300"/>
        </w:trPr>
        <w:tc>
          <w:tcPr>
            <w:tcW w:w="1276" w:type="dxa"/>
            <w:hideMark/>
          </w:tcPr>
          <w:p w14:paraId="553EA227" w14:textId="7F5737CB" w:rsidR="006A2E73" w:rsidRPr="00023A6C" w:rsidRDefault="006A2E73" w:rsidP="001F1D95">
            <w:pPr>
              <w:pStyle w:val="Tabletext"/>
              <w:spacing w:before="40" w:after="40"/>
              <w:rPr>
                <w:sz w:val="20"/>
                <w:szCs w:val="20"/>
              </w:rPr>
            </w:pPr>
            <w:r w:rsidRPr="00023A6C">
              <w:rPr>
                <w:sz w:val="20"/>
                <w:szCs w:val="20"/>
              </w:rPr>
              <w:lastRenderedPageBreak/>
              <w:t>Les technologies numériques au service du dévelop</w:t>
            </w:r>
            <w:r w:rsidR="001F1D95" w:rsidRPr="00023A6C">
              <w:rPr>
                <w:sz w:val="20"/>
                <w:szCs w:val="20"/>
              </w:rPr>
              <w:t>-</w:t>
            </w:r>
            <w:r w:rsidRPr="00023A6C">
              <w:rPr>
                <w:sz w:val="20"/>
                <w:szCs w:val="20"/>
              </w:rPr>
              <w:t>pement durable et du progrès social</w:t>
            </w:r>
          </w:p>
        </w:tc>
        <w:tc>
          <w:tcPr>
            <w:tcW w:w="1701" w:type="dxa"/>
          </w:tcPr>
          <w:p w14:paraId="5EDF88EF" w14:textId="77777777" w:rsidR="006A2E73" w:rsidRPr="00023A6C" w:rsidRDefault="006A2E73" w:rsidP="001F1D95">
            <w:pPr>
              <w:pStyle w:val="Tabletext"/>
              <w:spacing w:before="40" w:after="40"/>
              <w:rPr>
                <w:sz w:val="20"/>
                <w:szCs w:val="20"/>
              </w:rPr>
            </w:pPr>
            <w:r w:rsidRPr="00023A6C">
              <w:rPr>
                <w:sz w:val="20"/>
                <w:szCs w:val="20"/>
              </w:rPr>
              <w:t>Résolutions 1332 et 1334 du Conseil et Résolution 140 (Rév. Bucarest, 2022) de la PP</w:t>
            </w:r>
          </w:p>
        </w:tc>
        <w:tc>
          <w:tcPr>
            <w:tcW w:w="1985" w:type="dxa"/>
            <w:hideMark/>
          </w:tcPr>
          <w:p w14:paraId="40952B2A" w14:textId="20DEBE30" w:rsidR="006A2E73" w:rsidRPr="00023A6C" w:rsidRDefault="006A2E73" w:rsidP="001F1D95">
            <w:pPr>
              <w:pStyle w:val="Tabletext"/>
              <w:spacing w:before="40" w:after="40"/>
              <w:ind w:right="-112"/>
              <w:rPr>
                <w:sz w:val="20"/>
                <w:szCs w:val="20"/>
              </w:rPr>
            </w:pPr>
            <w:r w:rsidRPr="00023A6C">
              <w:rPr>
                <w:sz w:val="20"/>
                <w:szCs w:val="20"/>
              </w:rPr>
              <w:t>Il est fait mention de l'utilisation des TIC au service du dévelop</w:t>
            </w:r>
            <w:r w:rsidR="001F1D95" w:rsidRPr="00023A6C">
              <w:rPr>
                <w:sz w:val="20"/>
                <w:szCs w:val="20"/>
              </w:rPr>
              <w:t>-</w:t>
            </w:r>
            <w:r w:rsidRPr="00023A6C">
              <w:rPr>
                <w:sz w:val="20"/>
                <w:szCs w:val="20"/>
              </w:rPr>
              <w:t>pement, mais il s'agit de références de haut niveau qui ne tiennent pas compte des concepts récents tels que les infrastructures publiques numériques, les biens publics numériques, la durabilité environnementale et l'économie numérique circulaire.</w:t>
            </w:r>
          </w:p>
        </w:tc>
        <w:tc>
          <w:tcPr>
            <w:tcW w:w="2693" w:type="dxa"/>
            <w:hideMark/>
          </w:tcPr>
          <w:p w14:paraId="35A5CB24" w14:textId="77777777" w:rsidR="006A2E73" w:rsidRPr="00023A6C" w:rsidRDefault="006A2E73" w:rsidP="001F1D95">
            <w:pPr>
              <w:pStyle w:val="Tabletext"/>
              <w:spacing w:before="40" w:after="40"/>
              <w:rPr>
                <w:sz w:val="20"/>
                <w:szCs w:val="20"/>
              </w:rPr>
            </w:pPr>
            <w:r w:rsidRPr="00023A6C">
              <w:rPr>
                <w:sz w:val="20"/>
                <w:szCs w:val="20"/>
              </w:rPr>
              <w:t>Demandes qui visent à tirer parti des TIC dans le cadre des objectifs de développement en général, à promouvoir les infrastructures publiques numériques et les biens publics numériques, à renforcer les services d'administration publique en ligne, l'éducation, la santé et la durabilité environnementale, et à effectuer un suivi des incidences, y compris en ce qui concerne les approches circulaires et durables.</w:t>
            </w:r>
          </w:p>
        </w:tc>
        <w:tc>
          <w:tcPr>
            <w:tcW w:w="6379" w:type="dxa"/>
            <w:hideMark/>
          </w:tcPr>
          <w:p w14:paraId="346EF899" w14:textId="784E5711" w:rsidR="006A2E73" w:rsidRPr="00023A6C" w:rsidRDefault="006A2E73" w:rsidP="001F1D95">
            <w:pPr>
              <w:pStyle w:val="Tabletext"/>
              <w:keepLines/>
              <w:spacing w:before="40" w:after="40"/>
              <w:rPr>
                <w:sz w:val="20"/>
                <w:szCs w:val="20"/>
              </w:rPr>
            </w:pPr>
            <w:r w:rsidRPr="00023A6C">
              <w:rPr>
                <w:sz w:val="20"/>
                <w:szCs w:val="20"/>
              </w:rPr>
              <w:t>Actualiser la terminologie et les dispositions concernant les infrastructures publiques numériques et les biens publics numériques; intensifier le renforcement des capacités et le transfert de technologie dans les domaines émergents, y compris l'infrastructure publique numérique et la gouvernance des données; et garantir l'alignement avec les objectifs mondiaux de développement pertinents, selon qu'il conviendra et dans le cadre des mandats actuels.</w:t>
            </w:r>
          </w:p>
        </w:tc>
      </w:tr>
      <w:tr w:rsidR="006A2E73" w:rsidRPr="00023A6C" w14:paraId="764C6B76" w14:textId="77777777" w:rsidTr="001F1D95">
        <w:tc>
          <w:tcPr>
            <w:tcW w:w="1276" w:type="dxa"/>
            <w:hideMark/>
          </w:tcPr>
          <w:p w14:paraId="663E0B25" w14:textId="77777777" w:rsidR="006A2E73" w:rsidRPr="00023A6C" w:rsidRDefault="006A2E73" w:rsidP="001F1D95">
            <w:pPr>
              <w:pStyle w:val="Tabletext"/>
              <w:spacing w:before="40" w:after="40"/>
              <w:rPr>
                <w:sz w:val="20"/>
                <w:szCs w:val="20"/>
              </w:rPr>
            </w:pPr>
            <w:r w:rsidRPr="00023A6C">
              <w:rPr>
                <w:sz w:val="20"/>
                <w:szCs w:val="20"/>
              </w:rPr>
              <w:t>Technologies émergentes</w:t>
            </w:r>
          </w:p>
        </w:tc>
        <w:tc>
          <w:tcPr>
            <w:tcW w:w="1701" w:type="dxa"/>
          </w:tcPr>
          <w:p w14:paraId="753E8ACA" w14:textId="77777777" w:rsidR="006A2E73" w:rsidRPr="00023A6C" w:rsidRDefault="006A2E73" w:rsidP="001F1D95">
            <w:pPr>
              <w:pStyle w:val="Tabletext"/>
              <w:spacing w:before="40" w:after="40"/>
              <w:rPr>
                <w:sz w:val="20"/>
                <w:szCs w:val="20"/>
              </w:rPr>
            </w:pPr>
            <w:r w:rsidRPr="00023A6C">
              <w:rPr>
                <w:sz w:val="20"/>
                <w:szCs w:val="20"/>
              </w:rPr>
              <w:t>Résolutions 1332 et 1334 du Conseil, Résolution 140 (Rév. Bucarest, 2022) de la PP et Résolutions 1305 et 1336 du Conseil et Résolution 102 (Rév. Bucarest, 2022) de la PP</w:t>
            </w:r>
          </w:p>
        </w:tc>
        <w:tc>
          <w:tcPr>
            <w:tcW w:w="1985" w:type="dxa"/>
            <w:hideMark/>
          </w:tcPr>
          <w:p w14:paraId="7B5F6D5A" w14:textId="77777777" w:rsidR="006A2E73" w:rsidRPr="00023A6C" w:rsidRDefault="006A2E73" w:rsidP="001F1D95">
            <w:pPr>
              <w:pStyle w:val="Tabletext"/>
              <w:spacing w:before="40" w:after="40"/>
              <w:rPr>
                <w:sz w:val="20"/>
                <w:szCs w:val="20"/>
              </w:rPr>
            </w:pPr>
            <w:r w:rsidRPr="00023A6C">
              <w:rPr>
                <w:sz w:val="20"/>
                <w:szCs w:val="20"/>
              </w:rPr>
              <w:t>Références limitées</w:t>
            </w:r>
          </w:p>
        </w:tc>
        <w:tc>
          <w:tcPr>
            <w:tcW w:w="2693" w:type="dxa"/>
            <w:hideMark/>
          </w:tcPr>
          <w:p w14:paraId="16F30D35" w14:textId="77777777" w:rsidR="006A2E73" w:rsidRPr="00023A6C" w:rsidRDefault="006A2E73" w:rsidP="001F1D95">
            <w:pPr>
              <w:pStyle w:val="Tabletext"/>
              <w:spacing w:before="40" w:after="40"/>
              <w:rPr>
                <w:sz w:val="20"/>
                <w:szCs w:val="20"/>
              </w:rPr>
            </w:pPr>
            <w:r w:rsidRPr="00023A6C">
              <w:rPr>
                <w:sz w:val="20"/>
                <w:szCs w:val="20"/>
              </w:rPr>
              <w:t>Demandes d'attention accrue à l'IA, la gouvernance des données, la confiance et la sécurité</w:t>
            </w:r>
          </w:p>
        </w:tc>
        <w:tc>
          <w:tcPr>
            <w:tcW w:w="6379" w:type="dxa"/>
            <w:hideMark/>
          </w:tcPr>
          <w:p w14:paraId="054E794F" w14:textId="78878B9B" w:rsidR="006A2E73" w:rsidRPr="00023A6C" w:rsidRDefault="006A2E73" w:rsidP="001F1D95">
            <w:pPr>
              <w:pStyle w:val="Tabletext"/>
              <w:spacing w:before="40" w:after="40"/>
              <w:rPr>
                <w:sz w:val="20"/>
                <w:szCs w:val="20"/>
              </w:rPr>
            </w:pPr>
            <w:r w:rsidRPr="00023A6C">
              <w:rPr>
                <w:sz w:val="20"/>
                <w:szCs w:val="20"/>
              </w:rPr>
              <w:t>Procéder à un alignement avec le document final de l'examen du SMSI+20 pour ce qui est de mettre l'accent en particulier sur l'utilisation et les incidences des technologies émergentes telles que l'IA, à l'appui d'approches inclusives, à dimension humaine et multilatérales, dans le cadre des mandats actuels.</w:t>
            </w:r>
          </w:p>
          <w:p w14:paraId="2E907104" w14:textId="77777777" w:rsidR="006A2E73" w:rsidRPr="00023A6C" w:rsidRDefault="006A2E73" w:rsidP="001F1D95">
            <w:pPr>
              <w:pStyle w:val="Tabletext"/>
              <w:spacing w:before="40" w:after="40"/>
              <w:rPr>
                <w:sz w:val="20"/>
                <w:szCs w:val="20"/>
              </w:rPr>
            </w:pPr>
            <w:r w:rsidRPr="00023A6C">
              <w:rPr>
                <w:sz w:val="20"/>
                <w:szCs w:val="20"/>
              </w:rPr>
              <w:t>En ce qui concerne le mandat du GTC-Internet, la Résolution 1305 du Conseil énumère les questions de politiques publiques à traiter (Annexe 1). Ces questions étant définies en des termes généraux, les demandes d'attention accrue aux divers aspects des technologies émergentes soulevées dans le document final de l'examen du SMSI+20 peuvent être examinées par le GTC</w:t>
            </w:r>
            <w:r w:rsidRPr="00023A6C">
              <w:rPr>
                <w:sz w:val="20"/>
                <w:szCs w:val="20"/>
              </w:rPr>
              <w:noBreakHyphen/>
              <w:t>Internet dans le cadre des catégories définies dans la Résolution, s'il le juge approprié.</w:t>
            </w:r>
          </w:p>
        </w:tc>
      </w:tr>
      <w:tr w:rsidR="006A2E73" w:rsidRPr="00023A6C" w14:paraId="64B7AED9" w14:textId="77777777" w:rsidTr="001F1D95">
        <w:tc>
          <w:tcPr>
            <w:tcW w:w="1276" w:type="dxa"/>
            <w:hideMark/>
          </w:tcPr>
          <w:p w14:paraId="6CC372DE" w14:textId="10C9A5ED" w:rsidR="006A2E73" w:rsidRPr="00023A6C" w:rsidRDefault="006A2E73" w:rsidP="001F1D95">
            <w:pPr>
              <w:pStyle w:val="Tabletext"/>
              <w:keepNext/>
              <w:keepLines/>
              <w:spacing w:before="40" w:after="40"/>
              <w:rPr>
                <w:sz w:val="20"/>
                <w:szCs w:val="20"/>
              </w:rPr>
            </w:pPr>
            <w:r w:rsidRPr="00023A6C">
              <w:rPr>
                <w:sz w:val="20"/>
                <w:szCs w:val="20"/>
              </w:rPr>
              <w:lastRenderedPageBreak/>
              <w:t>Coordination interinstitu</w:t>
            </w:r>
            <w:r w:rsidR="001F1D95" w:rsidRPr="00023A6C">
              <w:rPr>
                <w:sz w:val="20"/>
                <w:szCs w:val="20"/>
              </w:rPr>
              <w:t>-</w:t>
            </w:r>
            <w:r w:rsidRPr="00023A6C">
              <w:rPr>
                <w:sz w:val="20"/>
                <w:szCs w:val="20"/>
              </w:rPr>
              <w:t>tions</w:t>
            </w:r>
          </w:p>
        </w:tc>
        <w:tc>
          <w:tcPr>
            <w:tcW w:w="1701" w:type="dxa"/>
          </w:tcPr>
          <w:p w14:paraId="211AA929" w14:textId="77777777" w:rsidR="006A2E73" w:rsidRPr="00023A6C" w:rsidRDefault="006A2E73" w:rsidP="001F1D95">
            <w:pPr>
              <w:pStyle w:val="Tabletext"/>
              <w:keepNext/>
              <w:keepLines/>
              <w:spacing w:before="40" w:after="40"/>
              <w:rPr>
                <w:sz w:val="20"/>
                <w:szCs w:val="20"/>
              </w:rPr>
            </w:pPr>
            <w:r w:rsidRPr="00023A6C">
              <w:rPr>
                <w:sz w:val="20"/>
                <w:szCs w:val="20"/>
              </w:rPr>
              <w:t>Résolutions 1332 et 1334 du Conseil et Résolution 140 (Rév. Bucarest, 2022) de la PP</w:t>
            </w:r>
          </w:p>
        </w:tc>
        <w:tc>
          <w:tcPr>
            <w:tcW w:w="1985" w:type="dxa"/>
            <w:hideMark/>
          </w:tcPr>
          <w:p w14:paraId="16D83CC6" w14:textId="77777777" w:rsidR="006A2E73" w:rsidRPr="00023A6C" w:rsidRDefault="006A2E73" w:rsidP="001F1D95">
            <w:pPr>
              <w:pStyle w:val="Tabletext"/>
              <w:keepNext/>
              <w:keepLines/>
              <w:spacing w:before="40" w:after="40"/>
              <w:rPr>
                <w:sz w:val="20"/>
                <w:szCs w:val="20"/>
              </w:rPr>
            </w:pPr>
            <w:r w:rsidRPr="00023A6C">
              <w:rPr>
                <w:sz w:val="20"/>
                <w:szCs w:val="20"/>
              </w:rPr>
              <w:t>Formulations générales sur la coopération</w:t>
            </w:r>
          </w:p>
        </w:tc>
        <w:tc>
          <w:tcPr>
            <w:tcW w:w="2693" w:type="dxa"/>
            <w:hideMark/>
          </w:tcPr>
          <w:p w14:paraId="00A03839" w14:textId="5CF75D8E" w:rsidR="006A2E73" w:rsidRPr="00023A6C" w:rsidRDefault="006A2E73" w:rsidP="001F1D95">
            <w:pPr>
              <w:pStyle w:val="Tabletext"/>
              <w:keepNext/>
              <w:keepLines/>
              <w:spacing w:before="40" w:after="40"/>
              <w:rPr>
                <w:sz w:val="20"/>
                <w:szCs w:val="20"/>
              </w:rPr>
            </w:pPr>
            <w:r w:rsidRPr="00023A6C">
              <w:rPr>
                <w:sz w:val="20"/>
                <w:szCs w:val="20"/>
              </w:rPr>
              <w:t>Demandes de renforcement des mécanismes de coordination. Invitation faite à l'UIT, qui assure le secrétariat du Groupe des Nations Unies sur la société de l'information (UNGIS), à constituer en interne, en collaboration avec les entités qui facilitent la mise en œuvre des grandes orientations arrêtées au Sommet mondial et d'autres membres du Groupe et au moyen des ressources existantes, une équipe spéciale chargée d'évaluer les lacunes et les difficultés concernant les mécanismes de financement.</w:t>
            </w:r>
          </w:p>
        </w:tc>
        <w:tc>
          <w:tcPr>
            <w:tcW w:w="6379" w:type="dxa"/>
            <w:hideMark/>
          </w:tcPr>
          <w:p w14:paraId="1D999057" w14:textId="719DE6F6" w:rsidR="006A2E73" w:rsidRPr="00023A6C" w:rsidRDefault="006A2E73" w:rsidP="001F1D95">
            <w:pPr>
              <w:pStyle w:val="Tabletext"/>
              <w:keepNext/>
              <w:keepLines/>
              <w:widowControl w:val="0"/>
              <w:spacing w:before="40" w:after="40"/>
              <w:rPr>
                <w:sz w:val="20"/>
                <w:szCs w:val="20"/>
              </w:rPr>
            </w:pPr>
            <w:r w:rsidRPr="00023A6C">
              <w:rPr>
                <w:sz w:val="20"/>
                <w:szCs w:val="20"/>
              </w:rPr>
              <w:t>Renforcer les dispositions relatives au rôle de l'UIT dans sa fonction de secrétariat du Groupe UNGIS et au sein de ce Groupe en tant que mécanisme interinstitutions du système des Nations Unies chargé d'assurer la cohérence des politiques et la coordination des programmes dans le domaine numérique, y compris concernant le renforcement de la souplesse de l'efficacité et de l'efficience du Groupe et une plus large participation des entités des Nations Unies à ses travaux.</w:t>
            </w:r>
          </w:p>
          <w:p w14:paraId="274324D6" w14:textId="7D36D212" w:rsidR="006A2E73" w:rsidRPr="00023A6C" w:rsidRDefault="006A2E73" w:rsidP="001F1D95">
            <w:pPr>
              <w:pStyle w:val="Tabletext"/>
              <w:keepNext/>
              <w:keepLines/>
              <w:spacing w:before="40" w:after="40"/>
              <w:rPr>
                <w:sz w:val="20"/>
                <w:szCs w:val="20"/>
              </w:rPr>
            </w:pPr>
            <w:r w:rsidRPr="00023A6C">
              <w:rPr>
                <w:sz w:val="20"/>
                <w:szCs w:val="20"/>
              </w:rPr>
              <w:t>Rendre compte du rôle du Groupe UNGIS dans la promotion du dialogue entre parties prenantes, la mise en place de partenariats et l'examen des progrès accomplis en matière de coopération numérique, tout en favorisant la cohérence avec les processus des Nations Unies connexes et en évitant les chevauchements d</w:t>
            </w:r>
            <w:r w:rsidR="00D52C5F" w:rsidRPr="00023A6C">
              <w:rPr>
                <w:sz w:val="20"/>
                <w:szCs w:val="20"/>
              </w:rPr>
              <w:t>'</w:t>
            </w:r>
            <w:r w:rsidRPr="00023A6C">
              <w:rPr>
                <w:sz w:val="20"/>
                <w:szCs w:val="20"/>
              </w:rPr>
              <w:t>activités</w:t>
            </w:r>
            <w:r w:rsidR="0046716B" w:rsidRPr="00023A6C">
              <w:rPr>
                <w:sz w:val="20"/>
                <w:szCs w:val="20"/>
              </w:rPr>
              <w:t>, notamment moyennant la création du Groupe de consultation multi-parties prenantes du Groupe UNGIS (UNGIS</w:t>
            </w:r>
            <w:r w:rsidR="00361FB1" w:rsidRPr="00023A6C">
              <w:rPr>
                <w:sz w:val="20"/>
                <w:szCs w:val="20"/>
              </w:rPr>
              <w:noBreakHyphen/>
            </w:r>
            <w:r w:rsidR="0046716B" w:rsidRPr="00023A6C">
              <w:rPr>
                <w:sz w:val="20"/>
                <w:szCs w:val="20"/>
              </w:rPr>
              <w:t>MCG)</w:t>
            </w:r>
            <w:r w:rsidRPr="00023A6C">
              <w:rPr>
                <w:sz w:val="20"/>
                <w:szCs w:val="20"/>
              </w:rPr>
              <w:t>.</w:t>
            </w:r>
          </w:p>
          <w:p w14:paraId="55E8F2CE" w14:textId="50507D13" w:rsidR="006A2E73" w:rsidRPr="00023A6C" w:rsidRDefault="006A2E73" w:rsidP="001F1D95">
            <w:pPr>
              <w:pStyle w:val="Tabletext"/>
              <w:keepNext/>
              <w:keepLines/>
              <w:spacing w:before="40" w:after="40"/>
              <w:rPr>
                <w:sz w:val="20"/>
                <w:szCs w:val="20"/>
              </w:rPr>
            </w:pPr>
            <w:r w:rsidRPr="00023A6C">
              <w:rPr>
                <w:sz w:val="20"/>
                <w:szCs w:val="20"/>
              </w:rPr>
              <w:t>Tenir compte de l'équipe spéciale du Groupe UNGIS sur le renforcement des mécanismes de financement du développement numérique, y compris l'évaluation des lacunes et des difficultés, l'élaboration de recommandations concrètes, l'examen rigoureux des engagements financiers et la présentation d'un rapport à la Commission de la science et de la technique en 2027, dans les limites des mandats et des ressources actuels.</w:t>
            </w:r>
          </w:p>
        </w:tc>
      </w:tr>
      <w:tr w:rsidR="006A2E73" w:rsidRPr="00023A6C" w14:paraId="023DA3E6" w14:textId="77777777" w:rsidTr="001F1D95">
        <w:trPr>
          <w:trHeight w:val="300"/>
        </w:trPr>
        <w:tc>
          <w:tcPr>
            <w:tcW w:w="1276" w:type="dxa"/>
            <w:hideMark/>
          </w:tcPr>
          <w:p w14:paraId="75BBB377" w14:textId="797275CF" w:rsidR="006A2E73" w:rsidRPr="00023A6C" w:rsidRDefault="006A2E73" w:rsidP="001F1D95">
            <w:pPr>
              <w:pStyle w:val="Tabletext"/>
              <w:spacing w:before="40" w:after="40"/>
              <w:rPr>
                <w:sz w:val="20"/>
                <w:szCs w:val="20"/>
              </w:rPr>
            </w:pPr>
            <w:r w:rsidRPr="00023A6C">
              <w:rPr>
                <w:sz w:val="20"/>
                <w:szCs w:val="20"/>
              </w:rPr>
              <w:t>Renforce</w:t>
            </w:r>
            <w:r w:rsidR="001F1D95" w:rsidRPr="00023A6C">
              <w:rPr>
                <w:sz w:val="20"/>
                <w:szCs w:val="20"/>
              </w:rPr>
              <w:t>-</w:t>
            </w:r>
            <w:r w:rsidRPr="00023A6C">
              <w:rPr>
                <w:sz w:val="20"/>
                <w:szCs w:val="20"/>
              </w:rPr>
              <w:t>ment de la gouvernance numérique mondiale et de la coopération multi</w:t>
            </w:r>
            <w:r w:rsidRPr="00023A6C">
              <w:rPr>
                <w:sz w:val="20"/>
                <w:szCs w:val="20"/>
              </w:rPr>
              <w:noBreakHyphen/>
              <w:t>parties prenantes</w:t>
            </w:r>
          </w:p>
        </w:tc>
        <w:tc>
          <w:tcPr>
            <w:tcW w:w="1701" w:type="dxa"/>
          </w:tcPr>
          <w:p w14:paraId="3CE0C701" w14:textId="77777777" w:rsidR="006A2E73" w:rsidRPr="00023A6C" w:rsidRDefault="006A2E73" w:rsidP="001F1D95">
            <w:pPr>
              <w:pStyle w:val="Tabletext"/>
              <w:spacing w:before="40" w:after="40"/>
              <w:rPr>
                <w:sz w:val="20"/>
                <w:szCs w:val="20"/>
              </w:rPr>
            </w:pPr>
            <w:r w:rsidRPr="00023A6C">
              <w:rPr>
                <w:sz w:val="20"/>
                <w:szCs w:val="20"/>
              </w:rPr>
              <w:t>Résolutions 1332 et 1334 du Conseil et Résolution 140 (Rév. Bucarest, 2022) de la PP</w:t>
            </w:r>
          </w:p>
        </w:tc>
        <w:tc>
          <w:tcPr>
            <w:tcW w:w="1985" w:type="dxa"/>
            <w:hideMark/>
          </w:tcPr>
          <w:p w14:paraId="163F4510" w14:textId="77777777" w:rsidR="006A2E73" w:rsidRPr="00023A6C" w:rsidRDefault="006A2E73" w:rsidP="001F1D95">
            <w:pPr>
              <w:pStyle w:val="Tabletext"/>
              <w:spacing w:before="40" w:after="40"/>
              <w:rPr>
                <w:sz w:val="20"/>
                <w:szCs w:val="20"/>
              </w:rPr>
            </w:pPr>
            <w:r w:rsidRPr="00023A6C">
              <w:rPr>
                <w:sz w:val="20"/>
                <w:szCs w:val="20"/>
              </w:rPr>
              <w:t>Le texte existant fait état d'approches multi</w:t>
            </w:r>
            <w:r w:rsidRPr="00023A6C">
              <w:rPr>
                <w:sz w:val="20"/>
                <w:szCs w:val="20"/>
              </w:rPr>
              <w:noBreakHyphen/>
              <w:t>parties prenantes mais ne tient pas compte des évolutions récentes.</w:t>
            </w:r>
          </w:p>
        </w:tc>
        <w:tc>
          <w:tcPr>
            <w:tcW w:w="2693" w:type="dxa"/>
            <w:hideMark/>
          </w:tcPr>
          <w:p w14:paraId="1449262C" w14:textId="77777777" w:rsidR="006A2E73" w:rsidRPr="00023A6C" w:rsidRDefault="006A2E73" w:rsidP="001F1D95">
            <w:pPr>
              <w:pStyle w:val="Tabletext"/>
              <w:spacing w:before="40" w:after="40"/>
              <w:rPr>
                <w:sz w:val="20"/>
                <w:szCs w:val="20"/>
              </w:rPr>
            </w:pPr>
            <w:r w:rsidRPr="00023A6C">
              <w:rPr>
                <w:sz w:val="20"/>
                <w:szCs w:val="20"/>
              </w:rPr>
              <w:t>Favorise la cohérence avec les processus du Pacte numérique mondial pour éviter les doubles emplois. Confie à l'UIT les fonctions de Secrétariat du Groupe des Nations Unies sur la société de l'information.</w:t>
            </w:r>
          </w:p>
        </w:tc>
        <w:tc>
          <w:tcPr>
            <w:tcW w:w="6379" w:type="dxa"/>
            <w:hideMark/>
          </w:tcPr>
          <w:p w14:paraId="554A11AB" w14:textId="7653D6B7" w:rsidR="006A2E73" w:rsidRPr="00023A6C" w:rsidRDefault="006A2E73" w:rsidP="001F1D95">
            <w:pPr>
              <w:pStyle w:val="Tabletext"/>
              <w:spacing w:before="40" w:after="40"/>
              <w:rPr>
                <w:sz w:val="20"/>
                <w:szCs w:val="20"/>
              </w:rPr>
            </w:pPr>
            <w:r w:rsidRPr="00023A6C">
              <w:rPr>
                <w:sz w:val="20"/>
                <w:szCs w:val="20"/>
              </w:rPr>
              <w:t>Mettre à jour ces Résolution pour montrer la contribution et le leadership forts de l'UIT en matière de gouvernance numérique mondiale, la cohérence à assurer entre le suivi du Pacte numérique mondial et le processus du SMSI, sans faire double emploi avec les mécanismes existants, et continuer à renforcer la participation des délégués de New York et de la communauté.</w:t>
            </w:r>
          </w:p>
          <w:p w14:paraId="1594A2FE" w14:textId="231C9E3D" w:rsidR="006A2E73" w:rsidRPr="00023A6C" w:rsidRDefault="006A2E73" w:rsidP="001F1D95">
            <w:pPr>
              <w:pStyle w:val="Tabletext"/>
              <w:spacing w:before="40" w:after="40"/>
              <w:rPr>
                <w:sz w:val="20"/>
                <w:szCs w:val="20"/>
              </w:rPr>
            </w:pPr>
            <w:r w:rsidRPr="00023A6C">
              <w:rPr>
                <w:sz w:val="20"/>
                <w:szCs w:val="20"/>
              </w:rPr>
              <w:t>Renforcer la coopération internationale et le dialogue multi-parties prenantes, y compris, selon qu'il conviendra, la mise en œuvre et le dialogue avec les organisations régionales, tout en favorisant la cohérence avec les processus mondiaux connexes dans le domaine du numérique et en évitant les chevauchements d'activités, dans le cadre des mandats actuels.</w:t>
            </w:r>
          </w:p>
        </w:tc>
      </w:tr>
    </w:tbl>
    <w:p w14:paraId="48D04E28" w14:textId="77777777" w:rsidR="006A2E73" w:rsidRPr="00023A6C" w:rsidRDefault="006A2E73" w:rsidP="00646671">
      <w:pPr>
        <w:sectPr w:rsidR="006A2E73" w:rsidRPr="00023A6C" w:rsidSect="006A2E73">
          <w:headerReference w:type="first" r:id="rId30"/>
          <w:footerReference w:type="first" r:id="rId31"/>
          <w:pgSz w:w="16834" w:h="11913" w:orient="landscape"/>
          <w:pgMar w:top="1134" w:right="1418" w:bottom="1134" w:left="1418" w:header="720" w:footer="720" w:gutter="0"/>
          <w:paperSrc w:first="15" w:other="15"/>
          <w:cols w:space="720"/>
          <w:titlePg/>
          <w:docGrid w:linePitch="326"/>
        </w:sectPr>
      </w:pPr>
    </w:p>
    <w:p w14:paraId="498DE7D4" w14:textId="77777777" w:rsidR="006A2E73" w:rsidRPr="00023A6C" w:rsidRDefault="006A2E73" w:rsidP="006A2E73">
      <w:pPr>
        <w:rPr>
          <w:rFonts w:eastAsia="Calibri"/>
        </w:rPr>
      </w:pPr>
      <w:r w:rsidRPr="00023A6C">
        <w:lastRenderedPageBreak/>
        <w:t>4.1.1</w:t>
      </w:r>
      <w:r w:rsidRPr="00023A6C">
        <w:tab/>
        <w:t>L'examen du SMSI+20 n'ayant pas abouti à la définition de nouvelles missions, les lacunes mises en évidence ont trait à un besoin de précision et de clarté, et non à l'élargissement du rôle de l'UIT.</w:t>
      </w:r>
    </w:p>
    <w:p w14:paraId="640390E5" w14:textId="77777777" w:rsidR="006A2E73" w:rsidRPr="00023A6C" w:rsidRDefault="006A2E73" w:rsidP="00383A8E">
      <w:pPr>
        <w:pStyle w:val="Heading2"/>
        <w:rPr>
          <w:rFonts w:eastAsia="Calibri"/>
        </w:rPr>
      </w:pPr>
      <w:r w:rsidRPr="00023A6C">
        <w:t>4.2</w:t>
      </w:r>
      <w:r w:rsidRPr="00023A6C">
        <w:tab/>
        <w:t>Reconnaissance des travaux en cours à l'UIT</w:t>
      </w:r>
    </w:p>
    <w:p w14:paraId="77DA9C12" w14:textId="47FFF008" w:rsidR="006A2E73" w:rsidRPr="00023A6C" w:rsidRDefault="006A2E73" w:rsidP="006A2E73">
      <w:pPr>
        <w:rPr>
          <w:rFonts w:eastAsia="Calibri"/>
        </w:rPr>
      </w:pPr>
      <w:r w:rsidRPr="00023A6C">
        <w:t>4.2.1</w:t>
      </w:r>
      <w:r w:rsidRPr="00023A6C">
        <w:tab/>
        <w:t>Dans sa Résolution, l'Assemblée générale des Nations Unies salue le rôle de premier plan que l'UIT continue de jouer dans la mise en œuvre des résultats du SMSI, y compris son rôle dans la coordination des grandes orientations du SMSI, dans l'organisation du Forum du SMSI, dans la tenue de l'inventaire des activités menées au titre du SMSI, dans la promotion du dialogue multi</w:t>
      </w:r>
      <w:r w:rsidRPr="00023A6C">
        <w:noBreakHyphen/>
        <w:t>parties prenantes, en tant qu'entité assurant le secrétariat du Groupe UNGIS et sa présidence et vice-présidence tournante et en tant que membre de la Commission de direction du Partenariat sur la mesure des TIC au service du développement, réaffirmant ainsi le rôle central de l</w:t>
      </w:r>
      <w:r w:rsidR="00B516B2" w:rsidRPr="00023A6C">
        <w:t>'</w:t>
      </w:r>
      <w:r w:rsidRPr="00023A6C">
        <w:t>UIT dans la mise en œuvre des résultats du SMSI.</w:t>
      </w:r>
    </w:p>
    <w:p w14:paraId="18A25A8C" w14:textId="77777777" w:rsidR="006A2E73" w:rsidRPr="00023A6C" w:rsidRDefault="006A2E73" w:rsidP="006A2E73">
      <w:pPr>
        <w:rPr>
          <w:rFonts w:eastAsia="Calibri"/>
        </w:rPr>
      </w:pPr>
      <w:r w:rsidRPr="00023A6C">
        <w:t>4.2.2</w:t>
      </w:r>
      <w:r w:rsidRPr="00023A6C">
        <w:tab/>
        <w:t>Cette reconnaissance confirme que les activités actuellement menées à l'UIT répondent aux attentes mondiales et constitue une base solide pour mettre à jour les Résolutions sans en altérer fondamentalement le champ d'application. Les mises à jour requises sont donc des améliorations et non des modifications structurelles</w:t>
      </w:r>
    </w:p>
    <w:p w14:paraId="27787804" w14:textId="19BFF085" w:rsidR="006A2E73" w:rsidRPr="00023A6C" w:rsidRDefault="006A2E73" w:rsidP="006A2E73">
      <w:pPr>
        <w:rPr>
          <w:rFonts w:eastAsia="Calibri"/>
        </w:rPr>
      </w:pPr>
      <w:r w:rsidRPr="00023A6C">
        <w:t>4.2.3</w:t>
      </w:r>
      <w:r w:rsidRPr="00023A6C">
        <w:tab/>
        <w:t>Pour une présentation détaillée des résultats du SMSI+20 et des mandats qui en découlent pour l</w:t>
      </w:r>
      <w:r w:rsidR="00B516B2" w:rsidRPr="00023A6C">
        <w:t>'</w:t>
      </w:r>
      <w:r w:rsidRPr="00023A6C">
        <w:t xml:space="preserve">UIT, veuillez consulter le Document </w:t>
      </w:r>
      <w:hyperlink r:id="rId32" w:history="1">
        <w:r w:rsidR="0046716B" w:rsidRPr="00023A6C">
          <w:rPr>
            <w:rStyle w:val="Hyperlink"/>
          </w:rPr>
          <w:t>PP-26/57</w:t>
        </w:r>
      </w:hyperlink>
      <w:r w:rsidR="0046716B" w:rsidRPr="00023A6C">
        <w:t xml:space="preserve"> </w:t>
      </w:r>
      <w:r w:rsidRPr="00023A6C">
        <w:t xml:space="preserve">– </w:t>
      </w:r>
      <w:r w:rsidRPr="00023A6C">
        <w:rPr>
          <w:i/>
          <w:iCs/>
        </w:rPr>
        <w:t>Rapport de la Secrétaire générale sur l'examen d'ensemble de la mise en œuvre des textes issus du Sommet mondial sur la société de l'information mené par l</w:t>
      </w:r>
      <w:r w:rsidR="00B516B2" w:rsidRPr="00023A6C">
        <w:rPr>
          <w:i/>
          <w:iCs/>
        </w:rPr>
        <w:t>'</w:t>
      </w:r>
      <w:r w:rsidRPr="00023A6C">
        <w:rPr>
          <w:i/>
          <w:iCs/>
        </w:rPr>
        <w:t>Assemblée générale des Nations Unies</w:t>
      </w:r>
      <w:r w:rsidRPr="00023A6C">
        <w:t>.</w:t>
      </w:r>
    </w:p>
    <w:p w14:paraId="53A0EC0C" w14:textId="77777777" w:rsidR="006A2E73" w:rsidRPr="00023A6C" w:rsidRDefault="006A2E73" w:rsidP="00383A8E">
      <w:pPr>
        <w:pStyle w:val="Heading2"/>
        <w:rPr>
          <w:rFonts w:eastAsia="Calibri"/>
        </w:rPr>
      </w:pPr>
      <w:r w:rsidRPr="00023A6C">
        <w:t>4.3</w:t>
      </w:r>
      <w:r w:rsidRPr="00023A6C">
        <w:tab/>
        <w:t>Cohérence entre la Résolution 140 de la Conférence de plénipotentiaires et les Résolutions du Conseil</w:t>
      </w:r>
    </w:p>
    <w:p w14:paraId="5F8C63D8" w14:textId="77777777" w:rsidR="006A2E73" w:rsidRPr="00023A6C" w:rsidRDefault="006A2E73" w:rsidP="006A2E73">
      <w:pPr>
        <w:rPr>
          <w:rFonts w:eastAsia="Calibri"/>
        </w:rPr>
      </w:pPr>
      <w:r w:rsidRPr="00023A6C">
        <w:t>4.3.1</w:t>
      </w:r>
      <w:r w:rsidRPr="00023A6C">
        <w:tab/>
        <w:t>La Résolution 140 de la Conférence de plénipotentiaires définit le mandat global de l'UIT dans le suivi du SMSI, tandis que les Résolutions 1332 et 1334 du Conseil traduisent ce mandat sur le plan opérationnel.</w:t>
      </w:r>
    </w:p>
    <w:p w14:paraId="27DF4D5B" w14:textId="77777777" w:rsidR="006A2E73" w:rsidRPr="00023A6C" w:rsidRDefault="006A2E73" w:rsidP="006A2E73">
      <w:pPr>
        <w:rPr>
          <w:rFonts w:eastAsia="Calibri"/>
        </w:rPr>
      </w:pPr>
      <w:r w:rsidRPr="00023A6C">
        <w:t>4.3.2</w:t>
      </w:r>
      <w:r w:rsidRPr="00023A6C">
        <w:tab/>
        <w:t>Les résultats de l'examen du SMSI+20 font apparaître une terminologie et des priorités concernant la mise en œuvre qui ne figurent pas encore pleinement dans la version actuelle des Résolutions.</w:t>
      </w:r>
    </w:p>
    <w:p w14:paraId="3CA76783" w14:textId="0E34C0D5" w:rsidR="006A2E73" w:rsidRPr="00023A6C" w:rsidRDefault="006A2E73" w:rsidP="006A2E73">
      <w:pPr>
        <w:rPr>
          <w:rFonts w:eastAsia="Calibri"/>
        </w:rPr>
      </w:pPr>
      <w:r w:rsidRPr="00023A6C">
        <w:t>4.3.3</w:t>
      </w:r>
      <w:r w:rsidRPr="00023A6C">
        <w:tab/>
        <w:t xml:space="preserve"> Le Conseil a pris note de l'analyse des lacunes reproduite dans le Document </w:t>
      </w:r>
      <w:hyperlink r:id="rId33" w:history="1">
        <w:r w:rsidRPr="00023A6C">
          <w:rPr>
            <w:rStyle w:val="Hyperlink"/>
          </w:rPr>
          <w:t>C26/60</w:t>
        </w:r>
      </w:hyperlink>
      <w:r w:rsidRPr="00023A6C">
        <w:t xml:space="preserve"> et de la contribution figurant dans le Document </w:t>
      </w:r>
      <w:hyperlink r:id="rId34" w:history="1">
        <w:r w:rsidRPr="00023A6C">
          <w:rPr>
            <w:rStyle w:val="Hyperlink"/>
          </w:rPr>
          <w:t>C26/93</w:t>
        </w:r>
      </w:hyperlink>
      <w:r w:rsidRPr="00023A6C">
        <w:t xml:space="preserve"> et a chargé la Secrétaire générale de mettre à jour l'analyse des lacunes dans le Document C26/60, à la lumière des discussions, en vue de la soumettre à la PP-26. En conséquence, le présent document contient l</w:t>
      </w:r>
      <w:r w:rsidR="00D52C5F" w:rsidRPr="00023A6C">
        <w:t>'</w:t>
      </w:r>
      <w:r w:rsidRPr="00023A6C">
        <w:t>analyse des lacunes mise à jour soumise pour examen à la PP-26.</w:t>
      </w:r>
    </w:p>
    <w:p w14:paraId="7D3AE30E" w14:textId="7626A504" w:rsidR="006A2E73" w:rsidRPr="00023A6C" w:rsidRDefault="006A2E73" w:rsidP="006A2E73">
      <w:pPr>
        <w:rPr>
          <w:rFonts w:eastAsia="Calibri"/>
        </w:rPr>
      </w:pPr>
      <w:r w:rsidRPr="00023A6C">
        <w:t>4.3.4</w:t>
      </w:r>
      <w:r w:rsidRPr="00023A6C">
        <w:tab/>
        <w:t>Les éventuelles modifications à apporter aux Résolutions de la Conférence de plénipotentiaires dont il est question dans le présent document seront examinées par la PP-26, à la suite de quoi les modifications correspondantes à apporter aux Résolutions du Conseil pertinentes pourront être examinées par le Conseil à sa session de 2027, selon qu</w:t>
      </w:r>
      <w:r w:rsidR="00D52C5F" w:rsidRPr="00023A6C">
        <w:t>'</w:t>
      </w:r>
      <w:r w:rsidRPr="00023A6C">
        <w:t>il conviendra.</w:t>
      </w:r>
    </w:p>
    <w:p w14:paraId="4A08E03F" w14:textId="21F97072" w:rsidR="00646671" w:rsidRPr="00023A6C" w:rsidRDefault="006A2E73" w:rsidP="006A2E73">
      <w:pPr>
        <w:jc w:val="center"/>
      </w:pPr>
      <w:r w:rsidRPr="00023A6C">
        <w:t>______________</w:t>
      </w:r>
    </w:p>
    <w:sectPr w:rsidR="00646671" w:rsidRPr="00023A6C" w:rsidSect="006A2E73">
      <w:pgSz w:w="11913" w:h="16834"/>
      <w:pgMar w:top="1418" w:right="1134" w:bottom="1418" w:left="1134" w:header="720" w:footer="720" w:gutter="0"/>
      <w:paperSrc w:first="15" w:other="15"/>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52B18" w14:textId="77777777" w:rsidR="00D850E0" w:rsidRDefault="00D850E0">
      <w:r>
        <w:separator/>
      </w:r>
    </w:p>
  </w:endnote>
  <w:endnote w:type="continuationSeparator" w:id="0">
    <w:p w14:paraId="75858353" w14:textId="77777777" w:rsidR="00D850E0" w:rsidRDefault="00D85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40E7E3DE" w:rsidR="000C467B" w:rsidRPr="00EC1877" w:rsidRDefault="001F1D95"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Pr="00371863">
        <w:rPr>
          <w:rStyle w:val="Hyperlink"/>
          <w:color w:val="00A3E0"/>
          <w:sz w:val="22"/>
          <w:szCs w:val="22"/>
          <w:lang w:val="en-GB"/>
        </w:rPr>
        <w:t>www.itu.int</w:t>
      </w:r>
      <w:proofErr w:type="spellEnd"/>
      <w:r w:rsidRPr="00371863">
        <w:rPr>
          <w:rStyle w:val="Hyperlink"/>
          <w:color w:val="00A3E0"/>
          <w:sz w:val="22"/>
          <w:szCs w:val="22"/>
          <w:lang w:val="en-GB"/>
        </w:rPr>
        <w:t>/plenipotentiary/</w:t>
      </w:r>
    </w:hyperlink>
    <w:r w:rsidRPr="007575CC">
      <w:rPr>
        <w:color w:val="0000FF"/>
        <w:sz w:val="22"/>
        <w:szCs w:val="22"/>
        <w:u w:val="single"/>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124AE" w14:textId="0729A8BC" w:rsidR="001F1D95" w:rsidRPr="001F1D95" w:rsidRDefault="001F1D95" w:rsidP="001F1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8B7B8" w14:textId="77777777" w:rsidR="00D850E0" w:rsidRDefault="00D850E0">
      <w:r>
        <w:t>____________________</w:t>
      </w:r>
    </w:p>
  </w:footnote>
  <w:footnote w:type="continuationSeparator" w:id="0">
    <w:p w14:paraId="58BE50B0" w14:textId="77777777" w:rsidR="00D850E0" w:rsidRDefault="00D85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7664F38F" w:rsidR="00BD1614" w:rsidRDefault="00BD1614" w:rsidP="006A2E73">
    <w:pPr>
      <w:pStyle w:val="Header"/>
      <w:spacing w:after="120"/>
    </w:pPr>
    <w:proofErr w:type="spellStart"/>
    <w:r>
      <w:t>PP</w:t>
    </w:r>
    <w:r w:rsidR="002A7A1D">
      <w:t>2</w:t>
    </w:r>
    <w:r w:rsidR="008407A7">
      <w:t>6</w:t>
    </w:r>
    <w:proofErr w:type="spellEnd"/>
    <w:r>
      <w:t>/</w:t>
    </w:r>
    <w:r w:rsidR="00646671">
      <w:t>48</w:t>
    </w:r>
    <w:r w:rsidR="00801154">
      <w:t>-F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F8FF" w14:textId="77777777" w:rsidR="001F1D95" w:rsidRDefault="001F1D95" w:rsidP="001F1D95">
    <w:pPr>
      <w:pStyle w:val="Header"/>
    </w:pPr>
    <w:r>
      <w:fldChar w:fldCharType="begin"/>
    </w:r>
    <w:r>
      <w:instrText xml:space="preserve"> PAGE </w:instrText>
    </w:r>
    <w:r>
      <w:fldChar w:fldCharType="separate"/>
    </w:r>
    <w:r>
      <w:t>7</w:t>
    </w:r>
    <w:r>
      <w:fldChar w:fldCharType="end"/>
    </w:r>
  </w:p>
  <w:p w14:paraId="34870C20" w14:textId="73A53283" w:rsidR="001F1D95" w:rsidRDefault="001F1D95" w:rsidP="001F1D95">
    <w:pPr>
      <w:pStyle w:val="Header"/>
    </w:pPr>
    <w:proofErr w:type="spellStart"/>
    <w:r>
      <w:t>PP26</w:t>
    </w:r>
    <w:proofErr w:type="spellEnd"/>
    <w:r>
      <w:t>/48-F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0C02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005F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E8F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2880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BE70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6C9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829C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242E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E0492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7845C6"/>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3A6C"/>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1D95"/>
    <w:rsid w:val="001F6233"/>
    <w:rsid w:val="002355CD"/>
    <w:rsid w:val="00270B2F"/>
    <w:rsid w:val="002712F9"/>
    <w:rsid w:val="002A0E1B"/>
    <w:rsid w:val="002A7A1D"/>
    <w:rsid w:val="002C1059"/>
    <w:rsid w:val="002C2F9C"/>
    <w:rsid w:val="002E1AF7"/>
    <w:rsid w:val="00322DEA"/>
    <w:rsid w:val="00355FBD"/>
    <w:rsid w:val="00361FB1"/>
    <w:rsid w:val="00371863"/>
    <w:rsid w:val="00381461"/>
    <w:rsid w:val="00383A8E"/>
    <w:rsid w:val="00391C12"/>
    <w:rsid w:val="003A0B7D"/>
    <w:rsid w:val="003A45C2"/>
    <w:rsid w:val="003B7A11"/>
    <w:rsid w:val="003C4BE2"/>
    <w:rsid w:val="003D147D"/>
    <w:rsid w:val="003D637A"/>
    <w:rsid w:val="00413CB9"/>
    <w:rsid w:val="00430015"/>
    <w:rsid w:val="0046716B"/>
    <w:rsid w:val="004678D0"/>
    <w:rsid w:val="00482954"/>
    <w:rsid w:val="004951C0"/>
    <w:rsid w:val="004C27FA"/>
    <w:rsid w:val="004C7646"/>
    <w:rsid w:val="004E6D19"/>
    <w:rsid w:val="004E736C"/>
    <w:rsid w:val="00502E6C"/>
    <w:rsid w:val="00524001"/>
    <w:rsid w:val="00563698"/>
    <w:rsid w:val="00564B63"/>
    <w:rsid w:val="00575DC7"/>
    <w:rsid w:val="005836C2"/>
    <w:rsid w:val="005A4EFD"/>
    <w:rsid w:val="005A5ABE"/>
    <w:rsid w:val="005C2ECC"/>
    <w:rsid w:val="005C6744"/>
    <w:rsid w:val="005E419E"/>
    <w:rsid w:val="005F63BD"/>
    <w:rsid w:val="00611CF1"/>
    <w:rsid w:val="006201D9"/>
    <w:rsid w:val="006277DB"/>
    <w:rsid w:val="00635B7B"/>
    <w:rsid w:val="006369A4"/>
    <w:rsid w:val="00646671"/>
    <w:rsid w:val="00655B98"/>
    <w:rsid w:val="006710E6"/>
    <w:rsid w:val="00686973"/>
    <w:rsid w:val="00696B2D"/>
    <w:rsid w:val="006A2656"/>
    <w:rsid w:val="006A2E73"/>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D21FB"/>
    <w:rsid w:val="00801154"/>
    <w:rsid w:val="00801256"/>
    <w:rsid w:val="008264FC"/>
    <w:rsid w:val="008407A7"/>
    <w:rsid w:val="008703CB"/>
    <w:rsid w:val="0089259A"/>
    <w:rsid w:val="008B61AF"/>
    <w:rsid w:val="008C33C2"/>
    <w:rsid w:val="008C6137"/>
    <w:rsid w:val="008E2DB4"/>
    <w:rsid w:val="008F075C"/>
    <w:rsid w:val="00901DD5"/>
    <w:rsid w:val="00901E77"/>
    <w:rsid w:val="0090735B"/>
    <w:rsid w:val="00912D5E"/>
    <w:rsid w:val="00926735"/>
    <w:rsid w:val="00934340"/>
    <w:rsid w:val="00956DC7"/>
    <w:rsid w:val="00966CD3"/>
    <w:rsid w:val="00975C1E"/>
    <w:rsid w:val="00987A20"/>
    <w:rsid w:val="009A0E15"/>
    <w:rsid w:val="009A55E5"/>
    <w:rsid w:val="009A56BE"/>
    <w:rsid w:val="009D4037"/>
    <w:rsid w:val="009F0592"/>
    <w:rsid w:val="00A073C1"/>
    <w:rsid w:val="00A15CE9"/>
    <w:rsid w:val="00A20E72"/>
    <w:rsid w:val="00A246DC"/>
    <w:rsid w:val="00A47BAF"/>
    <w:rsid w:val="00A542D3"/>
    <w:rsid w:val="00A5784F"/>
    <w:rsid w:val="00A8436E"/>
    <w:rsid w:val="00A95B66"/>
    <w:rsid w:val="00AB190D"/>
    <w:rsid w:val="00AE0667"/>
    <w:rsid w:val="00B23CD4"/>
    <w:rsid w:val="00B41E0A"/>
    <w:rsid w:val="00B516B2"/>
    <w:rsid w:val="00B56DE0"/>
    <w:rsid w:val="00B71F12"/>
    <w:rsid w:val="00B76FEC"/>
    <w:rsid w:val="00B96B1E"/>
    <w:rsid w:val="00BB2A6F"/>
    <w:rsid w:val="00BD1614"/>
    <w:rsid w:val="00BD382C"/>
    <w:rsid w:val="00BD5C12"/>
    <w:rsid w:val="00BD5DA6"/>
    <w:rsid w:val="00BE7226"/>
    <w:rsid w:val="00BF7D25"/>
    <w:rsid w:val="00C010C0"/>
    <w:rsid w:val="00C0405F"/>
    <w:rsid w:val="00C40CB5"/>
    <w:rsid w:val="00C54CE6"/>
    <w:rsid w:val="00C575E2"/>
    <w:rsid w:val="00C7368B"/>
    <w:rsid w:val="00C92746"/>
    <w:rsid w:val="00CC4DC5"/>
    <w:rsid w:val="00CE1A7C"/>
    <w:rsid w:val="00CE496F"/>
    <w:rsid w:val="00CF3FB6"/>
    <w:rsid w:val="00D0464B"/>
    <w:rsid w:val="00D12C74"/>
    <w:rsid w:val="00D2263F"/>
    <w:rsid w:val="00D42FB8"/>
    <w:rsid w:val="00D52C5F"/>
    <w:rsid w:val="00D56483"/>
    <w:rsid w:val="00D5658F"/>
    <w:rsid w:val="00D56AD6"/>
    <w:rsid w:val="00D70019"/>
    <w:rsid w:val="00D74B58"/>
    <w:rsid w:val="00D82ABE"/>
    <w:rsid w:val="00D850E0"/>
    <w:rsid w:val="00DA4ABA"/>
    <w:rsid w:val="00DA685B"/>
    <w:rsid w:val="00DA742B"/>
    <w:rsid w:val="00DB4F28"/>
    <w:rsid w:val="00DF25C1"/>
    <w:rsid w:val="00DF48F7"/>
    <w:rsid w:val="00DF4964"/>
    <w:rsid w:val="00DF4D73"/>
    <w:rsid w:val="00DF79B0"/>
    <w:rsid w:val="00E07030"/>
    <w:rsid w:val="00E1047D"/>
    <w:rsid w:val="00E3196E"/>
    <w:rsid w:val="00E4050B"/>
    <w:rsid w:val="00E443FA"/>
    <w:rsid w:val="00E54FCE"/>
    <w:rsid w:val="00E60DA1"/>
    <w:rsid w:val="00E921A2"/>
    <w:rsid w:val="00E93D35"/>
    <w:rsid w:val="00E9509A"/>
    <w:rsid w:val="00EA45DB"/>
    <w:rsid w:val="00EC1877"/>
    <w:rsid w:val="00ED2CD9"/>
    <w:rsid w:val="00F07DA7"/>
    <w:rsid w:val="00F3254F"/>
    <w:rsid w:val="00F564C1"/>
    <w:rsid w:val="00F77FA2"/>
    <w:rsid w:val="00F8357A"/>
    <w:rsid w:val="00FA1B77"/>
    <w:rsid w:val="00FA4411"/>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383A8E"/>
    <w:pPr>
      <w:keepNext/>
      <w:keepLines/>
      <w:tabs>
        <w:tab w:val="clear" w:pos="567"/>
        <w:tab w:val="clear" w:pos="2835"/>
        <w:tab w:val="left" w:pos="3494"/>
      </w:tabs>
      <w:spacing w:before="360"/>
      <w:ind w:left="709" w:hanging="709"/>
      <w:outlineLvl w:val="0"/>
    </w:pPr>
    <w:rPr>
      <w:b/>
      <w:sz w:val="28"/>
    </w:rPr>
  </w:style>
  <w:style w:type="paragraph" w:styleId="Heading2">
    <w:name w:val="heading 2"/>
    <w:basedOn w:val="Heading1"/>
    <w:next w:val="Normal"/>
    <w:qFormat/>
    <w:rsid w:val="00383A8E"/>
    <w:pPr>
      <w:spacing w:before="24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1134"/>
        <w:tab w:val="clear" w:pos="1701"/>
        <w:tab w:val="clear" w:pos="2268"/>
        <w:tab w:val="left" w:pos="851"/>
      </w:tabs>
      <w:ind w:left="0" w:firstLine="0"/>
      <w:outlineLvl w:val="9"/>
    </w:pPr>
    <w:rPr>
      <w:sz w:val="24"/>
    </w:rPr>
  </w:style>
  <w:style w:type="paragraph" w:customStyle="1" w:styleId="Heading2S2">
    <w:name w:val="Heading 2_S2"/>
    <w:basedOn w:val="Heading2"/>
    <w:next w:val="NormalS2"/>
    <w:rsid w:val="003A0B7D"/>
    <w:pPr>
      <w:tabs>
        <w:tab w:val="clear" w:pos="1134"/>
        <w:tab w:val="clear" w:pos="1701"/>
        <w:tab w:val="clear" w:pos="2268"/>
        <w:tab w:val="left" w:pos="851"/>
      </w:tabs>
    </w:pPr>
  </w:style>
  <w:style w:type="paragraph" w:customStyle="1" w:styleId="Heading3S2">
    <w:name w:val="Heading 3_S2"/>
    <w:basedOn w:val="Heading3"/>
    <w:next w:val="NormalS2"/>
    <w:rsid w:val="003A0B7D"/>
    <w:pPr>
      <w:tabs>
        <w:tab w:val="clear" w:pos="1134"/>
        <w:tab w:val="clear" w:pos="1701"/>
        <w:tab w:val="clear" w:pos="2268"/>
        <w:tab w:val="left" w:pos="851"/>
      </w:tabs>
    </w:pPr>
  </w:style>
  <w:style w:type="paragraph" w:customStyle="1" w:styleId="Heading4S2">
    <w:name w:val="Heading 4_S2"/>
    <w:basedOn w:val="Heading4"/>
    <w:next w:val="NormalS2"/>
    <w:rsid w:val="003A0B7D"/>
    <w:pPr>
      <w:tabs>
        <w:tab w:val="clear" w:pos="1134"/>
        <w:tab w:val="clear" w:pos="1701"/>
        <w:tab w:val="clear" w:pos="2268"/>
        <w:tab w:val="left" w:pos="851"/>
      </w:tabs>
    </w:pPr>
  </w:style>
  <w:style w:type="paragraph" w:customStyle="1" w:styleId="Heading5S2">
    <w:name w:val="Heading 5_S2"/>
    <w:basedOn w:val="Heading5"/>
    <w:next w:val="NormalS2"/>
    <w:rsid w:val="003A0B7D"/>
    <w:pPr>
      <w:tabs>
        <w:tab w:val="clear" w:pos="1134"/>
        <w:tab w:val="clear" w:pos="1701"/>
        <w:tab w:val="clear" w:pos="2268"/>
        <w:tab w:val="left" w:pos="851"/>
      </w:tabs>
    </w:pPr>
  </w:style>
  <w:style w:type="paragraph" w:customStyle="1" w:styleId="Heading6S2">
    <w:name w:val="Heading 6_S2"/>
    <w:basedOn w:val="Heading6"/>
    <w:next w:val="NormalS2"/>
    <w:rsid w:val="003A0B7D"/>
    <w:pPr>
      <w:tabs>
        <w:tab w:val="clear" w:pos="1134"/>
        <w:tab w:val="clear" w:pos="1701"/>
        <w:tab w:val="clear" w:pos="2268"/>
        <w:tab w:val="left" w:pos="851"/>
      </w:tabs>
    </w:pPr>
  </w:style>
  <w:style w:type="paragraph" w:customStyle="1" w:styleId="Heading7S2">
    <w:name w:val="Heading 7_S2"/>
    <w:basedOn w:val="Heading7"/>
    <w:next w:val="NormalS2"/>
    <w:rsid w:val="003A0B7D"/>
    <w:pPr>
      <w:tabs>
        <w:tab w:val="clear" w:pos="1134"/>
        <w:tab w:val="clear" w:pos="1701"/>
        <w:tab w:val="clear" w:pos="2268"/>
        <w:tab w:val="left" w:pos="851"/>
      </w:tabs>
    </w:pPr>
  </w:style>
  <w:style w:type="paragraph" w:customStyle="1" w:styleId="Heading8S2">
    <w:name w:val="Heading 8_S2"/>
    <w:basedOn w:val="Heading8"/>
    <w:next w:val="NormalS2"/>
    <w:rsid w:val="003A0B7D"/>
    <w:pPr>
      <w:tabs>
        <w:tab w:val="clear" w:pos="1134"/>
        <w:tab w:val="clear" w:pos="1701"/>
        <w:tab w:val="clear" w:pos="2268"/>
        <w:tab w:val="left" w:pos="851"/>
      </w:tabs>
    </w:pPr>
  </w:style>
  <w:style w:type="paragraph" w:customStyle="1" w:styleId="Heading9S2">
    <w:name w:val="Heading 9_S2"/>
    <w:basedOn w:val="Heading9"/>
    <w:next w:val="NormalS2"/>
    <w:rsid w:val="003A0B7D"/>
    <w:pPr>
      <w:tabs>
        <w:tab w:val="clear" w:pos="1134"/>
        <w:tab w:val="clear" w:pos="1701"/>
        <w:tab w:val="clear" w:pos="2268"/>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1134"/>
        <w:tab w:val="clear" w:pos="1701"/>
        <w:tab w:val="clear" w:pos="2268"/>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1134"/>
        <w:tab w:val="clear" w:pos="1701"/>
        <w:tab w:val="clear" w:pos="2268"/>
        <w:tab w:val="left" w:pos="851"/>
      </w:tabs>
    </w:pPr>
  </w:style>
  <w:style w:type="paragraph" w:customStyle="1" w:styleId="HeadingiS2">
    <w:name w:val="Headingi_S2"/>
    <w:basedOn w:val="Headingi"/>
    <w:next w:val="NormalS2"/>
    <w:rsid w:val="003A0B7D"/>
    <w:pPr>
      <w:tabs>
        <w:tab w:val="clear" w:pos="1134"/>
        <w:tab w:val="clear" w:pos="1701"/>
        <w:tab w:val="clear" w:pos="2268"/>
        <w:tab w:val="left" w:pos="851"/>
      </w:tabs>
    </w:pPr>
    <w:rPr>
      <w:b/>
      <w:i w:val="0"/>
    </w:rPr>
  </w:style>
  <w:style w:type="paragraph" w:customStyle="1" w:styleId="Heading2iS2">
    <w:name w:val="Heading 2i_S2"/>
    <w:basedOn w:val="Heading2i"/>
    <w:next w:val="NormalS2"/>
    <w:rsid w:val="003A0B7D"/>
    <w:pPr>
      <w:tabs>
        <w:tab w:val="clear" w:pos="1134"/>
        <w:tab w:val="clear" w:pos="1701"/>
        <w:tab w:val="clear" w:pos="2268"/>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1134"/>
        <w:tab w:val="clear" w:pos="1701"/>
        <w:tab w:val="clear" w:pos="2268"/>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rsid w:val="00A15C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A2E73"/>
    <w:rPr>
      <w:rFonts w:ascii="Calibri" w:eastAsia="Calibri" w:hAnsi="Calibri" w:cs="Arial"/>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3FB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19-CL-C-0136/fr" TargetMode="External"/><Relationship Id="rId18" Type="http://schemas.openxmlformats.org/officeDocument/2006/relationships/hyperlink" Target="https://www.itu.int/md/S26-CL-C-0093/fr" TargetMode="External"/><Relationship Id="rId26" Type="http://schemas.openxmlformats.org/officeDocument/2006/relationships/hyperlink" Target="https://www.itu.int/md/S26-CL-C-0060/fr" TargetMode="External"/><Relationship Id="rId3" Type="http://schemas.openxmlformats.org/officeDocument/2006/relationships/styles" Target="styles.xml"/><Relationship Id="rId21" Type="http://schemas.openxmlformats.org/officeDocument/2006/relationships/hyperlink" Target="https://www.itu.int/md/S26-RCLINTPOL23-C-0007/en" TargetMode="External"/><Relationship Id="rId34" Type="http://schemas.openxmlformats.org/officeDocument/2006/relationships/hyperlink" Target="https://www.itu.int/md/S26-CL-C-0093/fr" TargetMode="External"/><Relationship Id="rId7" Type="http://schemas.openxmlformats.org/officeDocument/2006/relationships/endnotes" Target="endnotes.xml"/><Relationship Id="rId12" Type="http://schemas.openxmlformats.org/officeDocument/2006/relationships/hyperlink" Target="https://www.itu.int/en/council/Documents/basic-texts-2023/RES-140-F.pdf" TargetMode="External"/><Relationship Id="rId17" Type="http://schemas.openxmlformats.org/officeDocument/2006/relationships/hyperlink" Target="https://www.itu.int/md/S26-CL-C-0060/fr" TargetMode="External"/><Relationship Id="rId25" Type="http://schemas.openxmlformats.org/officeDocument/2006/relationships/hyperlink" Target="https://docs.un.org/A/RES/80/173" TargetMode="External"/><Relationship Id="rId33" Type="http://schemas.openxmlformats.org/officeDocument/2006/relationships/hyperlink" Target="https://www.itu.int/md/S26-CL-C-0060/fr" TargetMode="External"/><Relationship Id="rId2" Type="http://schemas.openxmlformats.org/officeDocument/2006/relationships/numbering" Target="numbering.xml"/><Relationship Id="rId16" Type="http://schemas.openxmlformats.org/officeDocument/2006/relationships/hyperlink" Target="https://www.itu.int/md/S19-CL-C-0140/fr" TargetMode="External"/><Relationship Id="rId20" Type="http://schemas.openxmlformats.org/officeDocument/2006/relationships/hyperlink" Target="https://www.itu.int/md/S26-RCLINTPOL23-C-0007/fr" TargetMode="External"/><Relationship Id="rId29"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s://www.itu.int/en/council/Documents/basic-texts-2023/RES-102-F.pdf" TargetMode="External"/><Relationship Id="rId24" Type="http://schemas.openxmlformats.org/officeDocument/2006/relationships/hyperlink" Target="https://docs.un.org/fr/A/RES/80/173" TargetMode="External"/><Relationship Id="rId32" Type="http://schemas.openxmlformats.org/officeDocument/2006/relationships/hyperlink" Target="https://www.itu.int/md/S26-PP-C-0057/en" TargetMode="External"/><Relationship Id="rId5" Type="http://schemas.openxmlformats.org/officeDocument/2006/relationships/webSettings" Target="webSettings.xml"/><Relationship Id="rId15" Type="http://schemas.openxmlformats.org/officeDocument/2006/relationships/hyperlink" Target="https://www.itu.int/md/S23-CL-C-0120/fr" TargetMode="External"/><Relationship Id="rId23" Type="http://schemas.openxmlformats.org/officeDocument/2006/relationships/hyperlink" Target="https://docs.un.org/A/RES/80/173"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www.itu.int/md/meetingdoc.asp?lang=fr&amp;parent=S26-CL-C&amp;class=SR" TargetMode="External"/><Relationship Id="rId19" Type="http://schemas.openxmlformats.org/officeDocument/2006/relationships/hyperlink" Target="https://docs.un.org/fr/A/RES/80/173"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tu.int/md/S26-CL-C-0060/fr" TargetMode="External"/><Relationship Id="rId14" Type="http://schemas.openxmlformats.org/officeDocument/2006/relationships/hyperlink" Target="https://www.itu.int/md/S24-CL-C-0141/fr" TargetMode="External"/><Relationship Id="rId22" Type="http://schemas.openxmlformats.org/officeDocument/2006/relationships/hyperlink" Target="https://docs.un.org/fr/A/RES/80/173" TargetMode="External"/><Relationship Id="rId27" Type="http://schemas.openxmlformats.org/officeDocument/2006/relationships/hyperlink" Target="https://www.itu.int/md/meetingdoc.asp?lang=fr&amp;parent=S26-CL-C&amp;class=SR"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3369</Words>
  <Characters>18667</Characters>
  <Application>Microsoft Office Word</Application>
  <DocSecurity>0</DocSecurity>
  <Lines>478</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21905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lacunes concernant la mise à jour des Résolutions 1332 et 1334 du Conseil, de la Résolution 140 (Rév. Bucarest, 2022) de la Conference de Plenipotentiaires et du mandat du GTC-Internet à la lumière des résultats du SMSI+20</dc:title>
  <dc:subject>ITU Plenipotentiary Conference (PP-26)</dc:subject>
  <cp:keywords>PP-26, PP26, ITU</cp:keywords>
  <dc:description/>
  <dcterms:created xsi:type="dcterms:W3CDTF">2026-10-08T14:58:00Z</dcterms:created>
  <dcterms:modified xsi:type="dcterms:W3CDTF">2026-10-08T15:00:00Z</dcterms:modified>
  <cp:category>Conference document</cp:category>
</cp:coreProperties>
</file>