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761C4D" w14:paraId="53E2F3C9" w14:textId="77777777" w:rsidTr="005A329F">
        <w:trPr>
          <w:cantSplit/>
          <w:jc w:val="center"/>
        </w:trPr>
        <w:tc>
          <w:tcPr>
            <w:tcW w:w="10031" w:type="dxa"/>
            <w:gridSpan w:val="2"/>
            <w:tcMar>
              <w:left w:w="0" w:type="dxa"/>
              <w:right w:w="0" w:type="dxa"/>
            </w:tcMar>
            <w:vAlign w:val="center"/>
          </w:tcPr>
          <w:p w14:paraId="703F9FD0" w14:textId="1C1F7963" w:rsidR="00BF32F2" w:rsidRPr="00761C4D" w:rsidRDefault="00BF32F2" w:rsidP="00BF32F2">
            <w:pPr>
              <w:spacing w:before="0" w:line="240" w:lineRule="atLeast"/>
              <w:rPr>
                <w:rFonts w:cstheme="minorHAnsi"/>
                <w:lang w:val="es-ES"/>
              </w:rPr>
            </w:pPr>
            <w:bookmarkStart w:id="0" w:name="ditulogo"/>
            <w:bookmarkEnd w:id="0"/>
            <w:r w:rsidRPr="00761C4D">
              <w:rPr>
                <w:rFonts w:cstheme="minorHAnsi"/>
                <w:noProof/>
                <w:lang w:val="es-ES"/>
              </w:rPr>
              <w:drawing>
                <wp:anchor distT="0" distB="0" distL="0" distR="0" simplePos="0" relativeHeight="251658240" behindDoc="1" locked="0" layoutInCell="1" allowOverlap="1" wp14:anchorId="7E8093DE" wp14:editId="4C22358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761C4D" w14:paraId="7936D6CB" w14:textId="77777777" w:rsidTr="005A329F">
        <w:trPr>
          <w:cantSplit/>
          <w:trHeight w:val="283"/>
          <w:jc w:val="center"/>
        </w:trPr>
        <w:tc>
          <w:tcPr>
            <w:tcW w:w="10031" w:type="dxa"/>
            <w:gridSpan w:val="2"/>
            <w:tcBorders>
              <w:bottom w:val="single" w:sz="12" w:space="0" w:color="71716F"/>
            </w:tcBorders>
          </w:tcPr>
          <w:p w14:paraId="11F82F2F" w14:textId="77777777" w:rsidR="00277985" w:rsidRPr="00761C4D" w:rsidRDefault="00277985" w:rsidP="00BF32F2">
            <w:pPr>
              <w:spacing w:before="0" w:line="240" w:lineRule="atLeast"/>
              <w:rPr>
                <w:rFonts w:cstheme="minorHAnsi"/>
                <w:b/>
                <w:smallCaps/>
                <w:szCs w:val="24"/>
                <w:lang w:val="es-ES"/>
              </w:rPr>
            </w:pPr>
            <w:bookmarkStart w:id="1" w:name="dhead"/>
          </w:p>
        </w:tc>
      </w:tr>
      <w:tr w:rsidR="00255FA1" w:rsidRPr="00761C4D" w14:paraId="420A698C" w14:textId="77777777" w:rsidTr="005A329F">
        <w:trPr>
          <w:cantSplit/>
          <w:trHeight w:val="255"/>
          <w:jc w:val="center"/>
        </w:trPr>
        <w:tc>
          <w:tcPr>
            <w:tcW w:w="7229" w:type="dxa"/>
            <w:tcBorders>
              <w:top w:val="single" w:sz="12" w:space="0" w:color="71716F"/>
            </w:tcBorders>
          </w:tcPr>
          <w:p w14:paraId="47DB16D7" w14:textId="77777777" w:rsidR="00255FA1" w:rsidRPr="00761C4D"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3B0821EE" w14:textId="77777777" w:rsidR="00255FA1" w:rsidRPr="00761C4D" w:rsidRDefault="00255FA1" w:rsidP="00BF32F2">
            <w:pPr>
              <w:spacing w:before="0"/>
              <w:rPr>
                <w:rFonts w:cstheme="minorHAnsi"/>
                <w:szCs w:val="24"/>
                <w:lang w:val="es-ES"/>
              </w:rPr>
            </w:pPr>
          </w:p>
        </w:tc>
      </w:tr>
      <w:bookmarkEnd w:id="1"/>
      <w:tr w:rsidR="00075113" w:rsidRPr="00761C4D" w14:paraId="6E5D99D3" w14:textId="77777777" w:rsidTr="005A329F">
        <w:trPr>
          <w:cantSplit/>
          <w:jc w:val="center"/>
        </w:trPr>
        <w:tc>
          <w:tcPr>
            <w:tcW w:w="7229" w:type="dxa"/>
          </w:tcPr>
          <w:p w14:paraId="248001A5" w14:textId="3DA1C374" w:rsidR="00075113" w:rsidRPr="00761C4D" w:rsidRDefault="00075113" w:rsidP="00075113">
            <w:pPr>
              <w:pStyle w:val="Committee"/>
              <w:framePr w:hSpace="0" w:wrap="auto" w:hAnchor="text" w:yAlign="inline"/>
              <w:spacing w:after="0" w:line="240" w:lineRule="auto"/>
              <w:rPr>
                <w:lang w:val="es-ES"/>
              </w:rPr>
            </w:pPr>
            <w:r w:rsidRPr="00761C4D">
              <w:rPr>
                <w:lang w:val="es-ES"/>
              </w:rPr>
              <w:t>SESIÓN PLENARIA</w:t>
            </w:r>
          </w:p>
        </w:tc>
        <w:tc>
          <w:tcPr>
            <w:tcW w:w="2802" w:type="dxa"/>
          </w:tcPr>
          <w:p w14:paraId="5DCBCBFD" w14:textId="35660D34" w:rsidR="00075113" w:rsidRPr="00761C4D" w:rsidRDefault="00075113" w:rsidP="00075113">
            <w:pPr>
              <w:spacing w:before="0"/>
              <w:rPr>
                <w:rFonts w:cstheme="minorHAnsi"/>
                <w:szCs w:val="24"/>
                <w:lang w:val="es-ES"/>
              </w:rPr>
            </w:pPr>
            <w:r w:rsidRPr="00761C4D">
              <w:rPr>
                <w:rFonts w:cstheme="minorHAnsi"/>
                <w:b/>
                <w:szCs w:val="24"/>
                <w:lang w:val="es-ES"/>
              </w:rPr>
              <w:t xml:space="preserve">Documento </w:t>
            </w:r>
            <w:r w:rsidR="00AB7770">
              <w:rPr>
                <w:rFonts w:cstheme="minorHAnsi"/>
                <w:b/>
                <w:szCs w:val="24"/>
                <w:lang w:val="es-ES"/>
              </w:rPr>
              <w:t>42</w:t>
            </w:r>
            <w:r w:rsidRPr="00761C4D">
              <w:rPr>
                <w:rFonts w:cstheme="minorHAnsi"/>
                <w:b/>
                <w:szCs w:val="24"/>
                <w:lang w:val="es-ES"/>
              </w:rPr>
              <w:t>-S</w:t>
            </w:r>
          </w:p>
        </w:tc>
      </w:tr>
      <w:tr w:rsidR="00075113" w:rsidRPr="00761C4D" w14:paraId="483D078B" w14:textId="77777777" w:rsidTr="005A329F">
        <w:trPr>
          <w:cantSplit/>
          <w:jc w:val="center"/>
        </w:trPr>
        <w:tc>
          <w:tcPr>
            <w:tcW w:w="7229" w:type="dxa"/>
          </w:tcPr>
          <w:p w14:paraId="17E32998" w14:textId="36F0CCB2" w:rsidR="00075113" w:rsidRPr="00761C4D" w:rsidRDefault="00075113" w:rsidP="00075113">
            <w:pPr>
              <w:spacing w:before="0"/>
              <w:rPr>
                <w:rFonts w:cstheme="minorHAnsi"/>
                <w:b/>
                <w:szCs w:val="24"/>
                <w:lang w:val="es-ES"/>
              </w:rPr>
            </w:pPr>
          </w:p>
        </w:tc>
        <w:tc>
          <w:tcPr>
            <w:tcW w:w="2802" w:type="dxa"/>
          </w:tcPr>
          <w:p w14:paraId="00BF5C1A" w14:textId="2E959600" w:rsidR="00075113" w:rsidRPr="00761C4D" w:rsidRDefault="00181AC4" w:rsidP="00075113">
            <w:pPr>
              <w:spacing w:before="0"/>
              <w:rPr>
                <w:rFonts w:cstheme="minorHAnsi"/>
                <w:b/>
                <w:szCs w:val="24"/>
                <w:lang w:val="es-ES"/>
              </w:rPr>
            </w:pPr>
            <w:r>
              <w:rPr>
                <w:rFonts w:cstheme="minorHAnsi"/>
                <w:b/>
                <w:szCs w:val="24"/>
                <w:lang w:val="es-ES"/>
              </w:rPr>
              <w:t>5 de octubre</w:t>
            </w:r>
            <w:r w:rsidR="00AB7770">
              <w:rPr>
                <w:rFonts w:cstheme="minorHAnsi"/>
                <w:b/>
                <w:szCs w:val="24"/>
                <w:lang w:val="es-ES"/>
              </w:rPr>
              <w:t xml:space="preserve"> de 2026</w:t>
            </w:r>
          </w:p>
        </w:tc>
      </w:tr>
      <w:tr w:rsidR="00075113" w:rsidRPr="00761C4D" w14:paraId="7EE17784" w14:textId="77777777" w:rsidTr="005A329F">
        <w:trPr>
          <w:cantSplit/>
          <w:jc w:val="center"/>
        </w:trPr>
        <w:tc>
          <w:tcPr>
            <w:tcW w:w="7229" w:type="dxa"/>
          </w:tcPr>
          <w:p w14:paraId="68573EE1" w14:textId="77777777" w:rsidR="00075113" w:rsidRPr="00761C4D" w:rsidRDefault="00075113" w:rsidP="00075113">
            <w:pPr>
              <w:spacing w:before="0"/>
              <w:rPr>
                <w:rFonts w:cstheme="minorHAnsi"/>
                <w:b/>
                <w:smallCaps/>
                <w:szCs w:val="24"/>
                <w:lang w:val="es-ES"/>
              </w:rPr>
            </w:pPr>
          </w:p>
        </w:tc>
        <w:tc>
          <w:tcPr>
            <w:tcW w:w="2802" w:type="dxa"/>
          </w:tcPr>
          <w:p w14:paraId="76142BCE" w14:textId="03B29E45" w:rsidR="00075113" w:rsidRPr="00761C4D" w:rsidRDefault="00075113" w:rsidP="00075113">
            <w:pPr>
              <w:spacing w:before="0"/>
              <w:rPr>
                <w:rFonts w:cstheme="minorHAnsi"/>
                <w:b/>
                <w:szCs w:val="24"/>
                <w:lang w:val="es-ES"/>
              </w:rPr>
            </w:pPr>
            <w:r w:rsidRPr="00761C4D">
              <w:rPr>
                <w:rFonts w:cstheme="minorHAnsi"/>
                <w:b/>
                <w:szCs w:val="24"/>
                <w:lang w:val="es-ES"/>
              </w:rPr>
              <w:t>Original: inglés</w:t>
            </w:r>
          </w:p>
        </w:tc>
      </w:tr>
      <w:tr w:rsidR="00075113" w:rsidRPr="00761C4D" w14:paraId="3075E850" w14:textId="77777777" w:rsidTr="005A329F">
        <w:trPr>
          <w:cantSplit/>
          <w:jc w:val="center"/>
        </w:trPr>
        <w:tc>
          <w:tcPr>
            <w:tcW w:w="10031" w:type="dxa"/>
            <w:gridSpan w:val="2"/>
          </w:tcPr>
          <w:p w14:paraId="2AB3028F" w14:textId="77777777" w:rsidR="00075113" w:rsidRPr="00761C4D" w:rsidRDefault="00075113" w:rsidP="00075113">
            <w:pPr>
              <w:spacing w:before="0" w:line="240" w:lineRule="atLeast"/>
              <w:rPr>
                <w:rFonts w:cstheme="minorHAnsi"/>
                <w:b/>
                <w:szCs w:val="24"/>
                <w:lang w:val="es-ES"/>
              </w:rPr>
            </w:pPr>
          </w:p>
        </w:tc>
      </w:tr>
      <w:tr w:rsidR="00075113" w:rsidRPr="00761C4D" w14:paraId="53FF73A6" w14:textId="77777777" w:rsidTr="005A329F">
        <w:trPr>
          <w:cantSplit/>
          <w:jc w:val="center"/>
        </w:trPr>
        <w:tc>
          <w:tcPr>
            <w:tcW w:w="10031" w:type="dxa"/>
            <w:gridSpan w:val="2"/>
          </w:tcPr>
          <w:p w14:paraId="365E2007" w14:textId="2C1B722F" w:rsidR="00075113" w:rsidRPr="00761C4D" w:rsidRDefault="00761C4D" w:rsidP="00075113">
            <w:pPr>
              <w:pStyle w:val="Source"/>
              <w:rPr>
                <w:lang w:val="es-ES"/>
              </w:rPr>
            </w:pPr>
            <w:bookmarkStart w:id="2" w:name="dsource" w:colFirst="0" w:colLast="0"/>
            <w:r w:rsidRPr="00973533">
              <w:rPr>
                <w:lang w:val="es-ES"/>
              </w:rPr>
              <w:t>Informe del Consejo</w:t>
            </w:r>
          </w:p>
        </w:tc>
      </w:tr>
      <w:tr w:rsidR="00761C4D" w:rsidRPr="00761C4D" w14:paraId="6C060127" w14:textId="77777777" w:rsidTr="005A329F">
        <w:trPr>
          <w:cantSplit/>
          <w:jc w:val="center"/>
        </w:trPr>
        <w:tc>
          <w:tcPr>
            <w:tcW w:w="10031" w:type="dxa"/>
            <w:gridSpan w:val="2"/>
          </w:tcPr>
          <w:p w14:paraId="0A048F9C" w14:textId="11E8EE28" w:rsidR="00761C4D" w:rsidRPr="00761C4D" w:rsidRDefault="00761C4D" w:rsidP="008D60D3">
            <w:pPr>
              <w:pStyle w:val="Title1"/>
              <w:rPr>
                <w:lang w:val="es-ES"/>
              </w:rPr>
            </w:pPr>
            <w:bookmarkStart w:id="3" w:name="dtitle1" w:colFirst="0" w:colLast="0"/>
            <w:bookmarkEnd w:id="2"/>
            <w:r w:rsidRPr="00973533">
              <w:rPr>
                <w:lang w:val="es-ES"/>
              </w:rPr>
              <w:t>INFORME CUADRI</w:t>
            </w:r>
            <w:r>
              <w:rPr>
                <w:lang w:val="es-ES"/>
              </w:rPr>
              <w:t>E</w:t>
            </w:r>
            <w:r w:rsidRPr="00973533">
              <w:rPr>
                <w:lang w:val="es-ES"/>
              </w:rPr>
              <w:t>NAL DEL GRUPO DE TRABAJO DEL CONSEJO SOBRE LOS IDIOMAS (GTC-IDIOMAS)</w:t>
            </w:r>
          </w:p>
        </w:tc>
      </w:tr>
      <w:bookmarkEnd w:id="3"/>
    </w:tbl>
    <w:p w14:paraId="76663C0A" w14:textId="77777777" w:rsidR="00761C4D" w:rsidRPr="00973533" w:rsidRDefault="00761C4D" w:rsidP="00761C4D">
      <w:pPr>
        <w:tabs>
          <w:tab w:val="clear" w:pos="567"/>
          <w:tab w:val="clear" w:pos="1134"/>
          <w:tab w:val="clear" w:pos="1701"/>
          <w:tab w:val="clear" w:pos="2268"/>
          <w:tab w:val="clear" w:pos="2835"/>
        </w:tabs>
        <w:overflowPunct/>
        <w:autoSpaceDE/>
        <w:autoSpaceDN/>
        <w:adjustRightInd/>
        <w:spacing w:before="0"/>
        <w:textAlignment w:val="auto"/>
        <w:rPr>
          <w:lang w:val="es-ES"/>
        </w:rPr>
      </w:pPr>
    </w:p>
    <w:tbl>
      <w:tblPr>
        <w:tblStyle w:val="TableGrid"/>
        <w:tblW w:w="0" w:type="auto"/>
        <w:jc w:val="center"/>
        <w:tblLook w:val="04A0" w:firstRow="1" w:lastRow="0" w:firstColumn="1" w:lastColumn="0" w:noHBand="0" w:noVBand="1"/>
      </w:tblPr>
      <w:tblGrid>
        <w:gridCol w:w="7937"/>
      </w:tblGrid>
      <w:tr w:rsidR="00761C4D" w:rsidRPr="00973533" w14:paraId="37E7342F" w14:textId="77777777" w:rsidTr="00BA399B">
        <w:trPr>
          <w:trHeight w:val="3402"/>
          <w:jc w:val="center"/>
        </w:trPr>
        <w:tc>
          <w:tcPr>
            <w:tcW w:w="7937" w:type="dxa"/>
          </w:tcPr>
          <w:p w14:paraId="4B1A411F" w14:textId="77777777" w:rsidR="00761C4D" w:rsidRPr="00973533" w:rsidRDefault="00761C4D" w:rsidP="00BA399B">
            <w:pPr>
              <w:pStyle w:val="Headingb"/>
              <w:rPr>
                <w:lang w:val="es-ES"/>
              </w:rPr>
            </w:pPr>
            <w:r w:rsidRPr="00973533">
              <w:rPr>
                <w:lang w:val="es-ES"/>
              </w:rPr>
              <w:t>Resumen</w:t>
            </w:r>
          </w:p>
          <w:p w14:paraId="494114E8" w14:textId="4D8D8F42" w:rsidR="00761C4D" w:rsidRPr="00973533" w:rsidRDefault="00761C4D" w:rsidP="00BA399B">
            <w:pPr>
              <w:jc w:val="both"/>
              <w:rPr>
                <w:lang w:val="es-ES"/>
              </w:rPr>
            </w:pPr>
            <w:r w:rsidRPr="00973533">
              <w:rPr>
                <w:spacing w:val="-2"/>
                <w:lang w:val="es-ES"/>
              </w:rPr>
              <w:t xml:space="preserve">Conforme a lo estipulado en la Decisión 11 (Rev. Bucarest, 2022) de la Conferencia de Plenipotenciarios, la Presidenta del </w:t>
            </w:r>
            <w:r w:rsidRPr="00926706">
              <w:rPr>
                <w:spacing w:val="-2"/>
                <w:lang w:val="es-ES"/>
              </w:rPr>
              <w:t>G</w:t>
            </w:r>
            <w:r w:rsidRPr="00973533">
              <w:rPr>
                <w:spacing w:val="-2"/>
                <w:lang w:val="es-ES"/>
              </w:rPr>
              <w:t>TC</w:t>
            </w:r>
            <w:r w:rsidRPr="00926706">
              <w:rPr>
                <w:spacing w:val="-2"/>
                <w:lang w:val="es-ES"/>
              </w:rPr>
              <w:t>-</w:t>
            </w:r>
            <w:r w:rsidRPr="00973533">
              <w:rPr>
                <w:spacing w:val="-2"/>
                <w:lang w:val="es-ES"/>
              </w:rPr>
              <w:t>IDIOMAS</w:t>
            </w:r>
            <w:r w:rsidRPr="00926706">
              <w:rPr>
                <w:spacing w:val="-2"/>
                <w:lang w:val="es-ES"/>
              </w:rPr>
              <w:t xml:space="preserve"> </w:t>
            </w:r>
            <w:r w:rsidRPr="00973533">
              <w:rPr>
                <w:lang w:val="es-ES"/>
              </w:rPr>
              <w:t>presentó el informe cuadrienal de dicho Grupo (véase el Documento</w:t>
            </w:r>
            <w:r w:rsidRPr="00926706">
              <w:rPr>
                <w:spacing w:val="-2"/>
                <w:lang w:val="es-ES"/>
              </w:rPr>
              <w:t xml:space="preserve"> </w:t>
            </w:r>
            <w:hyperlink r:id="rId8" w:history="1">
              <w:r w:rsidRPr="00926706">
                <w:rPr>
                  <w:rStyle w:val="Hyperlink"/>
                  <w:spacing w:val="-2"/>
                  <w:lang w:val="es-ES"/>
                </w:rPr>
                <w:t>C26/13</w:t>
              </w:r>
            </w:hyperlink>
            <w:r w:rsidRPr="00926706">
              <w:rPr>
                <w:spacing w:val="-2"/>
                <w:lang w:val="es-ES"/>
              </w:rPr>
              <w:t xml:space="preserve">) </w:t>
            </w:r>
            <w:r w:rsidRPr="00973533">
              <w:rPr>
                <w:lang w:val="es-ES"/>
              </w:rPr>
              <w:t>en la reunión de 2026 del Consejo, con el objetivo de que este lo examinase y formulase recomendaciones a la Conferencia de Plenipotenciarios de 2026 en cuanto a la necesidad de mantener, modificar o disolver el GTC, o crear uno nuevo, de cara al próximo período.</w:t>
            </w:r>
          </w:p>
          <w:p w14:paraId="60CBEF88" w14:textId="77777777" w:rsidR="00761C4D" w:rsidRPr="00973533" w:rsidRDefault="00761C4D" w:rsidP="00BA399B">
            <w:pPr>
              <w:spacing w:before="100"/>
              <w:jc w:val="both"/>
              <w:rPr>
                <w:lang w:val="es-ES"/>
              </w:rPr>
            </w:pPr>
            <w:r w:rsidRPr="00973533">
              <w:rPr>
                <w:lang w:val="es-ES"/>
              </w:rPr>
              <w:t>El Consejo tomó nota del informe contenido en el Documento C26/13 y acordó remitirlo a la Conferencia de Plenipotenciarios, junto con el resumen de los debates de la reunión en el que se recogen las recomendaciones y opiniones de los Estados Miembros del Consejo.</w:t>
            </w:r>
          </w:p>
          <w:p w14:paraId="0AB119CA" w14:textId="6B8A93D6" w:rsidR="00761C4D" w:rsidRPr="00973533" w:rsidRDefault="00761C4D" w:rsidP="00BA399B">
            <w:pPr>
              <w:jc w:val="both"/>
              <w:rPr>
                <w:lang w:val="es-ES"/>
              </w:rPr>
            </w:pPr>
            <w:r w:rsidRPr="00926706">
              <w:rPr>
                <w:spacing w:val="-2"/>
                <w:lang w:val="es-ES"/>
              </w:rPr>
              <w:t>E</w:t>
            </w:r>
            <w:r w:rsidRPr="00973533">
              <w:rPr>
                <w:spacing w:val="-2"/>
                <w:lang w:val="es-ES"/>
              </w:rPr>
              <w:t>n e</w:t>
            </w:r>
            <w:r>
              <w:rPr>
                <w:spacing w:val="-2"/>
                <w:lang w:val="es-ES"/>
              </w:rPr>
              <w:t>ste</w:t>
            </w:r>
            <w:r w:rsidRPr="00926706">
              <w:rPr>
                <w:spacing w:val="-2"/>
                <w:lang w:val="es-ES"/>
              </w:rPr>
              <w:t xml:space="preserve"> informe</w:t>
            </w:r>
            <w:r w:rsidRPr="00973533">
              <w:rPr>
                <w:lang w:val="es-ES"/>
              </w:rPr>
              <w:t xml:space="preserve"> se resumen los logros y actividades principales del GTC-IDIOMAS durante el período comprendido entre 2022 y 2026, de conformidad con la Resolución 179 (Rev. Bucarest, 2022) y la Resolución </w:t>
            </w:r>
            <w:r w:rsidRPr="00926706">
              <w:rPr>
                <w:spacing w:val="-2"/>
                <w:lang w:val="es-ES"/>
              </w:rPr>
              <w:t xml:space="preserve">1372 </w:t>
            </w:r>
            <w:r w:rsidRPr="00973533">
              <w:rPr>
                <w:lang w:val="es-ES"/>
              </w:rPr>
              <w:t xml:space="preserve">del Consejo. El resumen de los debates de la octava sesión plenaria de la reunión de 2026 del Consejo, en el que se recogen las recomendaciones y opiniones de los Estados Miembros del Consejo, </w:t>
            </w:r>
            <w:r w:rsidRPr="00926706">
              <w:rPr>
                <w:spacing w:val="-2"/>
                <w:lang w:val="es-ES"/>
              </w:rPr>
              <w:t xml:space="preserve">se adjunta al presente informe como </w:t>
            </w:r>
            <w:hyperlink w:anchor="Annex2" w:history="1">
              <w:r w:rsidRPr="00926706">
                <w:rPr>
                  <w:rStyle w:val="Hyperlink"/>
                  <w:spacing w:val="-2"/>
                  <w:lang w:val="es-ES"/>
                </w:rPr>
                <w:t>Anexo 2</w:t>
              </w:r>
            </w:hyperlink>
            <w:r w:rsidRPr="00926706">
              <w:rPr>
                <w:spacing w:val="-2"/>
                <w:lang w:val="es-ES"/>
              </w:rPr>
              <w:t>.</w:t>
            </w:r>
          </w:p>
          <w:p w14:paraId="473704A4" w14:textId="77777777" w:rsidR="00761C4D" w:rsidRPr="00973533" w:rsidRDefault="00761C4D" w:rsidP="008D60D3">
            <w:pPr>
              <w:pStyle w:val="Headingb"/>
              <w:rPr>
                <w:lang w:val="es-ES"/>
              </w:rPr>
            </w:pPr>
            <w:r w:rsidRPr="00973533">
              <w:rPr>
                <w:lang w:val="es-ES"/>
              </w:rPr>
              <w:t xml:space="preserve">Acción </w:t>
            </w:r>
            <w:r w:rsidRPr="008D60D3">
              <w:t>solicitada</w:t>
            </w:r>
          </w:p>
          <w:p w14:paraId="24B9F281" w14:textId="77777777" w:rsidR="00761C4D" w:rsidRPr="00973533" w:rsidRDefault="00761C4D" w:rsidP="00BA399B">
            <w:pPr>
              <w:jc w:val="both"/>
              <w:rPr>
                <w:lang w:val="es-ES"/>
              </w:rPr>
            </w:pPr>
            <w:r w:rsidRPr="00973533">
              <w:rPr>
                <w:lang w:val="es-ES"/>
              </w:rPr>
              <w:t xml:space="preserve">Se invita a la Conferencia de Plenipotenciarios a </w:t>
            </w:r>
            <w:r w:rsidRPr="00973533">
              <w:rPr>
                <w:b/>
                <w:bCs/>
                <w:lang w:val="es-ES"/>
              </w:rPr>
              <w:t>examinar</w:t>
            </w:r>
            <w:r w:rsidRPr="00973533">
              <w:rPr>
                <w:lang w:val="es-ES"/>
              </w:rPr>
              <w:t xml:space="preserve"> el presente informe y a </w:t>
            </w:r>
            <w:r w:rsidRPr="00973533">
              <w:rPr>
                <w:b/>
                <w:bCs/>
                <w:lang w:val="es-ES"/>
              </w:rPr>
              <w:t>tomar las medidas necesarias, según proceda</w:t>
            </w:r>
            <w:r w:rsidRPr="00973533">
              <w:rPr>
                <w:lang w:val="es-ES"/>
              </w:rPr>
              <w:t>.</w:t>
            </w:r>
          </w:p>
          <w:p w14:paraId="0C98FA0F" w14:textId="77777777" w:rsidR="00761C4D" w:rsidRPr="00973533" w:rsidRDefault="00761C4D" w:rsidP="00BA399B">
            <w:pPr>
              <w:spacing w:before="40"/>
              <w:jc w:val="center"/>
              <w:rPr>
                <w:lang w:val="es-ES"/>
              </w:rPr>
            </w:pPr>
            <w:r w:rsidRPr="00973533">
              <w:rPr>
                <w:lang w:val="es-ES"/>
              </w:rPr>
              <w:t>______________</w:t>
            </w:r>
          </w:p>
          <w:p w14:paraId="63BDD7F4" w14:textId="77777777" w:rsidR="00761C4D" w:rsidRPr="00973533" w:rsidRDefault="00761C4D" w:rsidP="008D60D3">
            <w:pPr>
              <w:pStyle w:val="Headingb"/>
              <w:spacing w:before="120"/>
              <w:rPr>
                <w:lang w:val="es-ES"/>
              </w:rPr>
            </w:pPr>
            <w:r w:rsidRPr="00973533">
              <w:rPr>
                <w:lang w:val="es-ES"/>
              </w:rPr>
              <w:t>Referencias</w:t>
            </w:r>
          </w:p>
          <w:p w14:paraId="0512A8ED" w14:textId="26FE3ED2" w:rsidR="00761C4D" w:rsidRPr="00973533" w:rsidRDefault="00761C4D" w:rsidP="00BA399B">
            <w:pPr>
              <w:spacing w:after="120"/>
              <w:rPr>
                <w:i/>
                <w:sz w:val="22"/>
                <w:szCs w:val="22"/>
                <w:lang w:val="es-ES"/>
              </w:rPr>
            </w:pPr>
            <w:r w:rsidRPr="00973533">
              <w:rPr>
                <w:i/>
                <w:sz w:val="22"/>
                <w:szCs w:val="22"/>
                <w:lang w:val="es-ES"/>
              </w:rPr>
              <w:t xml:space="preserve">Decisión </w:t>
            </w:r>
            <w:hyperlink r:id="rId9" w:history="1">
              <w:r w:rsidRPr="00973533">
                <w:rPr>
                  <w:rStyle w:val="Hyperlink"/>
                  <w:i/>
                  <w:sz w:val="22"/>
                  <w:szCs w:val="22"/>
                  <w:lang w:val="es-ES"/>
                </w:rPr>
                <w:t>11</w:t>
              </w:r>
            </w:hyperlink>
            <w:r w:rsidRPr="00973533">
              <w:rPr>
                <w:i/>
                <w:sz w:val="22"/>
                <w:szCs w:val="22"/>
                <w:lang w:val="es-ES"/>
              </w:rPr>
              <w:t xml:space="preserve"> y</w:t>
            </w:r>
            <w:r w:rsidRPr="00973533">
              <w:rPr>
                <w:lang w:val="es-ES"/>
              </w:rPr>
              <w:t xml:space="preserve"> </w:t>
            </w:r>
            <w:r w:rsidRPr="00973533">
              <w:rPr>
                <w:i/>
                <w:sz w:val="22"/>
                <w:szCs w:val="22"/>
                <w:lang w:val="es-ES"/>
              </w:rPr>
              <w:t>Resolución</w:t>
            </w:r>
            <w:r w:rsidRPr="00973533">
              <w:rPr>
                <w:lang w:val="es-ES"/>
              </w:rPr>
              <w:t xml:space="preserve"> </w:t>
            </w:r>
            <w:hyperlink r:id="rId10" w:history="1">
              <w:r w:rsidRPr="00973533">
                <w:rPr>
                  <w:rStyle w:val="Hyperlink"/>
                  <w:i/>
                  <w:sz w:val="22"/>
                  <w:szCs w:val="22"/>
                  <w:lang w:val="es-ES"/>
                </w:rPr>
                <w:t>154 (Rev. Bucarest, 2022)</w:t>
              </w:r>
            </w:hyperlink>
            <w:r w:rsidRPr="00973533">
              <w:rPr>
                <w:i/>
                <w:sz w:val="22"/>
                <w:szCs w:val="22"/>
                <w:lang w:val="es-ES"/>
              </w:rPr>
              <w:t xml:space="preserve"> de la Conferencia de Plenipotenciarios; Resolución </w:t>
            </w:r>
            <w:hyperlink r:id="rId11" w:history="1">
              <w:r w:rsidRPr="00181AC4">
                <w:rPr>
                  <w:rStyle w:val="Hyperlink"/>
                  <w:i/>
                  <w:sz w:val="22"/>
                  <w:szCs w:val="22"/>
                  <w:lang w:val="es-ES"/>
                </w:rPr>
                <w:t>1372 (Mod. 2026)</w:t>
              </w:r>
            </w:hyperlink>
            <w:r w:rsidRPr="00973533">
              <w:rPr>
                <w:i/>
                <w:sz w:val="22"/>
                <w:szCs w:val="22"/>
                <w:lang w:val="es-ES"/>
              </w:rPr>
              <w:t xml:space="preserve"> del Consejo; </w:t>
            </w:r>
            <w:hyperlink r:id="rId12" w:anchor="/es" w:history="1">
              <w:r w:rsidRPr="00973533">
                <w:rPr>
                  <w:rStyle w:val="Hyperlink"/>
                  <w:i/>
                  <w:sz w:val="22"/>
                  <w:szCs w:val="22"/>
                  <w:lang w:val="es-ES"/>
                </w:rPr>
                <w:t>página web del GTC</w:t>
              </w:r>
              <w:r w:rsidR="00181AC4">
                <w:rPr>
                  <w:rStyle w:val="Hyperlink"/>
                  <w:i/>
                  <w:sz w:val="22"/>
                  <w:szCs w:val="22"/>
                  <w:lang w:val="es-ES"/>
                </w:rPr>
                <w:noBreakHyphen/>
              </w:r>
              <w:r w:rsidRPr="00973533">
                <w:rPr>
                  <w:rStyle w:val="Hyperlink"/>
                  <w:i/>
                  <w:sz w:val="22"/>
                  <w:szCs w:val="22"/>
                  <w:lang w:val="es-ES"/>
                </w:rPr>
                <w:t>IDIOMAS</w:t>
              </w:r>
            </w:hyperlink>
            <w:r w:rsidRPr="00973533">
              <w:rPr>
                <w:i/>
                <w:sz w:val="22"/>
                <w:szCs w:val="22"/>
                <w:lang w:val="es-ES"/>
              </w:rPr>
              <w:t xml:space="preserve">; Documento </w:t>
            </w:r>
            <w:hyperlink r:id="rId13" w:history="1">
              <w:r w:rsidRPr="00973533">
                <w:rPr>
                  <w:rStyle w:val="Hyperlink"/>
                  <w:i/>
                  <w:sz w:val="22"/>
                  <w:szCs w:val="22"/>
                  <w:lang w:val="es-ES"/>
                </w:rPr>
                <w:t>C26/13</w:t>
              </w:r>
            </w:hyperlink>
            <w:r w:rsidRPr="00973533">
              <w:rPr>
                <w:i/>
                <w:sz w:val="22"/>
                <w:szCs w:val="22"/>
                <w:lang w:val="es-ES"/>
              </w:rPr>
              <w:t xml:space="preserve"> del Consejo</w:t>
            </w:r>
          </w:p>
        </w:tc>
      </w:tr>
    </w:tbl>
    <w:p w14:paraId="48331EE9" w14:textId="77777777" w:rsidR="00761C4D" w:rsidRPr="00973533" w:rsidRDefault="00761C4D" w:rsidP="008D60D3">
      <w:pPr>
        <w:spacing w:before="0"/>
        <w:rPr>
          <w:lang w:val="es-ES"/>
        </w:rPr>
      </w:pPr>
      <w:bookmarkStart w:id="4" w:name="_Hlk133421839"/>
      <w:bookmarkStart w:id="5" w:name="_Hlk133421856"/>
      <w:bookmarkStart w:id="6" w:name="_Hlk133422370"/>
      <w:bookmarkStart w:id="7" w:name="_Hlk133586559"/>
      <w:r w:rsidRPr="00973533">
        <w:rPr>
          <w:b/>
          <w:bCs/>
          <w:lang w:val="es-ES"/>
        </w:rPr>
        <w:t>Anexos:</w:t>
      </w:r>
      <w:r w:rsidRPr="00973533">
        <w:rPr>
          <w:lang w:val="es-ES"/>
        </w:rPr>
        <w:t xml:space="preserve"> 2</w:t>
      </w:r>
      <w:r w:rsidRPr="00973533">
        <w:rPr>
          <w:sz w:val="10"/>
          <w:szCs w:val="10"/>
          <w:lang w:val="es-ES"/>
        </w:rPr>
        <w:br w:type="page"/>
      </w:r>
    </w:p>
    <w:p w14:paraId="6C35B2A6" w14:textId="77777777" w:rsidR="00761C4D" w:rsidRPr="00973533" w:rsidRDefault="00761C4D" w:rsidP="00761C4D">
      <w:pPr>
        <w:pStyle w:val="AnnexNo"/>
        <w:rPr>
          <w:lang w:val="es-ES"/>
        </w:rPr>
      </w:pPr>
      <w:r w:rsidRPr="00973533">
        <w:rPr>
          <w:lang w:val="es-ES"/>
        </w:rPr>
        <w:lastRenderedPageBreak/>
        <w:t>AnexO 1</w:t>
      </w:r>
    </w:p>
    <w:p w14:paraId="63137A9F" w14:textId="390671B5" w:rsidR="00761C4D" w:rsidRPr="00973533" w:rsidRDefault="00761C4D" w:rsidP="008D60D3">
      <w:pPr>
        <w:pStyle w:val="Annextitle"/>
        <w:rPr>
          <w:lang w:val="es-ES"/>
        </w:rPr>
      </w:pPr>
      <w:r w:rsidRPr="00973533">
        <w:rPr>
          <w:lang w:val="es-ES"/>
        </w:rPr>
        <w:t xml:space="preserve">Documento </w:t>
      </w:r>
      <w:hyperlink r:id="rId14" w:history="1">
        <w:r w:rsidRPr="00973533">
          <w:rPr>
            <w:rStyle w:val="Hyperlink"/>
            <w:lang w:val="es-ES"/>
          </w:rPr>
          <w:t>C26/13</w:t>
        </w:r>
      </w:hyperlink>
      <w:r w:rsidRPr="00973533">
        <w:rPr>
          <w:lang w:val="es-ES"/>
        </w:rPr>
        <w:t xml:space="preserve">– Informe </w:t>
      </w:r>
      <w:r w:rsidRPr="008D60D3">
        <w:t>cuadrienal</w:t>
      </w:r>
      <w:r w:rsidRPr="00973533">
        <w:rPr>
          <w:lang w:val="es-ES"/>
        </w:rPr>
        <w:t xml:space="preserve"> del Grupo de Trabajo del Consejo sobre los Idiomas</w:t>
      </w:r>
    </w:p>
    <w:tbl>
      <w:tblPr>
        <w:tblW w:w="5000" w:type="pct"/>
        <w:jc w:val="center"/>
        <w:tblLook w:val="0000" w:firstRow="0" w:lastRow="0" w:firstColumn="0" w:lastColumn="0" w:noHBand="0" w:noVBand="0"/>
      </w:tblPr>
      <w:tblGrid>
        <w:gridCol w:w="4155"/>
        <w:gridCol w:w="5490"/>
      </w:tblGrid>
      <w:tr w:rsidR="00761C4D" w:rsidRPr="00973533" w14:paraId="7DFE7F31" w14:textId="77777777" w:rsidTr="00BA399B">
        <w:trPr>
          <w:cantSplit/>
          <w:trHeight w:val="1418"/>
          <w:jc w:val="center"/>
        </w:trPr>
        <w:tc>
          <w:tcPr>
            <w:tcW w:w="5000" w:type="pct"/>
            <w:gridSpan w:val="2"/>
            <w:tcMar>
              <w:left w:w="0" w:type="dxa"/>
            </w:tcMar>
          </w:tcPr>
          <w:p w14:paraId="1C1F75FF" w14:textId="77777777" w:rsidR="00761C4D" w:rsidRPr="00973533" w:rsidRDefault="00761C4D" w:rsidP="00BA399B">
            <w:pPr>
              <w:tabs>
                <w:tab w:val="left" w:pos="851"/>
              </w:tabs>
              <w:spacing w:before="0" w:line="240" w:lineRule="atLeast"/>
              <w:rPr>
                <w:b/>
                <w:lang w:val="es-ES"/>
              </w:rPr>
            </w:pPr>
            <w:r w:rsidRPr="00973533">
              <w:rPr>
                <w:noProof/>
                <w:lang w:val="es-ES"/>
              </w:rPr>
              <w:drawing>
                <wp:inline distT="0" distB="0" distL="0" distR="0" wp14:anchorId="779A504D" wp14:editId="76077EE6">
                  <wp:extent cx="5760085" cy="840740"/>
                  <wp:effectExtent l="0" t="0" r="0" b="0"/>
                  <wp:docPr id="397875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875340" name="Picture 397875340"/>
                          <pic:cNvPicPr/>
                        </pic:nvPicPr>
                        <pic:blipFill>
                          <a:blip r:embed="rId15">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c>
      </w:tr>
      <w:tr w:rsidR="00761C4D" w:rsidRPr="00973533" w14:paraId="28A4B140" w14:textId="77777777" w:rsidTr="00BA399B">
        <w:trPr>
          <w:cantSplit/>
          <w:trHeight w:val="23"/>
          <w:jc w:val="center"/>
        </w:trPr>
        <w:tc>
          <w:tcPr>
            <w:tcW w:w="2154" w:type="pct"/>
            <w:vMerge w:val="restart"/>
            <w:tcMar>
              <w:left w:w="0" w:type="dxa"/>
            </w:tcMar>
          </w:tcPr>
          <w:p w14:paraId="2762668D" w14:textId="77777777" w:rsidR="00761C4D" w:rsidRPr="00973533" w:rsidRDefault="00761C4D" w:rsidP="00BA399B">
            <w:pPr>
              <w:tabs>
                <w:tab w:val="left" w:pos="851"/>
              </w:tabs>
              <w:spacing w:before="0" w:line="240" w:lineRule="atLeast"/>
              <w:rPr>
                <w:b/>
                <w:bCs/>
                <w:lang w:val="es-ES"/>
              </w:rPr>
            </w:pPr>
            <w:r w:rsidRPr="00973533">
              <w:rPr>
                <w:b/>
                <w:lang w:val="es-ES"/>
              </w:rPr>
              <w:t>Punto del orden del día: PL-2</w:t>
            </w:r>
          </w:p>
        </w:tc>
        <w:tc>
          <w:tcPr>
            <w:tcW w:w="2846" w:type="pct"/>
          </w:tcPr>
          <w:p w14:paraId="0504EA7F" w14:textId="77777777" w:rsidR="00761C4D" w:rsidRPr="00973533" w:rsidRDefault="00761C4D" w:rsidP="00BA399B">
            <w:pPr>
              <w:tabs>
                <w:tab w:val="left" w:pos="851"/>
              </w:tabs>
              <w:spacing w:before="0" w:line="240" w:lineRule="atLeast"/>
              <w:jc w:val="right"/>
              <w:rPr>
                <w:b/>
                <w:lang w:val="es-ES"/>
              </w:rPr>
            </w:pPr>
            <w:r w:rsidRPr="00973533">
              <w:rPr>
                <w:b/>
                <w:lang w:val="es-ES"/>
              </w:rPr>
              <w:t>Documento C26/13-S</w:t>
            </w:r>
          </w:p>
        </w:tc>
      </w:tr>
      <w:tr w:rsidR="00761C4D" w:rsidRPr="00973533" w14:paraId="59BEE635" w14:textId="77777777" w:rsidTr="00BA399B">
        <w:trPr>
          <w:cantSplit/>
          <w:jc w:val="center"/>
        </w:trPr>
        <w:tc>
          <w:tcPr>
            <w:tcW w:w="2154" w:type="pct"/>
            <w:vMerge/>
          </w:tcPr>
          <w:p w14:paraId="5130B70C" w14:textId="77777777" w:rsidR="00761C4D" w:rsidRPr="00973533" w:rsidRDefault="00761C4D" w:rsidP="00BA399B">
            <w:pPr>
              <w:tabs>
                <w:tab w:val="left" w:pos="851"/>
              </w:tabs>
              <w:spacing w:line="240" w:lineRule="atLeast"/>
              <w:rPr>
                <w:b/>
                <w:lang w:val="es-ES"/>
              </w:rPr>
            </w:pPr>
          </w:p>
        </w:tc>
        <w:tc>
          <w:tcPr>
            <w:tcW w:w="2846" w:type="pct"/>
          </w:tcPr>
          <w:p w14:paraId="54EB162F" w14:textId="77777777" w:rsidR="00761C4D" w:rsidRPr="00973533" w:rsidRDefault="00761C4D" w:rsidP="00BA399B">
            <w:pPr>
              <w:tabs>
                <w:tab w:val="left" w:pos="851"/>
              </w:tabs>
              <w:spacing w:before="0"/>
              <w:jc w:val="right"/>
              <w:rPr>
                <w:b/>
                <w:lang w:val="es-ES"/>
              </w:rPr>
            </w:pPr>
            <w:r w:rsidRPr="00973533">
              <w:rPr>
                <w:b/>
                <w:lang w:val="es-ES"/>
              </w:rPr>
              <w:t>6 de marzo de 2026</w:t>
            </w:r>
          </w:p>
        </w:tc>
      </w:tr>
      <w:tr w:rsidR="00761C4D" w:rsidRPr="00973533" w14:paraId="482A4318" w14:textId="77777777" w:rsidTr="00BA399B">
        <w:trPr>
          <w:cantSplit/>
          <w:trHeight w:val="23"/>
          <w:jc w:val="center"/>
        </w:trPr>
        <w:tc>
          <w:tcPr>
            <w:tcW w:w="2154" w:type="pct"/>
            <w:vMerge/>
          </w:tcPr>
          <w:p w14:paraId="0B9276FE" w14:textId="77777777" w:rsidR="00761C4D" w:rsidRPr="00973533" w:rsidRDefault="00761C4D" w:rsidP="00BA399B">
            <w:pPr>
              <w:tabs>
                <w:tab w:val="left" w:pos="851"/>
              </w:tabs>
              <w:spacing w:line="240" w:lineRule="atLeast"/>
              <w:rPr>
                <w:b/>
                <w:lang w:val="es-ES"/>
              </w:rPr>
            </w:pPr>
          </w:p>
        </w:tc>
        <w:tc>
          <w:tcPr>
            <w:tcW w:w="2846" w:type="pct"/>
          </w:tcPr>
          <w:p w14:paraId="0CEBABCB" w14:textId="77777777" w:rsidR="00761C4D" w:rsidRPr="00973533" w:rsidRDefault="00761C4D" w:rsidP="00BA399B">
            <w:pPr>
              <w:tabs>
                <w:tab w:val="left" w:pos="851"/>
              </w:tabs>
              <w:spacing w:before="0" w:line="240" w:lineRule="atLeast"/>
              <w:jc w:val="right"/>
              <w:rPr>
                <w:b/>
                <w:lang w:val="es-ES"/>
              </w:rPr>
            </w:pPr>
            <w:r w:rsidRPr="00973533">
              <w:rPr>
                <w:rFonts w:cstheme="minorHAnsi"/>
                <w:b/>
                <w:bCs/>
                <w:lang w:val="es-ES"/>
              </w:rPr>
              <w:t>Original: inglés</w:t>
            </w:r>
          </w:p>
        </w:tc>
      </w:tr>
      <w:tr w:rsidR="00761C4D" w:rsidRPr="00973533" w14:paraId="0AF857E6" w14:textId="77777777" w:rsidTr="00BA399B">
        <w:trPr>
          <w:cantSplit/>
          <w:trHeight w:val="23"/>
          <w:jc w:val="center"/>
        </w:trPr>
        <w:tc>
          <w:tcPr>
            <w:tcW w:w="2154" w:type="pct"/>
          </w:tcPr>
          <w:p w14:paraId="185CB9FA" w14:textId="77777777" w:rsidR="00761C4D" w:rsidRPr="00973533" w:rsidRDefault="00761C4D" w:rsidP="00BA399B">
            <w:pPr>
              <w:tabs>
                <w:tab w:val="left" w:pos="851"/>
              </w:tabs>
              <w:spacing w:line="240" w:lineRule="atLeast"/>
              <w:rPr>
                <w:b/>
                <w:lang w:val="es-ES"/>
              </w:rPr>
            </w:pPr>
          </w:p>
        </w:tc>
        <w:tc>
          <w:tcPr>
            <w:tcW w:w="2846" w:type="pct"/>
          </w:tcPr>
          <w:p w14:paraId="38575F86" w14:textId="77777777" w:rsidR="00761C4D" w:rsidRPr="00973533" w:rsidRDefault="00761C4D" w:rsidP="00BA399B">
            <w:pPr>
              <w:tabs>
                <w:tab w:val="left" w:pos="851"/>
              </w:tabs>
              <w:spacing w:before="0" w:line="240" w:lineRule="atLeast"/>
              <w:jc w:val="right"/>
              <w:rPr>
                <w:b/>
                <w:lang w:val="es-ES"/>
              </w:rPr>
            </w:pPr>
          </w:p>
        </w:tc>
      </w:tr>
      <w:tr w:rsidR="00761C4D" w:rsidRPr="00973533" w14:paraId="57DE68B1" w14:textId="77777777" w:rsidTr="00BA399B">
        <w:trPr>
          <w:cantSplit/>
          <w:jc w:val="center"/>
        </w:trPr>
        <w:tc>
          <w:tcPr>
            <w:tcW w:w="5000" w:type="pct"/>
            <w:gridSpan w:val="2"/>
            <w:tcMar>
              <w:left w:w="0" w:type="dxa"/>
            </w:tcMar>
          </w:tcPr>
          <w:p w14:paraId="7450B937" w14:textId="77777777" w:rsidR="00761C4D" w:rsidRPr="00973533" w:rsidRDefault="00761C4D" w:rsidP="00BA399B">
            <w:pPr>
              <w:pStyle w:val="SourceCouncil"/>
              <w:framePr w:hSpace="0" w:wrap="auto" w:hAnchor="text" w:xAlign="left" w:yAlign="inline"/>
              <w:rPr>
                <w:lang w:val="es-ES"/>
              </w:rPr>
            </w:pPr>
            <w:r w:rsidRPr="00973533">
              <w:rPr>
                <w:rFonts w:cstheme="minorHAnsi"/>
                <w:sz w:val="34"/>
                <w:szCs w:val="34"/>
                <w:lang w:val="es-ES"/>
              </w:rPr>
              <w:t>Informe del Presidente del GTC-IDIOMAS</w:t>
            </w:r>
          </w:p>
        </w:tc>
      </w:tr>
      <w:tr w:rsidR="00761C4D" w:rsidRPr="00973533" w14:paraId="1B18A6F5" w14:textId="77777777" w:rsidTr="00BA399B">
        <w:trPr>
          <w:cantSplit/>
          <w:jc w:val="center"/>
        </w:trPr>
        <w:tc>
          <w:tcPr>
            <w:tcW w:w="5000" w:type="pct"/>
            <w:gridSpan w:val="2"/>
            <w:tcMar>
              <w:left w:w="0" w:type="dxa"/>
            </w:tcMar>
          </w:tcPr>
          <w:p w14:paraId="0A6335EE" w14:textId="77777777" w:rsidR="00761C4D" w:rsidRPr="00973533" w:rsidRDefault="00761C4D" w:rsidP="00BA399B">
            <w:pPr>
              <w:pStyle w:val="SubtitleCouncil"/>
              <w:framePr w:hSpace="0" w:wrap="auto" w:vAnchor="margin" w:xAlign="left" w:yAlign="inline"/>
              <w:rPr>
                <w:lang w:val="es-ES"/>
              </w:rPr>
            </w:pPr>
            <w:r w:rsidRPr="00973533">
              <w:rPr>
                <w:lang w:val="es-ES"/>
              </w:rPr>
              <w:t>INFORME CUADRIANUAL DEL GRUPO DE TRABAJO DEL CONSEJO SOBRE LOS IDIOMAS</w:t>
            </w:r>
          </w:p>
        </w:tc>
      </w:tr>
      <w:tr w:rsidR="00761C4D" w:rsidRPr="00BA399B" w14:paraId="099B0472" w14:textId="77777777" w:rsidTr="00BA399B">
        <w:trPr>
          <w:cantSplit/>
          <w:jc w:val="center"/>
        </w:trPr>
        <w:tc>
          <w:tcPr>
            <w:tcW w:w="5000" w:type="pct"/>
            <w:gridSpan w:val="2"/>
            <w:tcBorders>
              <w:top w:val="single" w:sz="4" w:space="0" w:color="auto"/>
              <w:bottom w:val="single" w:sz="4" w:space="0" w:color="auto"/>
            </w:tcBorders>
            <w:tcMar>
              <w:left w:w="0" w:type="dxa"/>
            </w:tcMar>
          </w:tcPr>
          <w:p w14:paraId="1BC9C106" w14:textId="77777777" w:rsidR="00761C4D" w:rsidRPr="008D60D3" w:rsidRDefault="00761C4D" w:rsidP="008D60D3">
            <w:pPr>
              <w:pStyle w:val="Headingb"/>
              <w:rPr>
                <w:lang w:val="es-ES"/>
              </w:rPr>
            </w:pPr>
            <w:r w:rsidRPr="008D60D3">
              <w:rPr>
                <w:lang w:val="es-ES"/>
              </w:rPr>
              <w:t>Finalidad</w:t>
            </w:r>
          </w:p>
          <w:p w14:paraId="25FEC99D" w14:textId="77777777" w:rsidR="00761C4D" w:rsidRPr="00973533" w:rsidRDefault="00761C4D" w:rsidP="00BA399B">
            <w:pPr>
              <w:rPr>
                <w:lang w:val="es-ES"/>
              </w:rPr>
            </w:pPr>
            <w:r w:rsidRPr="00973533">
              <w:rPr>
                <w:lang w:val="es-ES"/>
              </w:rPr>
              <w:t>El presente informe resume las actividades y los logros del Grupo de Trabajo del Consejo sobre los Idiomas (GTC-IDIOMAS) durante el periodo 2023-2026, de conformidad con la Resolución 154 (Rev. Bucarest, 2022) de la Conferencia de Plenipotenciarios y la Resolución 1372 (C15, modificada por última vez C24) del Consejo.</w:t>
            </w:r>
          </w:p>
          <w:p w14:paraId="3A895BFC" w14:textId="77777777" w:rsidR="00761C4D" w:rsidRPr="008D60D3" w:rsidRDefault="00761C4D" w:rsidP="008D60D3">
            <w:pPr>
              <w:pStyle w:val="Headingb"/>
              <w:rPr>
                <w:lang w:val="es-ES"/>
              </w:rPr>
            </w:pPr>
            <w:r w:rsidRPr="008D60D3">
              <w:rPr>
                <w:lang w:val="es-ES"/>
              </w:rPr>
              <w:t>Acción solicitada al Consejo</w:t>
            </w:r>
          </w:p>
          <w:p w14:paraId="429AA51E" w14:textId="77777777" w:rsidR="00761C4D" w:rsidRPr="00973533" w:rsidRDefault="00761C4D" w:rsidP="00BA399B">
            <w:pPr>
              <w:spacing w:before="160"/>
              <w:rPr>
                <w:szCs w:val="24"/>
                <w:lang w:val="es-ES"/>
              </w:rPr>
            </w:pPr>
            <w:r w:rsidRPr="00973533">
              <w:rPr>
                <w:szCs w:val="24"/>
                <w:lang w:val="es-ES"/>
              </w:rPr>
              <w:t xml:space="preserve">Se invita al Consejo a </w:t>
            </w:r>
            <w:r w:rsidRPr="00973533">
              <w:rPr>
                <w:b/>
                <w:bCs/>
                <w:szCs w:val="24"/>
                <w:lang w:val="es-ES"/>
              </w:rPr>
              <w:t>examinar</w:t>
            </w:r>
            <w:r w:rsidRPr="00973533">
              <w:rPr>
                <w:szCs w:val="24"/>
                <w:lang w:val="es-ES"/>
              </w:rPr>
              <w:t xml:space="preserve"> el presente informe y a </w:t>
            </w:r>
            <w:r w:rsidRPr="00973533">
              <w:rPr>
                <w:b/>
                <w:bCs/>
                <w:szCs w:val="24"/>
                <w:lang w:val="es-ES"/>
              </w:rPr>
              <w:t>presentar</w:t>
            </w:r>
            <w:r w:rsidRPr="00973533">
              <w:rPr>
                <w:szCs w:val="24"/>
                <w:lang w:val="es-ES"/>
              </w:rPr>
              <w:t xml:space="preserve"> sus recomendaciones a la Conferencia de Plenipotenciarios, según proceda.</w:t>
            </w:r>
          </w:p>
          <w:p w14:paraId="41BD502E" w14:textId="77777777" w:rsidR="00761C4D" w:rsidRPr="008D60D3" w:rsidRDefault="00761C4D" w:rsidP="008D60D3">
            <w:pPr>
              <w:pStyle w:val="Headingb"/>
              <w:rPr>
                <w:lang w:val="es-ES"/>
              </w:rPr>
            </w:pPr>
            <w:r w:rsidRPr="008D60D3">
              <w:rPr>
                <w:lang w:val="es-ES"/>
              </w:rPr>
              <w:t>Vínculo(s) pertinente(s) con el Plan Estratégico</w:t>
            </w:r>
          </w:p>
          <w:p w14:paraId="16B9DE36" w14:textId="77777777" w:rsidR="00761C4D" w:rsidRPr="00973533" w:rsidRDefault="00761C4D" w:rsidP="00BA399B">
            <w:pPr>
              <w:rPr>
                <w:lang w:val="es-ES"/>
              </w:rPr>
            </w:pPr>
            <w:r w:rsidRPr="00973533">
              <w:rPr>
                <w:lang w:val="es-ES"/>
              </w:rPr>
              <w:t>Excelencia en materia de recursos humanos e innovación institucional.</w:t>
            </w:r>
          </w:p>
          <w:p w14:paraId="738E8DDD" w14:textId="77777777" w:rsidR="00761C4D" w:rsidRPr="00973533" w:rsidRDefault="00761C4D" w:rsidP="008D60D3">
            <w:pPr>
              <w:pStyle w:val="Headingb"/>
              <w:rPr>
                <w:lang w:val="es-ES"/>
              </w:rPr>
            </w:pPr>
            <w:r w:rsidRPr="00973533">
              <w:rPr>
                <w:lang w:val="es-ES"/>
              </w:rPr>
              <w:t>Repercusiones financieras</w:t>
            </w:r>
          </w:p>
          <w:p w14:paraId="3EE545BB" w14:textId="77777777" w:rsidR="00761C4D" w:rsidRPr="00973533" w:rsidRDefault="00761C4D" w:rsidP="00BA399B">
            <w:pPr>
              <w:rPr>
                <w:lang w:val="es-ES"/>
              </w:rPr>
            </w:pPr>
            <w:r w:rsidRPr="00973533">
              <w:rPr>
                <w:lang w:val="es-ES"/>
              </w:rPr>
              <w:t>Con cargo al presupuesto asignado para 2025-2026</w:t>
            </w:r>
          </w:p>
          <w:p w14:paraId="7CB0E6E1" w14:textId="77777777" w:rsidR="00761C4D" w:rsidRPr="00973533" w:rsidRDefault="00761C4D" w:rsidP="00BA399B">
            <w:pPr>
              <w:spacing w:before="160"/>
              <w:rPr>
                <w:caps/>
                <w:sz w:val="22"/>
                <w:lang w:val="es-ES"/>
              </w:rPr>
            </w:pPr>
            <w:r w:rsidRPr="00973533">
              <w:rPr>
                <w:sz w:val="22"/>
                <w:lang w:val="es-ES"/>
              </w:rPr>
              <w:t>__________________</w:t>
            </w:r>
          </w:p>
          <w:p w14:paraId="29963EAD" w14:textId="0749F4E7" w:rsidR="00761C4D" w:rsidRPr="008D60D3" w:rsidRDefault="00761C4D" w:rsidP="008D60D3">
            <w:pPr>
              <w:pStyle w:val="Headingb"/>
              <w:rPr>
                <w:lang w:val="es-ES"/>
              </w:rPr>
            </w:pPr>
            <w:r w:rsidRPr="008D60D3">
              <w:rPr>
                <w:lang w:val="es-ES"/>
              </w:rPr>
              <w:t>Referencias</w:t>
            </w:r>
          </w:p>
          <w:p w14:paraId="03EF2CEC" w14:textId="2E94DDFB" w:rsidR="00761C4D" w:rsidRPr="00973533" w:rsidRDefault="00761C4D" w:rsidP="00BA399B">
            <w:pPr>
              <w:spacing w:after="160"/>
              <w:rPr>
                <w:i/>
                <w:iCs/>
                <w:sz w:val="22"/>
                <w:szCs w:val="22"/>
                <w:lang w:val="es-ES"/>
              </w:rPr>
            </w:pPr>
            <w:hyperlink r:id="rId16" w:history="1">
              <w:r w:rsidRPr="00973533">
                <w:rPr>
                  <w:rStyle w:val="Hyperlink"/>
                  <w:i/>
                  <w:iCs/>
                  <w:sz w:val="22"/>
                  <w:lang w:val="es-ES"/>
                </w:rPr>
                <w:t>Decisión 11 (Rev. Dubái, 2018)</w:t>
              </w:r>
            </w:hyperlink>
            <w:r w:rsidRPr="00973533">
              <w:rPr>
                <w:i/>
                <w:iCs/>
                <w:sz w:val="22"/>
                <w:lang w:val="es-ES"/>
              </w:rPr>
              <w:t xml:space="preserve"> de la Conferencia de Plenipotenciarios</w:t>
            </w:r>
            <w:r w:rsidRPr="00973533">
              <w:rPr>
                <w:sz w:val="22"/>
                <w:szCs w:val="22"/>
                <w:lang w:val="es-ES"/>
              </w:rPr>
              <w:t xml:space="preserve">; </w:t>
            </w:r>
            <w:hyperlink r:id="rId17" w:anchor="/es" w:history="1">
              <w:r w:rsidRPr="00973533">
                <w:rPr>
                  <w:rStyle w:val="Hyperlink"/>
                  <w:i/>
                  <w:iCs/>
                  <w:sz w:val="22"/>
                  <w:lang w:val="es-ES"/>
                </w:rPr>
                <w:t>sitio web del GTC-I</w:t>
              </w:r>
              <w:r>
                <w:rPr>
                  <w:rStyle w:val="Hyperlink"/>
                  <w:i/>
                  <w:iCs/>
                  <w:sz w:val="22"/>
                  <w:lang w:val="es-ES"/>
                </w:rPr>
                <w:t>D</w:t>
              </w:r>
              <w:r w:rsidRPr="00BA399B">
                <w:rPr>
                  <w:rStyle w:val="Hyperlink"/>
                  <w:i/>
                  <w:iCs/>
                  <w:sz w:val="22"/>
                  <w:lang w:val="es-ES"/>
                </w:rPr>
                <w:t>IOMAS</w:t>
              </w:r>
            </w:hyperlink>
          </w:p>
        </w:tc>
      </w:tr>
    </w:tbl>
    <w:p w14:paraId="5C6E6510" w14:textId="77777777" w:rsidR="00761C4D" w:rsidRPr="00973533" w:rsidRDefault="00761C4D" w:rsidP="00761C4D">
      <w:pPr>
        <w:rPr>
          <w:lang w:val="es-ES"/>
        </w:rPr>
      </w:pPr>
    </w:p>
    <w:p w14:paraId="122805EF" w14:textId="77777777" w:rsidR="00761C4D" w:rsidRPr="00973533" w:rsidRDefault="00761C4D" w:rsidP="00761C4D">
      <w:pPr>
        <w:tabs>
          <w:tab w:val="clear" w:pos="567"/>
          <w:tab w:val="clear" w:pos="1134"/>
          <w:tab w:val="clear" w:pos="1701"/>
          <w:tab w:val="clear" w:pos="2268"/>
          <w:tab w:val="clear" w:pos="2835"/>
        </w:tabs>
        <w:overflowPunct/>
        <w:autoSpaceDE/>
        <w:autoSpaceDN/>
        <w:adjustRightInd/>
        <w:spacing w:before="0"/>
        <w:textAlignment w:val="auto"/>
        <w:rPr>
          <w:rFonts w:eastAsia="SimSun"/>
          <w:b/>
          <w:sz w:val="28"/>
          <w:lang w:val="es-ES"/>
        </w:rPr>
      </w:pPr>
      <w:r w:rsidRPr="00973533">
        <w:rPr>
          <w:rFonts w:eastAsia="SimSun"/>
          <w:lang w:val="es-ES"/>
        </w:rPr>
        <w:br w:type="page"/>
      </w:r>
    </w:p>
    <w:p w14:paraId="2478639D" w14:textId="77777777" w:rsidR="00761C4D" w:rsidRPr="008D60D3" w:rsidRDefault="00761C4D" w:rsidP="008D60D3">
      <w:pPr>
        <w:pStyle w:val="Heading1"/>
        <w:rPr>
          <w:lang w:val="es-ES"/>
        </w:rPr>
      </w:pPr>
      <w:r w:rsidRPr="008D60D3">
        <w:rPr>
          <w:lang w:val="es-ES"/>
        </w:rPr>
        <w:lastRenderedPageBreak/>
        <w:t>I</w:t>
      </w:r>
      <w:r w:rsidRPr="008D60D3">
        <w:rPr>
          <w:lang w:val="es-ES"/>
        </w:rPr>
        <w:tab/>
        <w:t>Introducción</w:t>
      </w:r>
    </w:p>
    <w:p w14:paraId="399243F2" w14:textId="77777777" w:rsidR="00761C4D" w:rsidRPr="00973533" w:rsidRDefault="00761C4D" w:rsidP="008D60D3">
      <w:pPr>
        <w:rPr>
          <w:rFonts w:cstheme="majorBidi"/>
          <w:lang w:val="es-ES"/>
        </w:rPr>
      </w:pPr>
      <w:r w:rsidRPr="00973533">
        <w:rPr>
          <w:lang w:val="es-ES"/>
        </w:rPr>
        <w:t xml:space="preserve">De conformidad con la Resolución 154 (Rev. Bucarest, 2022) de la Conferencia de Plenipotenciarios y la Resolución </w:t>
      </w:r>
      <w:r w:rsidRPr="00973533">
        <w:rPr>
          <w:spacing w:val="4"/>
          <w:lang w:val="es-ES"/>
        </w:rPr>
        <w:t xml:space="preserve">1372 (C15, modificada por última vez </w:t>
      </w:r>
      <w:r>
        <w:rPr>
          <w:spacing w:val="4"/>
          <w:lang w:val="es-ES"/>
        </w:rPr>
        <w:t>C</w:t>
      </w:r>
      <w:r w:rsidRPr="00973533">
        <w:rPr>
          <w:spacing w:val="4"/>
          <w:lang w:val="es-ES"/>
        </w:rPr>
        <w:t>24)</w:t>
      </w:r>
      <w:r w:rsidRPr="001C4B2A">
        <w:rPr>
          <w:spacing w:val="4"/>
          <w:lang w:val="es-ES"/>
        </w:rPr>
        <w:t xml:space="preserve"> </w:t>
      </w:r>
      <w:r w:rsidRPr="00973533">
        <w:rPr>
          <w:spacing w:val="4"/>
          <w:lang w:val="es-ES"/>
        </w:rPr>
        <w:t xml:space="preserve">del Consejo, el Grupo de Trabajo del Consejo sobre los idiomas </w:t>
      </w:r>
      <w:r w:rsidRPr="00973533">
        <w:rPr>
          <w:rFonts w:cstheme="majorBidi"/>
          <w:color w:val="000000"/>
          <w:lang w:val="es-ES"/>
        </w:rPr>
        <w:t>(GTC-IDIOMAS) tiene por mandato seguir adoptando todas las medidas necesarias para garantizar la utilización de los seis idiomas oficiales de la Unión en igualdad de condiciones y proporcionar servicios de interpretación y de traducción de documentos de la UIT.</w:t>
      </w:r>
    </w:p>
    <w:p w14:paraId="3B456073" w14:textId="23CFB116" w:rsidR="00761C4D" w:rsidRPr="00973533" w:rsidRDefault="00761C4D" w:rsidP="008D60D3">
      <w:pPr>
        <w:rPr>
          <w:lang w:val="es-ES"/>
        </w:rPr>
      </w:pPr>
      <w:r w:rsidRPr="00973533">
        <w:rPr>
          <w:lang w:val="es-ES"/>
        </w:rPr>
        <w:t>Presidido por la Sra. Sharon Bosire (Ken</w:t>
      </w:r>
      <w:r>
        <w:rPr>
          <w:lang w:val="es-ES"/>
        </w:rPr>
        <w:t>y</w:t>
      </w:r>
      <w:r w:rsidRPr="00973533">
        <w:rPr>
          <w:lang w:val="es-ES"/>
        </w:rPr>
        <w:t>a) en 2023 y 2024, la Sra. Blanca González (España) como presidenta en funciones en 2025 y la Sra. Rebecca Mukite (Uganda) en 2026, los trabajos del GTC</w:t>
      </w:r>
      <w:r w:rsidR="00C12175">
        <w:rPr>
          <w:lang w:val="es-ES"/>
        </w:rPr>
        <w:noBreakHyphen/>
      </w:r>
      <w:r w:rsidRPr="00973533">
        <w:rPr>
          <w:lang w:val="es-ES"/>
        </w:rPr>
        <w:t>IDIOMAS se centraron en:</w:t>
      </w:r>
    </w:p>
    <w:p w14:paraId="6F91E4D4" w14:textId="77777777" w:rsidR="00761C4D" w:rsidRPr="00973533" w:rsidRDefault="00761C4D" w:rsidP="00761C4D">
      <w:pPr>
        <w:pStyle w:val="enumlev1"/>
        <w:rPr>
          <w:lang w:val="es-ES"/>
        </w:rPr>
      </w:pPr>
      <w:r w:rsidRPr="00973533">
        <w:rPr>
          <w:lang w:val="es-ES"/>
        </w:rPr>
        <w:t>a)</w:t>
      </w:r>
      <w:r w:rsidRPr="00973533">
        <w:rPr>
          <w:lang w:val="es-ES"/>
        </w:rPr>
        <w:tab/>
        <w:t>Análisis de los presupuestos y volúmenes de traducción e interpretación en los seis idiomas oficiales.</w:t>
      </w:r>
    </w:p>
    <w:p w14:paraId="4B049D0A" w14:textId="77777777" w:rsidR="00761C4D" w:rsidRPr="00973533" w:rsidRDefault="00761C4D" w:rsidP="00761C4D">
      <w:pPr>
        <w:pStyle w:val="enumlev1"/>
        <w:rPr>
          <w:lang w:val="es-ES"/>
        </w:rPr>
      </w:pPr>
      <w:r w:rsidRPr="00973533">
        <w:rPr>
          <w:lang w:val="es-ES"/>
        </w:rPr>
        <w:t>b)</w:t>
      </w:r>
      <w:r w:rsidRPr="00973533">
        <w:rPr>
          <w:lang w:val="es-ES"/>
        </w:rPr>
        <w:tab/>
        <w:t>Participación en reuniones interinstitucionales para comparar herramientas y procedimientos.</w:t>
      </w:r>
    </w:p>
    <w:p w14:paraId="0B096493" w14:textId="77777777" w:rsidR="00761C4D" w:rsidRPr="00973533" w:rsidRDefault="00761C4D" w:rsidP="00761C4D">
      <w:pPr>
        <w:pStyle w:val="enumlev1"/>
        <w:rPr>
          <w:lang w:val="es-ES"/>
        </w:rPr>
      </w:pPr>
      <w:r w:rsidRPr="00973533">
        <w:rPr>
          <w:lang w:val="es-ES"/>
        </w:rPr>
        <w:t>c)</w:t>
      </w:r>
      <w:r w:rsidRPr="00973533">
        <w:rPr>
          <w:lang w:val="es-ES"/>
        </w:rPr>
        <w:tab/>
        <w:t>Evaluación y utilización de nuevas tecnologías para aumentar la eficacia y reducir el coste en la prestación de servicios lingüísticos, incluida la traducción automática y la interpretación simultánea a distancia.</w:t>
      </w:r>
    </w:p>
    <w:p w14:paraId="02640A03" w14:textId="77777777" w:rsidR="00761C4D" w:rsidRPr="00973533" w:rsidRDefault="00761C4D" w:rsidP="00761C4D">
      <w:pPr>
        <w:pStyle w:val="enumlev1"/>
        <w:rPr>
          <w:lang w:val="es-ES"/>
        </w:rPr>
      </w:pPr>
      <w:r w:rsidRPr="00973533">
        <w:rPr>
          <w:lang w:val="es-ES"/>
        </w:rPr>
        <w:t>d)</w:t>
      </w:r>
      <w:r w:rsidRPr="00973533">
        <w:rPr>
          <w:lang w:val="es-ES"/>
        </w:rPr>
        <w:tab/>
        <w:t xml:space="preserve">Presentación de informes sobre los retos y las oportunidades de la interpretación automática y evaluación de las pruebas realizadas durante las reuniones del </w:t>
      </w:r>
      <w:r>
        <w:rPr>
          <w:lang w:val="es-ES"/>
        </w:rPr>
        <w:t>GTC-IDIOMAS</w:t>
      </w:r>
      <w:r w:rsidRPr="00973533">
        <w:rPr>
          <w:lang w:val="es-ES"/>
        </w:rPr>
        <w:t>.</w:t>
      </w:r>
    </w:p>
    <w:p w14:paraId="52E0C7D1" w14:textId="77777777" w:rsidR="00761C4D" w:rsidRPr="00973533" w:rsidRDefault="00761C4D" w:rsidP="00761C4D">
      <w:pPr>
        <w:pStyle w:val="enumlev1"/>
        <w:rPr>
          <w:lang w:val="es-ES"/>
        </w:rPr>
      </w:pPr>
      <w:r w:rsidRPr="00973533">
        <w:rPr>
          <w:lang w:val="es-ES"/>
        </w:rPr>
        <w:t>e)</w:t>
      </w:r>
      <w:r w:rsidRPr="00973533">
        <w:rPr>
          <w:lang w:val="es-ES"/>
        </w:rPr>
        <w:tab/>
        <w:t>Información actualizada sobre los trabajos del Comité de Coordinación de Terminología (CCT) de la UIT.</w:t>
      </w:r>
    </w:p>
    <w:p w14:paraId="145E75A5" w14:textId="77777777" w:rsidR="00761C4D" w:rsidRPr="00973533" w:rsidRDefault="00761C4D" w:rsidP="00761C4D">
      <w:pPr>
        <w:pStyle w:val="enumlev1"/>
        <w:rPr>
          <w:lang w:val="es-ES"/>
        </w:rPr>
      </w:pPr>
      <w:r w:rsidRPr="00973533">
        <w:rPr>
          <w:lang w:val="es-ES"/>
        </w:rPr>
        <w:t>f)</w:t>
      </w:r>
      <w:r w:rsidRPr="00973533">
        <w:rPr>
          <w:lang w:val="es-ES"/>
        </w:rPr>
        <w:tab/>
        <w:t>Esfuerzos para mejorar el uso en igualdad de condiciones del sitio web de la UIT y armonizar el sitio web de la UIT.</w:t>
      </w:r>
    </w:p>
    <w:p w14:paraId="06D407D2" w14:textId="77777777" w:rsidR="00761C4D" w:rsidRPr="00973533" w:rsidRDefault="00761C4D" w:rsidP="00761C4D">
      <w:pPr>
        <w:pStyle w:val="enumlev1"/>
        <w:rPr>
          <w:lang w:val="es-ES"/>
        </w:rPr>
      </w:pPr>
      <w:r w:rsidRPr="00973533">
        <w:rPr>
          <w:lang w:val="es-ES"/>
        </w:rPr>
        <w:t>g)</w:t>
      </w:r>
      <w:r w:rsidRPr="00973533">
        <w:rPr>
          <w:lang w:val="es-ES"/>
        </w:rPr>
        <w:tab/>
        <w:t>Publicación y aplicación de la guía sobre prácticas presentes y futuras en materia de multilingüismo en la UIT y de las correspondientes directrices para el personal sobre el uso de la traducción automática.</w:t>
      </w:r>
    </w:p>
    <w:p w14:paraId="0F3CC4B4" w14:textId="77777777" w:rsidR="00761C4D" w:rsidRPr="00973533" w:rsidRDefault="00761C4D" w:rsidP="00761C4D">
      <w:pPr>
        <w:pStyle w:val="enumlev1"/>
        <w:rPr>
          <w:lang w:val="es-ES"/>
        </w:rPr>
      </w:pPr>
      <w:r w:rsidRPr="00973533">
        <w:rPr>
          <w:lang w:val="es-ES"/>
        </w:rPr>
        <w:t>h)</w:t>
      </w:r>
      <w:r w:rsidRPr="00973533">
        <w:rPr>
          <w:lang w:val="es-ES"/>
        </w:rPr>
        <w:tab/>
        <w:t>Desarrollo de nuevas herramientas lingüísticas y de publicación basadas en IA, como las herramientas basadas en IA de la UIT de edición y subtitulado y la herramienta de publicación electrónica de la UIT.</w:t>
      </w:r>
    </w:p>
    <w:p w14:paraId="2952F6D2" w14:textId="77777777" w:rsidR="00761C4D" w:rsidRPr="00973533" w:rsidRDefault="00761C4D" w:rsidP="008D60D3">
      <w:pPr>
        <w:pStyle w:val="Heading1"/>
        <w:rPr>
          <w:lang w:val="es-ES"/>
        </w:rPr>
      </w:pPr>
      <w:r w:rsidRPr="008D60D3">
        <w:rPr>
          <w:lang w:val="es-ES"/>
        </w:rPr>
        <w:t>II</w:t>
      </w:r>
      <w:r w:rsidRPr="008D60D3">
        <w:rPr>
          <w:lang w:val="es-ES"/>
        </w:rPr>
        <w:tab/>
        <w:t>Actividades del GTC</w:t>
      </w:r>
      <w:r w:rsidRPr="00973533">
        <w:rPr>
          <w:lang w:val="es-ES"/>
        </w:rPr>
        <w:t>-IDIOMAS</w:t>
      </w:r>
    </w:p>
    <w:p w14:paraId="6ED3B06D" w14:textId="09AA5324" w:rsidR="00761C4D" w:rsidRPr="00973533" w:rsidRDefault="00761C4D" w:rsidP="00761C4D">
      <w:pPr>
        <w:rPr>
          <w:lang w:val="es-ES"/>
        </w:rPr>
      </w:pPr>
      <w:r w:rsidRPr="008D60D3">
        <w:rPr>
          <w:lang w:val="es-ES"/>
        </w:rPr>
        <w:t>1</w:t>
      </w:r>
      <w:r w:rsidRPr="008D60D3">
        <w:rPr>
          <w:lang w:val="es-ES"/>
        </w:rPr>
        <w:tab/>
        <w:t>L</w:t>
      </w:r>
      <w:r w:rsidRPr="00973533">
        <w:rPr>
          <w:lang w:val="es-ES"/>
        </w:rPr>
        <w:t xml:space="preserve">os principales resultados de la </w:t>
      </w:r>
      <w:hyperlink r:id="rId18" w:history="1">
        <w:r w:rsidRPr="008D60D3">
          <w:rPr>
            <w:rStyle w:val="Hyperlink"/>
          </w:rPr>
          <w:t>decimotercera reunión</w:t>
        </w:r>
      </w:hyperlink>
      <w:r w:rsidRPr="00973533">
        <w:rPr>
          <w:lang w:val="es-ES"/>
        </w:rPr>
        <w:t xml:space="preserve"> del GTC-IDIOMAS, celebrada el 9 de octubre de 2023, fueron los siguientes:</w:t>
      </w:r>
    </w:p>
    <w:p w14:paraId="4A243324" w14:textId="77777777" w:rsidR="00761C4D" w:rsidRPr="00973533" w:rsidRDefault="00761C4D" w:rsidP="00761C4D">
      <w:pPr>
        <w:pStyle w:val="enumlev1"/>
        <w:rPr>
          <w:rFonts w:eastAsia="Calibri" w:cs="Arial"/>
          <w:kern w:val="2"/>
          <w:lang w:val="es-ES"/>
          <w14:ligatures w14:val="standardContextual"/>
        </w:rPr>
      </w:pPr>
      <w:r w:rsidRPr="00973533">
        <w:rPr>
          <w:lang w:val="es-ES"/>
        </w:rPr>
        <w:t>–</w:t>
      </w:r>
      <w:r w:rsidRPr="00973533">
        <w:rPr>
          <w:lang w:val="es-ES"/>
        </w:rPr>
        <w:tab/>
        <w:t>se refrendó la propuesta de la Secretaría para la colaboración en materia de terminología entre el Departamento de Conferencias y Publicaciones de la UIT y los Estados Miembros interesados y se aprobó la publicación de una carta circular para informar más detalladamente sobre este particular a todos los Estados Miembros;</w:t>
      </w:r>
    </w:p>
    <w:p w14:paraId="69CADB7F" w14:textId="77777777" w:rsidR="00761C4D" w:rsidRPr="00973533" w:rsidRDefault="00761C4D" w:rsidP="00761C4D">
      <w:pPr>
        <w:pStyle w:val="enumlev1"/>
        <w:rPr>
          <w:rFonts w:eastAsia="Calibri" w:cs="Calibri"/>
          <w:kern w:val="2"/>
          <w:lang w:val="es-ES"/>
          <w14:ligatures w14:val="standardContextual"/>
        </w:rPr>
      </w:pPr>
      <w:r w:rsidRPr="00973533">
        <w:rPr>
          <w:lang w:val="es-ES"/>
        </w:rPr>
        <w:t>–</w:t>
      </w:r>
      <w:r w:rsidRPr="00973533">
        <w:rPr>
          <w:lang w:val="es-ES"/>
        </w:rPr>
        <w:tab/>
        <w:t>tras la presentación inicial de la guía sobre prácticas presentes y futuras en materia de multilingüismo, se solicitó a la Secretaría que actualizara el documento para presentarlo en la próxima reunión del GTC-IDIOMAS con el fin de incorporar los eventuales adelantos tecnológicos y ofrecer más detalles sobre el aumento de la disponibilidad de contenidos de la UIT en idiomas no oficiales, en consonancia con los comentarios de los delegados</w:t>
      </w:r>
      <w:r w:rsidRPr="00973533">
        <w:rPr>
          <w:rFonts w:eastAsia="Calibri" w:cs="Calibri"/>
          <w:kern w:val="2"/>
          <w:lang w:val="es-ES"/>
          <w14:ligatures w14:val="standardContextual"/>
        </w:rPr>
        <w:t>;</w:t>
      </w:r>
    </w:p>
    <w:p w14:paraId="265374CD" w14:textId="77777777" w:rsidR="00761C4D" w:rsidRPr="00973533" w:rsidRDefault="00761C4D" w:rsidP="00761C4D">
      <w:pPr>
        <w:pStyle w:val="enumlev1"/>
        <w:rPr>
          <w:rFonts w:cs="Calibri"/>
          <w:kern w:val="2"/>
          <w:lang w:val="es-ES"/>
          <w14:ligatures w14:val="standardContextual"/>
        </w:rPr>
      </w:pPr>
      <w:r w:rsidRPr="00973533">
        <w:rPr>
          <w:lang w:val="es-ES"/>
        </w:rPr>
        <w:lastRenderedPageBreak/>
        <w:t>–</w:t>
      </w:r>
      <w:r w:rsidRPr="00973533">
        <w:rPr>
          <w:lang w:val="es-ES"/>
        </w:rPr>
        <w:tab/>
        <w:t xml:space="preserve">se introdujeron modificaciones de edición en </w:t>
      </w:r>
      <w:r w:rsidRPr="00973533">
        <w:rPr>
          <w:rFonts w:cs="Calibri"/>
          <w:kern w:val="2"/>
          <w:lang w:val="es-ES"/>
          <w14:ligatures w14:val="standardContextual"/>
        </w:rPr>
        <w:t xml:space="preserve">el Documento </w:t>
      </w:r>
      <w:hyperlink r:id="rId19" w:history="1">
        <w:r w:rsidRPr="00973533">
          <w:rPr>
            <w:rFonts w:cs="Calibri"/>
            <w:color w:val="4F81BD" w:themeColor="accent1"/>
            <w:kern w:val="2"/>
            <w:u w:val="single"/>
            <w:lang w:val="es-ES"/>
            <w14:ligatures w14:val="standardContextual"/>
          </w:rPr>
          <w:t>CWG-LANG-13/6</w:t>
        </w:r>
      </w:hyperlink>
      <w:r w:rsidRPr="00973533">
        <w:rPr>
          <w:rFonts w:cs="Calibri"/>
          <w:kern w:val="2"/>
          <w:lang w:val="es-ES"/>
          <w14:ligatures w14:val="standardContextual"/>
        </w:rPr>
        <w:t xml:space="preserve"> y se propuso que el Consejo refrendase el proyecto de revisión de la Resolución 1386 (C17, modificada por última vez C2</w:t>
      </w:r>
      <w:r>
        <w:rPr>
          <w:rFonts w:cs="Calibri"/>
          <w:kern w:val="2"/>
          <w:lang w:val="es-ES"/>
          <w14:ligatures w14:val="standardContextual"/>
        </w:rPr>
        <w:t>4</w:t>
      </w:r>
      <w:r w:rsidRPr="00973533">
        <w:rPr>
          <w:rFonts w:cs="Calibri"/>
          <w:kern w:val="2"/>
          <w:lang w:val="es-ES"/>
          <w14:ligatures w14:val="standardContextual"/>
        </w:rPr>
        <w:t>) relativa al Comité de Coordinación de la Terminología</w:t>
      </w:r>
      <w:r>
        <w:rPr>
          <w:rFonts w:cs="Calibri"/>
          <w:kern w:val="2"/>
          <w:lang w:val="es-ES"/>
          <w14:ligatures w14:val="standardContextual"/>
        </w:rPr>
        <w:t xml:space="preserve"> de la UIT</w:t>
      </w:r>
      <w:r w:rsidRPr="00973533">
        <w:rPr>
          <w:rFonts w:cs="Calibri"/>
          <w:kern w:val="2"/>
          <w:lang w:val="es-ES"/>
          <w14:ligatures w14:val="standardContextual"/>
        </w:rPr>
        <w:t xml:space="preserve"> (CCT UIT);</w:t>
      </w:r>
    </w:p>
    <w:p w14:paraId="6AB491E5" w14:textId="77777777" w:rsidR="00761C4D" w:rsidRPr="00973533" w:rsidRDefault="00761C4D" w:rsidP="00761C4D">
      <w:pPr>
        <w:pStyle w:val="enumlev1"/>
        <w:rPr>
          <w:rFonts w:cs="Calibri"/>
          <w:kern w:val="2"/>
          <w:lang w:val="es-ES"/>
          <w14:ligatures w14:val="standardContextual"/>
        </w:rPr>
      </w:pPr>
      <w:r w:rsidRPr="00973533">
        <w:rPr>
          <w:lang w:val="es-ES"/>
        </w:rPr>
        <w:t>–</w:t>
      </w:r>
      <w:r w:rsidRPr="00973533">
        <w:rPr>
          <w:lang w:val="es-ES"/>
        </w:rPr>
        <w:tab/>
      </w:r>
      <w:r w:rsidRPr="00973533">
        <w:rPr>
          <w:rFonts w:cs="Calibri"/>
          <w:kern w:val="2"/>
          <w:lang w:val="es-ES"/>
          <w14:ligatures w14:val="standardContextual"/>
        </w:rPr>
        <w:t>se invió a presentar más contribuciones y se revisaron las propuestas para finalizar el proyecto de revisión de la Resolución 1372 (C15, modificada por última vez C</w:t>
      </w:r>
      <w:r>
        <w:rPr>
          <w:rFonts w:cs="Calibri"/>
          <w:kern w:val="2"/>
          <w:lang w:val="es-ES"/>
          <w14:ligatures w14:val="standardContextual"/>
        </w:rPr>
        <w:t>19</w:t>
      </w:r>
      <w:r w:rsidRPr="00973533">
        <w:rPr>
          <w:rFonts w:cs="Calibri"/>
          <w:kern w:val="2"/>
          <w:lang w:val="es-ES"/>
          <w14:ligatures w14:val="standardContextual"/>
        </w:rPr>
        <w:t>) sobre el GTC-IDIOMAS;</w:t>
      </w:r>
    </w:p>
    <w:p w14:paraId="2C4DEB97" w14:textId="43124682" w:rsidR="00761C4D" w:rsidRPr="00973533" w:rsidRDefault="00761C4D" w:rsidP="00761C4D">
      <w:pPr>
        <w:pStyle w:val="enumlev1"/>
        <w:rPr>
          <w:rFonts w:cs="Calibri"/>
          <w:kern w:val="2"/>
          <w:lang w:val="es-ES"/>
          <w14:ligatures w14:val="standardContextual"/>
        </w:rPr>
      </w:pPr>
      <w:r w:rsidRPr="00973533">
        <w:rPr>
          <w:lang w:val="es-ES"/>
        </w:rPr>
        <w:t>–</w:t>
      </w:r>
      <w:r w:rsidRPr="00973533">
        <w:rPr>
          <w:lang w:val="es-ES"/>
        </w:rPr>
        <w:tab/>
      </w:r>
      <w:r w:rsidRPr="00973533">
        <w:rPr>
          <w:rFonts w:cs="Calibri"/>
          <w:kern w:val="2"/>
          <w:lang w:val="es-ES"/>
          <w14:ligatures w14:val="standardContextual"/>
        </w:rPr>
        <w:t>se solicitó a la Secretaría que recopilara en un documento los comentarios del GTC</w:t>
      </w:r>
      <w:r w:rsidRPr="00973533">
        <w:rPr>
          <w:rFonts w:cs="Calibri"/>
          <w:kern w:val="2"/>
          <w:lang w:val="es-ES"/>
          <w14:ligatures w14:val="standardContextual"/>
        </w:rPr>
        <w:noBreakHyphen/>
        <w:t>IDIOMAS sobre la mejora del sitio web de la UIT y que lo transmitiera al GTC</w:t>
      </w:r>
      <w:r w:rsidRPr="00973533">
        <w:rPr>
          <w:rFonts w:cs="Calibri"/>
          <w:kern w:val="2"/>
          <w:lang w:val="es-ES"/>
          <w14:ligatures w14:val="standardContextual"/>
        </w:rPr>
        <w:noBreakHyphen/>
        <w:t>RHF antes de que se mantuvieran los debates sobre este asunto; que presentara los resultados de dichos debates conjuntos a la próxima reunión del GTC-IDIOMAS; y que presentara en la próxima reunión del GTC-IDIOMAS un documento informativo en el que se resuman los progresos logrados en la armonización del sitio web.</w:t>
      </w:r>
    </w:p>
    <w:p w14:paraId="4453BAD3" w14:textId="77777777" w:rsidR="00761C4D" w:rsidRPr="008D60D3" w:rsidRDefault="00761C4D" w:rsidP="00761C4D">
      <w:pPr>
        <w:rPr>
          <w:lang w:val="es-ES"/>
        </w:rPr>
      </w:pPr>
      <w:r w:rsidRPr="008D60D3">
        <w:rPr>
          <w:lang w:val="es-ES"/>
        </w:rPr>
        <w:t>2</w:t>
      </w:r>
      <w:r w:rsidRPr="00973533">
        <w:rPr>
          <w:lang w:val="es-ES"/>
        </w:rPr>
        <w:tab/>
        <w:t xml:space="preserve">Los principales resultados de la </w:t>
      </w:r>
      <w:hyperlink r:id="rId20" w:history="1">
        <w:r w:rsidRPr="008D60D3">
          <w:rPr>
            <w:rStyle w:val="Hyperlink"/>
          </w:rPr>
          <w:t>decimocuarta reunión</w:t>
        </w:r>
      </w:hyperlink>
      <w:r w:rsidRPr="008D60D3">
        <w:rPr>
          <w:lang w:val="es-ES"/>
        </w:rPr>
        <w:t xml:space="preserve"> del GTC-IDIOMAS, celebrada el 23 de enero de 2024, fueron los siguientes:</w:t>
      </w:r>
    </w:p>
    <w:p w14:paraId="5B33089E" w14:textId="77777777" w:rsidR="00761C4D" w:rsidRPr="00973533" w:rsidRDefault="00761C4D" w:rsidP="00761C4D">
      <w:pPr>
        <w:pStyle w:val="enumlev1"/>
        <w:rPr>
          <w:bCs/>
          <w:kern w:val="2"/>
          <w:lang w:val="es-ES"/>
          <w14:ligatures w14:val="standardContextual"/>
        </w:rPr>
      </w:pPr>
      <w:r w:rsidRPr="00973533">
        <w:rPr>
          <w:lang w:val="es-ES"/>
        </w:rPr>
        <w:t>–</w:t>
      </w:r>
      <w:r w:rsidRPr="00973533">
        <w:rPr>
          <w:lang w:val="es-ES"/>
        </w:rPr>
        <w:tab/>
        <w:t>se propuso que el Consejo refrendara el proyecto de revisión de la Resolución </w:t>
      </w:r>
      <w:r w:rsidRPr="00973533">
        <w:rPr>
          <w:bCs/>
          <w:kern w:val="2"/>
          <w:lang w:val="es-ES"/>
          <w14:ligatures w14:val="standardContextual"/>
        </w:rPr>
        <w:t xml:space="preserve">1372 (C15, </w:t>
      </w:r>
      <w:r w:rsidRPr="00973533">
        <w:rPr>
          <w:rFonts w:cs="Calibri"/>
          <w:kern w:val="2"/>
          <w:lang w:val="es-ES"/>
          <w14:ligatures w14:val="standardContextual"/>
        </w:rPr>
        <w:t>modificada por última vez C2</w:t>
      </w:r>
      <w:r>
        <w:rPr>
          <w:rFonts w:cs="Calibri"/>
          <w:kern w:val="2"/>
          <w:lang w:val="es-ES"/>
          <w14:ligatures w14:val="standardContextual"/>
        </w:rPr>
        <w:t>4</w:t>
      </w:r>
      <w:r w:rsidRPr="00973533">
        <w:rPr>
          <w:bCs/>
          <w:kern w:val="2"/>
          <w:lang w:val="es-ES"/>
          <w14:ligatures w14:val="standardContextual"/>
        </w:rPr>
        <w:t>) relativa al Grupo de Trabajo del Consejo sobre los idiomas (GTC</w:t>
      </w:r>
      <w:r w:rsidRPr="00973533">
        <w:rPr>
          <w:bCs/>
          <w:kern w:val="2"/>
          <w:lang w:val="es-ES"/>
          <w14:ligatures w14:val="standardContextual"/>
        </w:rPr>
        <w:noBreakHyphen/>
        <w:t xml:space="preserve">IDIOMAS) (Documento </w:t>
      </w:r>
      <w:hyperlink r:id="rId21" w:history="1">
        <w:r w:rsidRPr="00973533">
          <w:rPr>
            <w:rStyle w:val="Hyperlink"/>
            <w:rFonts w:cstheme="minorHAnsi"/>
            <w:bCs/>
            <w:lang w:val="es-ES"/>
          </w:rPr>
          <w:t>CWG-LANG/14/5</w:t>
        </w:r>
      </w:hyperlink>
      <w:r w:rsidRPr="00973533">
        <w:rPr>
          <w:bCs/>
          <w:kern w:val="2"/>
          <w:lang w:val="es-ES"/>
          <w14:ligatures w14:val="standardContextual"/>
        </w:rPr>
        <w:t>);</w:t>
      </w:r>
    </w:p>
    <w:p w14:paraId="4FDE78AE" w14:textId="77777777" w:rsidR="00761C4D" w:rsidRPr="00973533" w:rsidRDefault="00761C4D" w:rsidP="00761C4D">
      <w:pPr>
        <w:pStyle w:val="enumlev1"/>
        <w:rPr>
          <w:lang w:val="es-ES"/>
        </w:rPr>
      </w:pPr>
      <w:r w:rsidRPr="00973533">
        <w:rPr>
          <w:lang w:val="es-ES"/>
        </w:rPr>
        <w:t>–</w:t>
      </w:r>
      <w:r w:rsidRPr="00973533">
        <w:rPr>
          <w:lang w:val="es-ES"/>
        </w:rPr>
        <w:tab/>
        <w:t>se propuso que el Consejo refrendara la guía sobre prácticas presentes y futuras en materia de multilingüismo en la UIT y de las correspondientes directrices para el personal sobre el uso de la traducción automática</w:t>
      </w:r>
      <w:r w:rsidRPr="00973533">
        <w:rPr>
          <w:bCs/>
          <w:kern w:val="2"/>
          <w:lang w:val="es-ES"/>
          <w14:ligatures w14:val="standardContextual"/>
        </w:rPr>
        <w:t xml:space="preserve"> (Documento </w:t>
      </w:r>
      <w:hyperlink r:id="rId22" w:history="1">
        <w:r w:rsidRPr="00973533">
          <w:rPr>
            <w:rStyle w:val="Hyperlink"/>
            <w:rFonts w:cstheme="minorHAnsi"/>
            <w:bCs/>
            <w:kern w:val="2"/>
            <w:szCs w:val="24"/>
            <w:lang w:val="es-ES"/>
            <w14:ligatures w14:val="standardContextual"/>
          </w:rPr>
          <w:t>CWG-LANG/14/3</w:t>
        </w:r>
      </w:hyperlink>
      <w:r w:rsidRPr="00973533">
        <w:rPr>
          <w:bCs/>
          <w:kern w:val="2"/>
          <w:lang w:val="es-ES"/>
          <w14:ligatures w14:val="standardContextual"/>
        </w:rPr>
        <w:t>);</w:t>
      </w:r>
    </w:p>
    <w:p w14:paraId="24C8788A" w14:textId="77777777" w:rsidR="00761C4D" w:rsidRPr="00973533" w:rsidRDefault="00761C4D" w:rsidP="00761C4D">
      <w:pPr>
        <w:pStyle w:val="enumlev1"/>
        <w:rPr>
          <w:kern w:val="2"/>
          <w:lang w:val="es-ES"/>
          <w14:ligatures w14:val="standardContextual"/>
        </w:rPr>
      </w:pPr>
      <w:r w:rsidRPr="00973533">
        <w:rPr>
          <w:lang w:val="es-ES"/>
        </w:rPr>
        <w:t>–</w:t>
      </w:r>
      <w:r w:rsidRPr="00973533">
        <w:rPr>
          <w:lang w:val="es-ES"/>
        </w:rPr>
        <w:tab/>
        <w:t>se solicitó que la UIT siguiera mejorando la disponibilidad de las páginas web en los seis idiomas oficiales;</w:t>
      </w:r>
    </w:p>
    <w:p w14:paraId="39C50AFE" w14:textId="77777777" w:rsidR="00761C4D" w:rsidRPr="00973533" w:rsidRDefault="00761C4D" w:rsidP="00761C4D">
      <w:pPr>
        <w:pStyle w:val="enumlev1"/>
        <w:rPr>
          <w:rFonts w:eastAsiaTheme="minorHAnsi"/>
          <w:lang w:val="es-ES"/>
        </w:rPr>
      </w:pPr>
      <w:r w:rsidRPr="00973533">
        <w:rPr>
          <w:lang w:val="es-ES"/>
        </w:rPr>
        <w:t>–</w:t>
      </w:r>
      <w:r w:rsidRPr="00973533">
        <w:rPr>
          <w:lang w:val="es-ES"/>
        </w:rPr>
        <w:tab/>
        <w:t>se pidió que la UIT proporcionara una dirección de correo electrónico para formular comentarios y observaciones sobre la traducción automática (</w:t>
      </w:r>
      <w:hyperlink r:id="rId23" w:history="1"/>
      <w:hyperlink r:id="rId24" w:history="1">
        <w:r w:rsidRPr="00BA399B">
          <w:rPr>
            <w:rStyle w:val="Hyperlink"/>
            <w:rFonts w:asciiTheme="minorHAnsi" w:hAnsiTheme="minorHAnsi" w:cstheme="minorHAnsi"/>
            <w:szCs w:val="24"/>
            <w:lang w:val="es-ES"/>
          </w:rPr>
          <w:t>ling-it-support@itu.int</w:t>
        </w:r>
      </w:hyperlink>
      <w:r w:rsidRPr="00973533">
        <w:rPr>
          <w:rFonts w:eastAsiaTheme="minorHAnsi"/>
          <w:lang w:val="es-ES"/>
        </w:rPr>
        <w:t>);</w:t>
      </w:r>
    </w:p>
    <w:p w14:paraId="57438957" w14:textId="77777777" w:rsidR="00761C4D" w:rsidRPr="00973533" w:rsidRDefault="00761C4D" w:rsidP="00761C4D">
      <w:pPr>
        <w:pStyle w:val="enumlev1"/>
        <w:rPr>
          <w:kern w:val="2"/>
          <w:lang w:val="es-ES"/>
          <w14:ligatures w14:val="standardContextual"/>
        </w:rPr>
      </w:pPr>
      <w:r w:rsidRPr="00973533">
        <w:rPr>
          <w:lang w:val="es-ES"/>
        </w:rPr>
        <w:t>–</w:t>
      </w:r>
      <w:r w:rsidRPr="00973533">
        <w:rPr>
          <w:lang w:val="es-ES"/>
        </w:rPr>
        <w:tab/>
      </w:r>
      <w:r w:rsidRPr="00973533">
        <w:rPr>
          <w:kern w:val="2"/>
          <w:lang w:val="es-ES"/>
          <w14:ligatures w14:val="standardContextual"/>
        </w:rPr>
        <w:t>se pidió a la Secretaría que preparara un cuadro con los comentarios y los problemas relacionados con el sitio web, junto con un resumen de los logros, los asuntos pendientes y las repercusiones presupuestarias; y que presentara en la reunión del Consejo de 2024 una hoja de ruta clara sobre las etapas para mejorar la armonización del sitio web y la búsqueda en el mismo;</w:t>
      </w:r>
    </w:p>
    <w:p w14:paraId="54F8AAFE" w14:textId="77777777" w:rsidR="00761C4D" w:rsidRPr="00973533" w:rsidRDefault="00761C4D" w:rsidP="00761C4D">
      <w:pPr>
        <w:pStyle w:val="enumlev1"/>
        <w:rPr>
          <w:kern w:val="2"/>
          <w:lang w:val="es-ES"/>
          <w14:ligatures w14:val="standardContextual"/>
        </w:rPr>
      </w:pPr>
      <w:r w:rsidRPr="00973533">
        <w:rPr>
          <w:lang w:val="es-ES"/>
        </w:rPr>
        <w:t>–</w:t>
      </w:r>
      <w:r w:rsidRPr="00973533">
        <w:rPr>
          <w:lang w:val="es-ES"/>
        </w:rPr>
        <w:tab/>
      </w:r>
      <w:r w:rsidRPr="00973533">
        <w:rPr>
          <w:kern w:val="2"/>
          <w:lang w:val="es-ES"/>
          <w14:ligatures w14:val="standardContextual"/>
        </w:rPr>
        <w:t>se pidió a la Secretaría que preparara un informe sobre los retos y oportunidades de utilizar la interpretación basada en inteligencia artificial para la próxima reunión del GTC</w:t>
      </w:r>
      <w:r w:rsidRPr="00973533">
        <w:rPr>
          <w:kern w:val="2"/>
          <w:lang w:val="es-ES"/>
          <w14:ligatures w14:val="standardContextual"/>
        </w:rPr>
        <w:noBreakHyphen/>
        <w:t>IDIOMAS con el fin de que el GTC-IDIOMAS pueda disponer de información para futuras decisiones o peticiones al Consejo;</w:t>
      </w:r>
    </w:p>
    <w:p w14:paraId="62C4AAB0" w14:textId="77777777" w:rsidR="00761C4D" w:rsidRPr="00973533" w:rsidRDefault="00761C4D" w:rsidP="00761C4D">
      <w:pPr>
        <w:pStyle w:val="enumlev1"/>
        <w:rPr>
          <w:kern w:val="2"/>
          <w:lang w:val="es-ES"/>
          <w14:ligatures w14:val="standardContextual"/>
        </w:rPr>
      </w:pPr>
      <w:r w:rsidRPr="00973533">
        <w:rPr>
          <w:lang w:val="es-ES"/>
        </w:rPr>
        <w:t>–</w:t>
      </w:r>
      <w:r w:rsidRPr="00973533">
        <w:rPr>
          <w:lang w:val="es-ES"/>
        </w:rPr>
        <w:tab/>
        <w:t xml:space="preserve">se informó de </w:t>
      </w:r>
      <w:r w:rsidRPr="00973533">
        <w:rPr>
          <w:kern w:val="2"/>
          <w:lang w:val="es-ES"/>
          <w14:ligatures w14:val="standardContextual"/>
        </w:rPr>
        <w:t>la organización por parte de Francia de un evento en la UIT sobre la lengua francesa y la tecnología en 2024, financiado por la Organización de la Francofonía; y la propuesta de Canadá de colaborar con la Oficina Regional de Brasilia para ayudar a promover el uso de los idiomas aborígenes para proyectos específicos;</w:t>
      </w:r>
    </w:p>
    <w:p w14:paraId="2DD508AA" w14:textId="77777777" w:rsidR="00761C4D" w:rsidRPr="00973533" w:rsidRDefault="00761C4D" w:rsidP="00761C4D">
      <w:pPr>
        <w:pStyle w:val="enumlev1"/>
        <w:rPr>
          <w:kern w:val="2"/>
          <w:lang w:val="es-ES"/>
          <w14:ligatures w14:val="standardContextual"/>
        </w:rPr>
      </w:pPr>
      <w:r w:rsidRPr="00973533">
        <w:rPr>
          <w:lang w:val="es-ES"/>
        </w:rPr>
        <w:t>–</w:t>
      </w:r>
      <w:r w:rsidRPr="00973533">
        <w:rPr>
          <w:kern w:val="2"/>
          <w:lang w:val="es-ES"/>
          <w14:ligatures w14:val="standardContextual"/>
        </w:rPr>
        <w:tab/>
        <w:t>los Estados Miembros anunciaron actividades específicas para promover el multilingüismo.</w:t>
      </w:r>
    </w:p>
    <w:p w14:paraId="60BA3CB8" w14:textId="77777777" w:rsidR="00761C4D" w:rsidRPr="00973533" w:rsidRDefault="00761C4D" w:rsidP="00761C4D">
      <w:pPr>
        <w:rPr>
          <w:lang w:val="es-ES"/>
        </w:rPr>
      </w:pPr>
      <w:r w:rsidRPr="00973533">
        <w:rPr>
          <w:lang w:val="es-ES"/>
        </w:rPr>
        <w:t>3</w:t>
      </w:r>
      <w:r w:rsidRPr="00973533">
        <w:rPr>
          <w:lang w:val="es-ES"/>
        </w:rPr>
        <w:tab/>
        <w:t>La decimoquinta reunión del GTC-IDIOMAS, prevista inicialmente para el 30 de septiembre de 2024, fue anulada.</w:t>
      </w:r>
    </w:p>
    <w:p w14:paraId="63B84C50" w14:textId="77777777" w:rsidR="00761C4D" w:rsidRPr="00973533" w:rsidRDefault="00761C4D" w:rsidP="00761C4D">
      <w:pPr>
        <w:rPr>
          <w:rFonts w:cstheme="minorBidi"/>
          <w:lang w:val="es-ES"/>
        </w:rPr>
      </w:pPr>
      <w:r w:rsidRPr="00973533">
        <w:rPr>
          <w:lang w:val="es-ES"/>
        </w:rPr>
        <w:t>4</w:t>
      </w:r>
      <w:r w:rsidRPr="00973533">
        <w:rPr>
          <w:lang w:val="es-ES"/>
        </w:rPr>
        <w:tab/>
      </w:r>
      <w:r w:rsidRPr="00973533">
        <w:rPr>
          <w:rFonts w:cstheme="minorBidi"/>
          <w:lang w:val="es-ES"/>
        </w:rPr>
        <w:t xml:space="preserve">Los principales resultados de la </w:t>
      </w:r>
      <w:hyperlink r:id="rId25">
        <w:r w:rsidRPr="00973533">
          <w:rPr>
            <w:rStyle w:val="Hyperlink"/>
            <w:rFonts w:asciiTheme="minorHAnsi" w:hAnsiTheme="minorHAnsi"/>
            <w:lang w:val="es-ES"/>
          </w:rPr>
          <w:t>decimosexta reunión del GTC-IDIOMAS</w:t>
        </w:r>
      </w:hyperlink>
      <w:r w:rsidRPr="00973533">
        <w:rPr>
          <w:rFonts w:cstheme="minorBidi"/>
          <w:lang w:val="es-ES"/>
        </w:rPr>
        <w:t xml:space="preserve">, </w:t>
      </w:r>
      <w:r w:rsidRPr="00973533">
        <w:rPr>
          <w:lang w:val="es-ES"/>
        </w:rPr>
        <w:t xml:space="preserve">celebrada el 12 de febrero de 2025, </w:t>
      </w:r>
      <w:r w:rsidRPr="00973533">
        <w:rPr>
          <w:rFonts w:cstheme="minorBidi"/>
          <w:lang w:val="es-ES"/>
        </w:rPr>
        <w:t>fueron los siguientes:</w:t>
      </w:r>
    </w:p>
    <w:p w14:paraId="3054815D" w14:textId="77777777" w:rsidR="00761C4D" w:rsidRPr="00973533" w:rsidRDefault="00761C4D" w:rsidP="00761C4D">
      <w:pPr>
        <w:pStyle w:val="enumlev1"/>
        <w:rPr>
          <w:bCs/>
          <w:kern w:val="2"/>
          <w:szCs w:val="24"/>
          <w:lang w:val="es-ES"/>
          <w14:ligatures w14:val="standardContextual"/>
        </w:rPr>
      </w:pPr>
      <w:r w:rsidRPr="00973533">
        <w:rPr>
          <w:lang w:val="es-ES"/>
        </w:rPr>
        <w:lastRenderedPageBreak/>
        <w:t>–</w:t>
      </w:r>
      <w:r w:rsidRPr="00973533">
        <w:rPr>
          <w:lang w:val="es-ES"/>
        </w:rPr>
        <w:tab/>
        <w:t xml:space="preserve">se solicitó a la Secretaría que, en futuros informes al </w:t>
      </w:r>
      <w:r w:rsidRPr="00FF1043">
        <w:rPr>
          <w:lang w:val="es-ES"/>
        </w:rPr>
        <w:t>GTC-IDIOMAS</w:t>
      </w:r>
      <w:r w:rsidRPr="00973533">
        <w:rPr>
          <w:lang w:val="es-ES"/>
        </w:rPr>
        <w:t>, facilite el gasto anual detallado en relación con el límite presupuestario de 85 millones CHF para los servicios lingüísticos, indicando en una nota a pie de página que el 2022 fue un año excepcional en cuanto al número de conferencias celebradas</w:t>
      </w:r>
      <w:r w:rsidRPr="00973533">
        <w:rPr>
          <w:bCs/>
          <w:kern w:val="2"/>
          <w:szCs w:val="24"/>
          <w:lang w:val="es-ES"/>
          <w14:ligatures w14:val="standardContextual"/>
        </w:rPr>
        <w:t>;</w:t>
      </w:r>
    </w:p>
    <w:p w14:paraId="34F3A0A2" w14:textId="77777777" w:rsidR="00761C4D" w:rsidRPr="00973533" w:rsidRDefault="00761C4D" w:rsidP="00761C4D">
      <w:pPr>
        <w:pStyle w:val="enumlev1"/>
        <w:rPr>
          <w:szCs w:val="24"/>
          <w:lang w:val="es-ES"/>
        </w:rPr>
      </w:pPr>
      <w:r w:rsidRPr="00973533">
        <w:rPr>
          <w:lang w:val="es-ES"/>
        </w:rPr>
        <w:t>–</w:t>
      </w:r>
      <w:r w:rsidRPr="00973533">
        <w:rPr>
          <w:lang w:val="es-ES"/>
        </w:rPr>
        <w:tab/>
      </w:r>
      <w:r w:rsidRPr="00973533">
        <w:rPr>
          <w:kern w:val="2"/>
          <w:lang w:val="es-ES"/>
          <w14:ligatures w14:val="standardContextual"/>
        </w:rPr>
        <w:t xml:space="preserve">se solicitó que en todos los futuros informes al GTC-IDIOMAS se incluya información actualizada sobre el desarrollo del sitio web y la mejora del motor de búsqueda, conforme a lo estipulado en la Resolución </w:t>
      </w:r>
      <w:r w:rsidRPr="00973533">
        <w:rPr>
          <w:lang w:val="es-ES"/>
        </w:rPr>
        <w:t>154</w:t>
      </w:r>
      <w:r w:rsidRPr="00973533">
        <w:rPr>
          <w:bCs/>
          <w:kern w:val="2"/>
          <w:szCs w:val="24"/>
          <w:lang w:val="es-ES"/>
          <w14:ligatures w14:val="standardContextual"/>
        </w:rPr>
        <w:t>;</w:t>
      </w:r>
    </w:p>
    <w:p w14:paraId="01662426" w14:textId="77777777" w:rsidR="00761C4D" w:rsidRPr="00973533" w:rsidRDefault="00761C4D" w:rsidP="00761C4D">
      <w:pPr>
        <w:pStyle w:val="enumlev1"/>
        <w:rPr>
          <w:kern w:val="2"/>
          <w:szCs w:val="24"/>
          <w:lang w:val="es-ES"/>
          <w14:ligatures w14:val="standardContextual"/>
        </w:rPr>
      </w:pPr>
      <w:r w:rsidRPr="00973533">
        <w:rPr>
          <w:lang w:val="es-ES"/>
        </w:rPr>
        <w:t>–</w:t>
      </w:r>
      <w:r w:rsidRPr="00973533">
        <w:rPr>
          <w:lang w:val="es-ES"/>
        </w:rPr>
        <w:tab/>
        <w:t xml:space="preserve">se tomó nota de la información actualizada sobre la aplicación de la guía sobre el multilingüismo, en particular los datos sobre la utilización de las herramientas de traducción automática </w:t>
      </w:r>
      <w:r w:rsidRPr="00973533">
        <w:rPr>
          <w:i/>
          <w:iCs/>
          <w:lang w:val="es-ES"/>
        </w:rPr>
        <w:t>ITU Translate</w:t>
      </w:r>
      <w:r w:rsidRPr="00973533">
        <w:rPr>
          <w:lang w:val="es-ES"/>
        </w:rPr>
        <w:t xml:space="preserve"> (Documento </w:t>
      </w:r>
      <w:hyperlink r:id="rId26" w:history="1">
        <w:r w:rsidRPr="00973533">
          <w:rPr>
            <w:rStyle w:val="Hyperlink"/>
            <w:rFonts w:cstheme="minorHAnsi"/>
            <w:lang w:val="es-ES"/>
          </w:rPr>
          <w:t>CWG-LANG</w:t>
        </w:r>
        <w:r>
          <w:rPr>
            <w:rStyle w:val="Hyperlink"/>
            <w:rFonts w:cstheme="minorHAnsi"/>
            <w:lang w:val="es-ES"/>
          </w:rPr>
          <w:t>-</w:t>
        </w:r>
        <w:r w:rsidRPr="00973533">
          <w:rPr>
            <w:rStyle w:val="Hyperlink"/>
            <w:rFonts w:cstheme="minorHAnsi"/>
            <w:lang w:val="es-ES"/>
          </w:rPr>
          <w:t>16</w:t>
        </w:r>
        <w:r>
          <w:rPr>
            <w:rStyle w:val="Hyperlink"/>
            <w:rFonts w:cstheme="minorHAnsi"/>
            <w:lang w:val="es-ES"/>
          </w:rPr>
          <w:t>/</w:t>
        </w:r>
        <w:r w:rsidRPr="00973533">
          <w:rPr>
            <w:rStyle w:val="Hyperlink"/>
            <w:rFonts w:cstheme="minorHAnsi"/>
            <w:lang w:val="es-ES"/>
          </w:rPr>
          <w:t>3</w:t>
        </w:r>
      </w:hyperlink>
      <w:r w:rsidRPr="00973533">
        <w:rPr>
          <w:szCs w:val="24"/>
          <w:lang w:val="es-ES"/>
        </w:rPr>
        <w:t>);</w:t>
      </w:r>
    </w:p>
    <w:p w14:paraId="4685693F" w14:textId="77777777" w:rsidR="00761C4D" w:rsidRPr="00973533" w:rsidRDefault="00761C4D" w:rsidP="00761C4D">
      <w:pPr>
        <w:pStyle w:val="enumlev1"/>
        <w:rPr>
          <w:rFonts w:eastAsiaTheme="minorHAnsi"/>
          <w:lang w:val="es-ES"/>
        </w:rPr>
      </w:pPr>
      <w:r w:rsidRPr="00973533">
        <w:rPr>
          <w:lang w:val="es-ES"/>
        </w:rPr>
        <w:t>–</w:t>
      </w:r>
      <w:r w:rsidRPr="00973533">
        <w:rPr>
          <w:lang w:val="es-ES"/>
        </w:rPr>
        <w:tab/>
        <w:t xml:space="preserve">se convino en presentar al Consejo un documento informativo relativo al informe sobre los retos y oportunidades de la interpretación basada en IA en la UIT (Documento </w:t>
      </w:r>
      <w:hyperlink r:id="rId27" w:history="1">
        <w:r w:rsidRPr="00973533">
          <w:rPr>
            <w:rStyle w:val="Hyperlink"/>
            <w:rFonts w:cstheme="minorHAnsi"/>
            <w:lang w:val="es-ES"/>
          </w:rPr>
          <w:t>C25/INF/7</w:t>
        </w:r>
      </w:hyperlink>
      <w:r w:rsidRPr="00973533">
        <w:rPr>
          <w:rFonts w:eastAsiaTheme="minorHAnsi"/>
          <w:lang w:val="es-ES"/>
        </w:rPr>
        <w:t>).</w:t>
      </w:r>
    </w:p>
    <w:p w14:paraId="07236C82" w14:textId="2F27C04B" w:rsidR="00761C4D" w:rsidRPr="00973533" w:rsidRDefault="00761C4D" w:rsidP="00761C4D">
      <w:pPr>
        <w:keepNext/>
        <w:rPr>
          <w:lang w:val="es-ES"/>
        </w:rPr>
      </w:pPr>
      <w:r w:rsidRPr="00973533">
        <w:rPr>
          <w:lang w:val="es-ES"/>
        </w:rPr>
        <w:t>5</w:t>
      </w:r>
      <w:r w:rsidRPr="00973533">
        <w:rPr>
          <w:lang w:val="es-ES"/>
        </w:rPr>
        <w:tab/>
        <w:t xml:space="preserve">Los principales resultados de la </w:t>
      </w:r>
      <w:hyperlink r:id="rId28">
        <w:r w:rsidRPr="00973533">
          <w:rPr>
            <w:rStyle w:val="Hyperlink"/>
            <w:rFonts w:asciiTheme="minorHAnsi" w:hAnsiTheme="minorHAnsi"/>
            <w:lang w:val="es-ES"/>
          </w:rPr>
          <w:t>decimoséptima reunión</w:t>
        </w:r>
      </w:hyperlink>
      <w:r w:rsidRPr="00973533">
        <w:rPr>
          <w:lang w:val="es-ES"/>
        </w:rPr>
        <w:t xml:space="preserve"> del GTC-IDIOMAS, celebrada el 20 de enero de 2026, fueron los siguientes:</w:t>
      </w:r>
    </w:p>
    <w:p w14:paraId="75067544" w14:textId="77777777" w:rsidR="00761C4D" w:rsidRPr="00973533" w:rsidRDefault="00761C4D" w:rsidP="00761C4D">
      <w:pPr>
        <w:pStyle w:val="enumlev1"/>
        <w:rPr>
          <w:lang w:val="es-ES"/>
        </w:rPr>
      </w:pPr>
      <w:r w:rsidRPr="00973533">
        <w:rPr>
          <w:lang w:val="es-ES"/>
        </w:rPr>
        <w:t>–</w:t>
      </w:r>
      <w:r w:rsidRPr="00973533">
        <w:rPr>
          <w:lang w:val="es-ES"/>
        </w:rPr>
        <w:tab/>
      </w:r>
      <w:r w:rsidRPr="00973533">
        <w:rPr>
          <w:spacing w:val="-4"/>
          <w:lang w:val="es-ES"/>
        </w:rPr>
        <w:t xml:space="preserve">se solicitó que la contribución relativa a la Resolución 1386 del Consejo, contenida en el Documento </w:t>
      </w:r>
      <w:hyperlink r:id="rId29" w:history="1">
        <w:r w:rsidRPr="00973533">
          <w:rPr>
            <w:rStyle w:val="Hyperlink"/>
            <w:lang w:val="es-ES"/>
          </w:rPr>
          <w:t>CWG-LANG-17/5</w:t>
        </w:r>
      </w:hyperlink>
      <w:r w:rsidRPr="00973533">
        <w:rPr>
          <w:lang w:val="es-ES"/>
        </w:rPr>
        <w:t xml:space="preserve"> y modificada por el GTC-IDIOMAS, sea examinada por el CTT en su reunión de febrero de 2026 y se incluya en el informe del Presidente para su consideración y aprobación por el Consejo en su reunión de 2026;</w:t>
      </w:r>
    </w:p>
    <w:p w14:paraId="13CD9AD5" w14:textId="77777777" w:rsidR="00761C4D" w:rsidRPr="00973533" w:rsidRDefault="00761C4D" w:rsidP="00761C4D">
      <w:pPr>
        <w:pStyle w:val="enumlev1"/>
        <w:rPr>
          <w:lang w:val="es-ES"/>
        </w:rPr>
      </w:pPr>
      <w:r w:rsidRPr="00973533">
        <w:rPr>
          <w:lang w:val="es-ES"/>
        </w:rPr>
        <w:t>–</w:t>
      </w:r>
      <w:r w:rsidRPr="00973533">
        <w:rPr>
          <w:lang w:val="es-ES"/>
        </w:rPr>
        <w:tab/>
        <w:t>se recomendó que las modificaciones propuestas a la Resolución 154, aprobadas por el GTC</w:t>
      </w:r>
      <w:r w:rsidRPr="00973533">
        <w:rPr>
          <w:lang w:val="es-ES"/>
        </w:rPr>
        <w:noBreakHyphen/>
        <w:t>IDIOMAS, se sometan a la consideración del Consejo, en su reunión de 2026, para que formule los comentarios que estime oportuno;</w:t>
      </w:r>
    </w:p>
    <w:p w14:paraId="51B98ADC" w14:textId="77777777" w:rsidR="00761C4D" w:rsidRPr="00973533" w:rsidRDefault="00761C4D" w:rsidP="00761C4D">
      <w:pPr>
        <w:pStyle w:val="enumlev1"/>
        <w:rPr>
          <w:lang w:val="es-ES"/>
        </w:rPr>
      </w:pPr>
      <w:r w:rsidRPr="00973533">
        <w:rPr>
          <w:lang w:val="es-ES"/>
        </w:rPr>
        <w:t>–</w:t>
      </w:r>
      <w:r w:rsidRPr="00973533">
        <w:rPr>
          <w:lang w:val="es-ES"/>
        </w:rPr>
        <w:tab/>
        <w:t>se recomendó que la enmienda a la Resolución 1372 del Consejo se someta a éste para su consideración y aprobación;</w:t>
      </w:r>
    </w:p>
    <w:p w14:paraId="5610FD93" w14:textId="77777777" w:rsidR="00761C4D" w:rsidRPr="00973533" w:rsidRDefault="00761C4D" w:rsidP="00761C4D">
      <w:pPr>
        <w:pStyle w:val="enumlev1"/>
        <w:rPr>
          <w:lang w:val="es-ES"/>
        </w:rPr>
      </w:pPr>
      <w:r w:rsidRPr="00973533">
        <w:rPr>
          <w:lang w:val="es-ES"/>
        </w:rPr>
        <w:t>–</w:t>
      </w:r>
      <w:r w:rsidRPr="00973533">
        <w:rPr>
          <w:lang w:val="es-ES"/>
        </w:rPr>
        <w:tab/>
        <w:t>se confirmó que la Secretaría enviará una carta circular a todos los Estados Miembros, así como a las organizaciones regionales de telecomunicaciones (ORT), para preguntarles si estarían interesados en colaborar en la creación de un equipo de intérpretes</w:t>
      </w:r>
      <w:r>
        <w:rPr>
          <w:lang w:val="es-ES"/>
        </w:rPr>
        <w:t xml:space="preserve"> locales</w:t>
      </w:r>
      <w:r w:rsidRPr="00973533">
        <w:rPr>
          <w:lang w:val="es-ES"/>
        </w:rPr>
        <w:t>.</w:t>
      </w:r>
    </w:p>
    <w:p w14:paraId="64DCE091" w14:textId="77777777" w:rsidR="00761C4D" w:rsidRPr="00973533" w:rsidRDefault="00761C4D" w:rsidP="00761C4D">
      <w:pPr>
        <w:pStyle w:val="Heading1"/>
        <w:rPr>
          <w:lang w:val="es-ES"/>
        </w:rPr>
      </w:pPr>
      <w:r w:rsidRPr="00973533">
        <w:rPr>
          <w:lang w:val="es-ES"/>
        </w:rPr>
        <w:t>III</w:t>
      </w:r>
      <w:r w:rsidRPr="00973533">
        <w:rPr>
          <w:lang w:val="es-ES"/>
        </w:rPr>
        <w:tab/>
        <w:t>Recomendaciones a la PP-26</w:t>
      </w:r>
    </w:p>
    <w:p w14:paraId="08A017A9" w14:textId="77777777" w:rsidR="00761C4D" w:rsidRPr="00973533" w:rsidRDefault="00761C4D" w:rsidP="00AB7770">
      <w:pPr>
        <w:rPr>
          <w:lang w:val="es-ES"/>
        </w:rPr>
      </w:pPr>
      <w:r w:rsidRPr="00973533">
        <w:rPr>
          <w:lang w:val="es-ES"/>
        </w:rPr>
        <w:t xml:space="preserve">De conformidad con los </w:t>
      </w:r>
      <w:r w:rsidRPr="00973533">
        <w:rPr>
          <w:i/>
          <w:iCs/>
          <w:lang w:val="es-ES"/>
        </w:rPr>
        <w:t>decide</w:t>
      </w:r>
      <w:r w:rsidRPr="00973533">
        <w:rPr>
          <w:lang w:val="es-ES"/>
        </w:rPr>
        <w:t xml:space="preserve"> 4 y 5 de la Decisión 11 </w:t>
      </w:r>
      <w:bookmarkStart w:id="8" w:name="_Hlk94177355"/>
      <w:r w:rsidRPr="00973533">
        <w:rPr>
          <w:lang w:val="es-ES"/>
        </w:rPr>
        <w:t>de la Conferencia de Plenipotenciarios</w:t>
      </w:r>
      <w:bookmarkEnd w:id="8"/>
      <w:r w:rsidRPr="00973533">
        <w:rPr>
          <w:lang w:val="es-ES"/>
        </w:rPr>
        <w:t xml:space="preserve">, se invita al Consejo a recomendar a la Conferencia de Plenipotenciarios que mantenga el Grupo de Trabajo del Consejo sobre los Idiomas, en virtud de la Resolución 154 de la Conferencia de Plenipotenciarios, </w:t>
      </w:r>
      <w:r>
        <w:rPr>
          <w:lang w:val="es-ES"/>
        </w:rPr>
        <w:t>relativa a la u</w:t>
      </w:r>
      <w:r w:rsidRPr="00973533">
        <w:rPr>
          <w:lang w:val="es-ES"/>
        </w:rPr>
        <w:t>tilización de los seis idiomas oficiales de la Unión en igualdad de condiciones.</w:t>
      </w:r>
    </w:p>
    <w:p w14:paraId="00B860FA" w14:textId="77777777" w:rsidR="00761C4D" w:rsidRPr="00973533" w:rsidRDefault="00761C4D" w:rsidP="00761C4D">
      <w:pPr>
        <w:rPr>
          <w:lang w:val="es-ES"/>
        </w:rPr>
      </w:pPr>
      <w:r w:rsidRPr="00973533">
        <w:rPr>
          <w:lang w:val="es-ES"/>
        </w:rPr>
        <w:br w:type="page"/>
      </w:r>
    </w:p>
    <w:p w14:paraId="3C6CFB3C" w14:textId="77777777" w:rsidR="00761C4D" w:rsidRPr="00973533" w:rsidRDefault="00761C4D" w:rsidP="00761C4D">
      <w:pPr>
        <w:pStyle w:val="AnnexNo"/>
        <w:rPr>
          <w:lang w:val="es-ES"/>
        </w:rPr>
      </w:pPr>
      <w:bookmarkStart w:id="9" w:name="Annex2"/>
      <w:bookmarkEnd w:id="4"/>
      <w:bookmarkEnd w:id="5"/>
      <w:bookmarkEnd w:id="6"/>
      <w:bookmarkEnd w:id="7"/>
      <w:bookmarkEnd w:id="9"/>
      <w:r w:rsidRPr="00973533">
        <w:rPr>
          <w:lang w:val="es-ES"/>
        </w:rPr>
        <w:lastRenderedPageBreak/>
        <w:t>AnexO 2</w:t>
      </w:r>
    </w:p>
    <w:p w14:paraId="3BEF1147" w14:textId="03B73401" w:rsidR="00761C4D" w:rsidRPr="00973533" w:rsidRDefault="00761C4D" w:rsidP="00761C4D">
      <w:pPr>
        <w:pStyle w:val="Annextitle"/>
        <w:rPr>
          <w:lang w:val="es-ES"/>
        </w:rPr>
      </w:pPr>
      <w:r w:rsidRPr="00973533">
        <w:rPr>
          <w:lang w:val="es-ES"/>
        </w:rPr>
        <w:t xml:space="preserve">Resumen de los debates de la octava sesión plenaria de la reunión de 2026 del Consejo (Documento </w:t>
      </w:r>
      <w:hyperlink r:id="rId30" w:history="1">
        <w:r w:rsidRPr="00973533">
          <w:rPr>
            <w:rStyle w:val="Hyperlink"/>
            <w:lang w:val="es-ES"/>
          </w:rPr>
          <w:t>C26/125</w:t>
        </w:r>
      </w:hyperlink>
      <w:r w:rsidRPr="00973533">
        <w:rPr>
          <w:lang w:val="es-ES"/>
        </w:rPr>
        <w:t>)</w:t>
      </w:r>
    </w:p>
    <w:p w14:paraId="5D76A5FC" w14:textId="6A5E58DF" w:rsidR="00761C4D" w:rsidRPr="00973533" w:rsidRDefault="00761C4D" w:rsidP="00AB7770">
      <w:pPr>
        <w:pStyle w:val="Heading1"/>
        <w:rPr>
          <w:lang w:val="es-ES"/>
        </w:rPr>
      </w:pPr>
      <w:r w:rsidRPr="00973533">
        <w:rPr>
          <w:lang w:val="es-ES"/>
        </w:rPr>
        <w:t>6</w:t>
      </w:r>
      <w:r w:rsidRPr="00973533">
        <w:rPr>
          <w:lang w:val="es-ES"/>
        </w:rPr>
        <w:tab/>
        <w:t xml:space="preserve">Informe de la Presidenta del Grupo de Trabajo del Consejo sobre los Idiomas (GTC-IDIOMAS) e informe cuadrienal del GTC-IDIOMAS </w:t>
      </w:r>
      <w:r w:rsidRPr="00973533">
        <w:rPr>
          <w:lang w:val="es-ES"/>
        </w:rPr>
        <w:br/>
        <w:t xml:space="preserve">(Documentos </w:t>
      </w:r>
      <w:hyperlink r:id="rId31" w:history="1">
        <w:r w:rsidRPr="00973533">
          <w:rPr>
            <w:rStyle w:val="Hyperlink"/>
            <w:bCs/>
            <w:lang w:val="es-ES"/>
          </w:rPr>
          <w:t>C26/12</w:t>
        </w:r>
      </w:hyperlink>
      <w:r w:rsidRPr="00973533">
        <w:rPr>
          <w:lang w:val="es-ES"/>
        </w:rPr>
        <w:t xml:space="preserve"> y </w:t>
      </w:r>
      <w:hyperlink r:id="rId32" w:history="1">
        <w:r w:rsidRPr="00973533">
          <w:rPr>
            <w:rStyle w:val="Hyperlink"/>
            <w:bCs/>
            <w:lang w:val="es-ES"/>
          </w:rPr>
          <w:t>C26/13</w:t>
        </w:r>
      </w:hyperlink>
      <w:r w:rsidRPr="00973533">
        <w:rPr>
          <w:lang w:val="es-ES"/>
        </w:rPr>
        <w:t>)</w:t>
      </w:r>
      <w:r w:rsidRPr="00973533">
        <w:rPr>
          <w:lang w:val="es-ES"/>
        </w:rPr>
        <w:br/>
        <w:t xml:space="preserve">Proyecto de revisión de la Resolución 1386 (C17, modificada por última vez en C25) del Consejo, relativa al Comité de Coordinación de la Terminología de la UIT, y proyecto de revisión de la Resolución 154 (Rev. Bucarest, 2022) de la Conferencia de Plenipotenciarios (Documento </w:t>
      </w:r>
      <w:hyperlink r:id="rId33" w:history="1">
        <w:r w:rsidRPr="00973533">
          <w:rPr>
            <w:rStyle w:val="Hyperlink"/>
            <w:bCs/>
            <w:lang w:val="es-ES"/>
          </w:rPr>
          <w:t>C26/87+Add.1</w:t>
        </w:r>
      </w:hyperlink>
      <w:r w:rsidRPr="00973533">
        <w:rPr>
          <w:lang w:val="es-ES"/>
        </w:rPr>
        <w:t>)</w:t>
      </w:r>
    </w:p>
    <w:p w14:paraId="2BCAA28B" w14:textId="77777777" w:rsidR="00761C4D" w:rsidRPr="00973533" w:rsidRDefault="00761C4D" w:rsidP="00761C4D">
      <w:pPr>
        <w:rPr>
          <w:lang w:val="es-ES"/>
        </w:rPr>
      </w:pPr>
      <w:r w:rsidRPr="00973533">
        <w:rPr>
          <w:lang w:val="es-ES"/>
        </w:rPr>
        <w:t>6.1</w:t>
      </w:r>
      <w:r w:rsidRPr="00973533">
        <w:rPr>
          <w:lang w:val="es-ES"/>
        </w:rPr>
        <w:tab/>
        <w:t>La Presidenta del Grupo de Trabajo del Consejo sobre los Idiomas (GTC-IDIOMAS) presenta el Documento C26/12, en el que se resumen los resultados de la 17.ª reunión del GTC-IDIOMAS, y el Documento C26/13, que contiene el informe cuadrienal del Grupo. Las revisiones propuestas a la Resolución 154 (Rev. Bucarest, 2022) de la Conferencia de Plenipotenciarios y a la Resolución 1386 (C17, modificada por última vez en C25) del Consejo, ambas anexas al Documento C26/12, tienen por objeto racionalizar las disposiciones relativas a los idiomas en todas las resoluciones conexas de los Sectores, sin establecer nuevas obligaciones, crear requisitos de traducción adicionales u ocasionar repercusiones presupuestarias adicionales. El GTC-IDIOMAS ha acordado que la participación en sus trabajos debe estar abierta a todos los miembros de la UIT, incluidos los Miembros de Sector, las organizaciones regionales de telecomunicaciones (ORT) y las Instituciones Académicas, y ha plasmado dicho acuerdo en una de las revisiones propuestas a la Resolución 1372 (C15, modificada por última vez C24) del Consejo, según se indica en el Anexo al Documento C26/12.</w:t>
      </w:r>
    </w:p>
    <w:p w14:paraId="17CA7ADA" w14:textId="77777777" w:rsidR="00761C4D" w:rsidRPr="00973533" w:rsidRDefault="00761C4D" w:rsidP="00761C4D">
      <w:pPr>
        <w:rPr>
          <w:lang w:val="es-ES"/>
        </w:rPr>
      </w:pPr>
      <w:r w:rsidRPr="00973533">
        <w:rPr>
          <w:lang w:val="es-ES"/>
        </w:rPr>
        <w:t>6.2</w:t>
      </w:r>
      <w:r w:rsidRPr="00973533">
        <w:rPr>
          <w:lang w:val="es-ES"/>
        </w:rPr>
        <w:tab/>
        <w:t xml:space="preserve">Tras haber recibido el apoyo de un consejero, el observador de la Federación de Rusia presenta el Documento C26/87 y su Addéndum 1, en los que se expone una propuesta de revisión de la Resolución 1386 (C17, modificada por última vez en C25) que, en esencia, es idéntica a la que figura en el Documento C26/12, salvo por un cambio terminológico en el </w:t>
      </w:r>
      <w:r w:rsidRPr="00973533">
        <w:rPr>
          <w:i/>
          <w:iCs/>
          <w:lang w:val="es-ES"/>
        </w:rPr>
        <w:t>resuelve</w:t>
      </w:r>
      <w:r w:rsidRPr="00973533">
        <w:rPr>
          <w:lang w:val="es-ES"/>
        </w:rPr>
        <w:t> 1, que refleja los debates mantenidos posteriormente en el Comité de Coordinación de la Terminología y en el Grupo de Coordinación Intersectorial sobre cuestiones de interés mutuo.</w:t>
      </w:r>
    </w:p>
    <w:p w14:paraId="4DD7B431" w14:textId="77777777" w:rsidR="00761C4D" w:rsidRPr="00973533" w:rsidRDefault="00761C4D" w:rsidP="00761C4D">
      <w:pPr>
        <w:rPr>
          <w:lang w:val="es-ES"/>
        </w:rPr>
      </w:pPr>
      <w:r w:rsidRPr="00973533">
        <w:rPr>
          <w:lang w:val="es-ES"/>
        </w:rPr>
        <w:t>6.3</w:t>
      </w:r>
      <w:r w:rsidRPr="00973533">
        <w:rPr>
          <w:lang w:val="es-ES"/>
        </w:rPr>
        <w:tab/>
        <w:t xml:space="preserve">Los consejeros y un observador encomian la labor del GTC-IDIOMAS y de su Presidenta y su Vicepresidentes, y rinden especial homenaje a la Sra. Blanca González, que pronto se jubilará tras muchos años de dedicación al servicio de la familia de la UIT. El multilingüismo y la utilización de los seis idiomas oficiales de la Unión en pie de igualdad constituyen piedras angulares de la inclusión que caracteriza sus trabajos. Si bien se acoge con satisfacción el uso de tecnologías innovadoras para aumentar la productividad y reducir costes en el marco de los servicios lingüísticos, ello no debe ir en detrimento de la calidad o la fiabilidad; dichas tecnologías deben complementar la experiencia humana, no sustituirla. En particular, varios consejeros opinan que la interpretación basada en inteligencia artificial (IA), aunque resulta útil, no ha alcanzado el grado de madurez necesario para su aplicación en reuniones formales o conferencias destinadas a la elaboración de tratados. No obstante, se anima a la Secretaría a seguir buscando una mayor eficiencia probando y explorando esa y otras opciones, como la interpretación simultánea a distancia y la contratación de intérpretes locales y regionales cualificados para las reuniones </w:t>
      </w:r>
      <w:r w:rsidRPr="00973533">
        <w:rPr>
          <w:lang w:val="es-ES"/>
        </w:rPr>
        <w:lastRenderedPageBreak/>
        <w:t>celebradas fuera de la Sede. Una mayor participación de las ORT en los trabajos del GTC</w:t>
      </w:r>
      <w:r w:rsidRPr="00973533">
        <w:rPr>
          <w:lang w:val="es-ES"/>
        </w:rPr>
        <w:noBreakHyphen/>
        <w:t>IDIOMAS podría resultar de utilidad a tal efecto. Un consejero alienta a la secretaría a atenerse rigurosamente a los principios establecidos en la Resolución 154 (Rev. Bucarest, 2022); a aplicar las mismas normas a todos los debates relativos a puntos de órdenes del día oficiales; y a tomar con antelación las disposiciones necesarias en materia de interpretación para las sesiones oficiales y cualquier sesión adicional. Otro consejero pregunta por los límites de tiempo establecidos para el trabajo de los intérpretes de conferencias. Un tercero destaca la importancia de brindar un acceso multilingüe completo a los contenidos de la UIT, incluido el sitio web de la Unión; a ese respecto, se acoge con satisfacción general el uso de herramientas de traducción automática para aumentar el número de páginas web disponibles en varios idiomas.</w:t>
      </w:r>
    </w:p>
    <w:p w14:paraId="6728A213" w14:textId="77777777" w:rsidR="00761C4D" w:rsidRPr="00973533" w:rsidRDefault="00761C4D" w:rsidP="00761C4D">
      <w:pPr>
        <w:rPr>
          <w:lang w:val="es-ES"/>
        </w:rPr>
      </w:pPr>
      <w:r w:rsidRPr="00973533">
        <w:rPr>
          <w:lang w:val="es-ES"/>
        </w:rPr>
        <w:t>6.4</w:t>
      </w:r>
      <w:r w:rsidRPr="00973533">
        <w:rPr>
          <w:lang w:val="es-ES"/>
        </w:rPr>
        <w:tab/>
        <w:t xml:space="preserve">Los consejeros expresan un amplio apoyo a las propuestas de revisión de las Resoluciones de la Conferencia de Plenipotenciarios y del Consejo. Uno de ellos, en nombre de una ORT que carece de órgano ejecutivo permanente, propone que, en la Resolución 1372 (C15, modificada </w:t>
      </w:r>
      <w:bookmarkStart w:id="10" w:name="_Hlk169266562"/>
      <w:r w:rsidRPr="00973533">
        <w:rPr>
          <w:lang w:val="es-ES"/>
        </w:rPr>
        <w:t>por última vez</w:t>
      </w:r>
      <w:bookmarkEnd w:id="10"/>
      <w:r w:rsidRPr="00973533">
        <w:rPr>
          <w:lang w:val="es-ES"/>
        </w:rPr>
        <w:t xml:space="preserve"> C24), se modifique el </w:t>
      </w:r>
      <w:r w:rsidRPr="00973533">
        <w:rPr>
          <w:i/>
          <w:iCs/>
          <w:lang w:val="es-ES"/>
        </w:rPr>
        <w:t>resuelve</w:t>
      </w:r>
      <w:r w:rsidRPr="00973533">
        <w:rPr>
          <w:lang w:val="es-ES"/>
        </w:rPr>
        <w:t> 1 a fin de indicar simplemente que el GTC-IDIOMAS está "abierto a todos los Miembros de la Unión", lo que permitirá a cualquier ORT designar a un representante para participar en los trabajos del Grupo.</w:t>
      </w:r>
    </w:p>
    <w:p w14:paraId="1CDEB0C9" w14:textId="77777777" w:rsidR="00761C4D" w:rsidRPr="00AB7770" w:rsidRDefault="00761C4D" w:rsidP="00761C4D">
      <w:pPr>
        <w:rPr>
          <w:lang w:val="es-ES"/>
        </w:rPr>
      </w:pPr>
      <w:r w:rsidRPr="00973533">
        <w:rPr>
          <w:lang w:val="es-ES"/>
        </w:rPr>
        <w:t>6.5</w:t>
      </w:r>
      <w:r w:rsidRPr="00973533">
        <w:rPr>
          <w:lang w:val="es-ES"/>
        </w:rPr>
        <w:tab/>
        <w:t>Varios consejeros expresan su apoyo a la propuesta de revisión de la Resolución 1386 (C17, modificada por última vez en C25) que figura en el Documento C26/87.</w:t>
      </w:r>
    </w:p>
    <w:p w14:paraId="2630C87E" w14:textId="77777777" w:rsidR="00761C4D" w:rsidRPr="00973533" w:rsidRDefault="00761C4D" w:rsidP="00761C4D">
      <w:pPr>
        <w:jc w:val="both"/>
        <w:rPr>
          <w:lang w:val="es-ES"/>
        </w:rPr>
      </w:pPr>
      <w:r w:rsidRPr="00AB7770">
        <w:rPr>
          <w:lang w:val="es-ES"/>
        </w:rPr>
        <w:t>6.6</w:t>
      </w:r>
      <w:r w:rsidRPr="00AB7770">
        <w:rPr>
          <w:lang w:val="es-ES"/>
        </w:rPr>
        <w:tab/>
        <w:t>El Consejo toma nota</w:t>
      </w:r>
      <w:r w:rsidRPr="00973533">
        <w:rPr>
          <w:b/>
          <w:bCs/>
          <w:lang w:val="es-ES"/>
        </w:rPr>
        <w:t xml:space="preserve"> </w:t>
      </w:r>
      <w:r w:rsidRPr="00973533">
        <w:rPr>
          <w:lang w:val="es-ES"/>
        </w:rPr>
        <w:t xml:space="preserve">del Documento C26/12; </w:t>
      </w:r>
      <w:r w:rsidRPr="00AB7770">
        <w:rPr>
          <w:lang w:val="es-ES"/>
        </w:rPr>
        <w:t>aprueba</w:t>
      </w:r>
      <w:r w:rsidRPr="00973533">
        <w:rPr>
          <w:b/>
          <w:bCs/>
          <w:lang w:val="es-ES"/>
        </w:rPr>
        <w:t xml:space="preserve"> </w:t>
      </w:r>
      <w:r w:rsidRPr="00973533">
        <w:rPr>
          <w:lang w:val="es-ES"/>
        </w:rPr>
        <w:t xml:space="preserve">el proyecto de revisión de la Resolución 1386 (C17, modificada por última vez en C25) que figura en el Documento C26/87; </w:t>
      </w:r>
      <w:r w:rsidRPr="00AB7770">
        <w:rPr>
          <w:lang w:val="es-ES"/>
        </w:rPr>
        <w:t>aprueba</w:t>
      </w:r>
      <w:r w:rsidRPr="00973533">
        <w:rPr>
          <w:b/>
          <w:bCs/>
          <w:lang w:val="es-ES"/>
        </w:rPr>
        <w:t xml:space="preserve"> </w:t>
      </w:r>
      <w:r w:rsidRPr="00973533">
        <w:rPr>
          <w:lang w:val="es-ES"/>
        </w:rPr>
        <w:t xml:space="preserve">la propuesta de revisión de la Resolución 1372 (C15, modificada por última vez C24) que figura en el Anexo C al Documento C26/12, con la enmienda adicional propuesta al </w:t>
      </w:r>
      <w:r w:rsidRPr="00973533">
        <w:rPr>
          <w:i/>
          <w:iCs/>
          <w:lang w:val="es-ES"/>
        </w:rPr>
        <w:t>resuelve</w:t>
      </w:r>
      <w:r w:rsidRPr="00973533">
        <w:rPr>
          <w:lang w:val="es-ES"/>
        </w:rPr>
        <w:t xml:space="preserve"> 1; </w:t>
      </w:r>
      <w:r w:rsidRPr="00AB7770">
        <w:rPr>
          <w:lang w:val="es-ES"/>
        </w:rPr>
        <w:t>invita</w:t>
      </w:r>
      <w:r w:rsidRPr="00973533">
        <w:rPr>
          <w:lang w:val="es-ES"/>
        </w:rPr>
        <w:t xml:space="preserve"> a</w:t>
      </w:r>
      <w:r w:rsidRPr="00973533">
        <w:rPr>
          <w:b/>
          <w:bCs/>
          <w:lang w:val="es-ES"/>
        </w:rPr>
        <w:t xml:space="preserve"> </w:t>
      </w:r>
      <w:r w:rsidRPr="00973533">
        <w:rPr>
          <w:lang w:val="es-ES"/>
        </w:rPr>
        <w:t>las delegaciones a examinar las enmiendas propuestas a la Resolución 154 (Rev. Bucarest, 2022) al preparar contribuciones a la PP-26; y</w:t>
      </w:r>
      <w:r w:rsidRPr="00973533">
        <w:rPr>
          <w:b/>
          <w:bCs/>
          <w:lang w:val="es-ES"/>
        </w:rPr>
        <w:t xml:space="preserve"> </w:t>
      </w:r>
      <w:r w:rsidRPr="00AB7770">
        <w:rPr>
          <w:lang w:val="es-ES"/>
        </w:rPr>
        <w:t>acuerda</w:t>
      </w:r>
      <w:r w:rsidRPr="00973533">
        <w:rPr>
          <w:b/>
          <w:bCs/>
          <w:lang w:val="es-ES"/>
        </w:rPr>
        <w:t xml:space="preserve"> </w:t>
      </w:r>
      <w:r w:rsidRPr="00973533">
        <w:rPr>
          <w:lang w:val="es-ES"/>
        </w:rPr>
        <w:t>remitir el Documento C26/13 a la PP-26, junto con las observaciones formuladas durante los debates del Consejo.</w:t>
      </w:r>
    </w:p>
    <w:p w14:paraId="01A4A670" w14:textId="77777777" w:rsidR="00761C4D" w:rsidRDefault="00761C4D" w:rsidP="00411C49">
      <w:pPr>
        <w:pStyle w:val="Reasons"/>
      </w:pPr>
    </w:p>
    <w:p w14:paraId="2491C838" w14:textId="77777777" w:rsidR="00761C4D" w:rsidRDefault="00761C4D">
      <w:pPr>
        <w:jc w:val="center"/>
      </w:pPr>
      <w:r>
        <w:t>______________</w:t>
      </w:r>
    </w:p>
    <w:sectPr w:rsidR="00761C4D" w:rsidSect="00A70E95">
      <w:headerReference w:type="default" r:id="rId34"/>
      <w:footerReference w:type="first" r:id="rId35"/>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AE073" w14:textId="77777777" w:rsidR="00B53561" w:rsidRDefault="00B53561">
      <w:r>
        <w:separator/>
      </w:r>
    </w:p>
  </w:endnote>
  <w:endnote w:type="continuationSeparator" w:id="0">
    <w:p w14:paraId="06D5D06D" w14:textId="77777777" w:rsidR="00B53561" w:rsidRDefault="00B53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3EDA9" w14:textId="1A7A47CE"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3B5DC9" w:rsidRPr="009415B6">
        <w:rPr>
          <w:rStyle w:val="Hyperlink"/>
          <w:color w:val="00A3E0"/>
          <w:sz w:val="22"/>
          <w:szCs w:val="22"/>
          <w:lang w:val="en-GB"/>
        </w:rPr>
        <w:t>www.itu.int</w:t>
      </w:r>
      <w:proofErr w:type="spellEnd"/>
      <w:r w:rsidR="003B5DC9" w:rsidRPr="009415B6">
        <w:rPr>
          <w:rStyle w:val="Hyperlink"/>
          <w:color w:val="00A3E0"/>
          <w:sz w:val="22"/>
          <w:szCs w:val="22"/>
          <w:lang w:val="en-GB"/>
        </w:rPr>
        <w:t>/plenipotentiary/</w:t>
      </w:r>
    </w:hyperlink>
    <w:r w:rsidR="003B5DC9" w:rsidRPr="003202C9">
      <w:rPr>
        <w:rFonts w:ascii="Symbol" w:hAnsi="Symbol"/>
        <w:sz w:val="22"/>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0B056" w14:textId="77777777" w:rsidR="00B53561" w:rsidRDefault="00B53561">
      <w:r>
        <w:t>____________________</w:t>
      </w:r>
    </w:p>
  </w:footnote>
  <w:footnote w:type="continuationSeparator" w:id="0">
    <w:p w14:paraId="215B87F5" w14:textId="77777777" w:rsidR="00B53561" w:rsidRDefault="00B53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64C7"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6D6C2C56" w14:textId="5FBEFF3B" w:rsidR="00255FA1" w:rsidRDefault="00255FA1" w:rsidP="00C43474">
    <w:pPr>
      <w:pStyle w:val="Header"/>
    </w:pPr>
    <w:r>
      <w:rPr>
        <w:lang w:val="en-US"/>
      </w:rPr>
      <w:t>PP</w:t>
    </w:r>
    <w:r w:rsidR="009D1BE0">
      <w:rPr>
        <w:lang w:val="en-US"/>
      </w:rPr>
      <w:t>2</w:t>
    </w:r>
    <w:r w:rsidR="009415B6">
      <w:rPr>
        <w:lang w:val="en-US"/>
      </w:rPr>
      <w:t>6</w:t>
    </w:r>
    <w:r>
      <w:t>/</w:t>
    </w:r>
    <w:r w:rsidR="00761C4D">
      <w:t>42</w:t>
    </w:r>
    <w:r w:rsidR="00075113">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75113"/>
    <w:rsid w:val="000863AB"/>
    <w:rsid w:val="000A1523"/>
    <w:rsid w:val="000B1752"/>
    <w:rsid w:val="001051E8"/>
    <w:rsid w:val="0010546D"/>
    <w:rsid w:val="00135F93"/>
    <w:rsid w:val="001632E3"/>
    <w:rsid w:val="00181AC4"/>
    <w:rsid w:val="001D4983"/>
    <w:rsid w:val="001D6EC3"/>
    <w:rsid w:val="001D787B"/>
    <w:rsid w:val="001E3D06"/>
    <w:rsid w:val="001F0B24"/>
    <w:rsid w:val="001F5B03"/>
    <w:rsid w:val="00225F6B"/>
    <w:rsid w:val="00237C17"/>
    <w:rsid w:val="00242376"/>
    <w:rsid w:val="00255FA1"/>
    <w:rsid w:val="00262FF4"/>
    <w:rsid w:val="00277985"/>
    <w:rsid w:val="002C6527"/>
    <w:rsid w:val="002E44FC"/>
    <w:rsid w:val="003202C9"/>
    <w:rsid w:val="003537B5"/>
    <w:rsid w:val="003707E5"/>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369A4"/>
    <w:rsid w:val="00641DBD"/>
    <w:rsid w:val="006426C0"/>
    <w:rsid w:val="006455D2"/>
    <w:rsid w:val="006537F3"/>
    <w:rsid w:val="006A3E4C"/>
    <w:rsid w:val="006B5512"/>
    <w:rsid w:val="006C190D"/>
    <w:rsid w:val="00720686"/>
    <w:rsid w:val="00737EFF"/>
    <w:rsid w:val="00750806"/>
    <w:rsid w:val="00761C4D"/>
    <w:rsid w:val="007875D2"/>
    <w:rsid w:val="007D61E2"/>
    <w:rsid w:val="007E5AD9"/>
    <w:rsid w:val="007F6EBC"/>
    <w:rsid w:val="00810D8B"/>
    <w:rsid w:val="00882773"/>
    <w:rsid w:val="008848AE"/>
    <w:rsid w:val="008B4706"/>
    <w:rsid w:val="008B6676"/>
    <w:rsid w:val="008C3FA8"/>
    <w:rsid w:val="008D60D3"/>
    <w:rsid w:val="008E51C5"/>
    <w:rsid w:val="008F7109"/>
    <w:rsid w:val="009107B0"/>
    <w:rsid w:val="009220DE"/>
    <w:rsid w:val="00930E84"/>
    <w:rsid w:val="009415B6"/>
    <w:rsid w:val="00956FE6"/>
    <w:rsid w:val="0099270D"/>
    <w:rsid w:val="0099551E"/>
    <w:rsid w:val="009A1A86"/>
    <w:rsid w:val="009D1BE0"/>
    <w:rsid w:val="009E0C42"/>
    <w:rsid w:val="00A50BE3"/>
    <w:rsid w:val="00A70E95"/>
    <w:rsid w:val="00AA1F73"/>
    <w:rsid w:val="00AB190D"/>
    <w:rsid w:val="00AB34CA"/>
    <w:rsid w:val="00AB7770"/>
    <w:rsid w:val="00AD400E"/>
    <w:rsid w:val="00AF0DC5"/>
    <w:rsid w:val="00B012B7"/>
    <w:rsid w:val="00B30C52"/>
    <w:rsid w:val="00B501AB"/>
    <w:rsid w:val="00B53561"/>
    <w:rsid w:val="00B73978"/>
    <w:rsid w:val="00B77C4D"/>
    <w:rsid w:val="00BB13FE"/>
    <w:rsid w:val="00BC7EE2"/>
    <w:rsid w:val="00BF32F2"/>
    <w:rsid w:val="00BF5475"/>
    <w:rsid w:val="00C12175"/>
    <w:rsid w:val="00C20ED7"/>
    <w:rsid w:val="00C42D2D"/>
    <w:rsid w:val="00C43474"/>
    <w:rsid w:val="00C61A48"/>
    <w:rsid w:val="00C80F8F"/>
    <w:rsid w:val="00C84355"/>
    <w:rsid w:val="00C84A65"/>
    <w:rsid w:val="00CA3051"/>
    <w:rsid w:val="00CD20D9"/>
    <w:rsid w:val="00CD701A"/>
    <w:rsid w:val="00CF43AC"/>
    <w:rsid w:val="00D05AAE"/>
    <w:rsid w:val="00D05E6B"/>
    <w:rsid w:val="00D066F8"/>
    <w:rsid w:val="00D254A6"/>
    <w:rsid w:val="00D42B55"/>
    <w:rsid w:val="00D57D70"/>
    <w:rsid w:val="00DE3E41"/>
    <w:rsid w:val="00E05D81"/>
    <w:rsid w:val="00E53DFC"/>
    <w:rsid w:val="00E66FC3"/>
    <w:rsid w:val="00E677DD"/>
    <w:rsid w:val="00E77F17"/>
    <w:rsid w:val="00E809D8"/>
    <w:rsid w:val="00E921EC"/>
    <w:rsid w:val="00EB23D0"/>
    <w:rsid w:val="00EC395A"/>
    <w:rsid w:val="00F01632"/>
    <w:rsid w:val="00F04858"/>
    <w:rsid w:val="00F13AA4"/>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7239E2"/>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qFormat/>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table" w:styleId="TableGrid">
    <w:name w:val="Table Grid"/>
    <w:basedOn w:val="TableNormal"/>
    <w:rsid w:val="00761C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rceCouncil">
    <w:name w:val="Source_Council"/>
    <w:basedOn w:val="Source"/>
    <w:rsid w:val="00761C4D"/>
    <w:pPr>
      <w:framePr w:hSpace="181" w:wrap="around" w:hAnchor="margin" w:xAlign="center" w:y="-674"/>
      <w:spacing w:before="480"/>
      <w:jc w:val="left"/>
    </w:pPr>
    <w:rPr>
      <w:lang w:val="en-GB"/>
    </w:rPr>
  </w:style>
  <w:style w:type="paragraph" w:customStyle="1" w:styleId="SubtitleCouncil">
    <w:name w:val="Sub_title_Council"/>
    <w:basedOn w:val="Normal"/>
    <w:rsid w:val="00761C4D"/>
    <w:pPr>
      <w:framePr w:hSpace="181" w:wrap="around" w:vAnchor="page" w:hAnchor="text" w:x="1589" w:y="2314"/>
      <w:spacing w:after="120"/>
    </w:pPr>
    <w:rPr>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www.itu.int/md/S26-CL-C-0013/es" TargetMode="External"/><Relationship Id="rId18" Type="http://schemas.openxmlformats.org/officeDocument/2006/relationships/hyperlink" Target="https://www.itu.int/md/S23-RCLCWGLANG13-C-0007/es" TargetMode="External"/><Relationship Id="rId26" Type="http://schemas.openxmlformats.org/officeDocument/2006/relationships/hyperlink" Target="https://www.itu.int/md/S25-RCLCWGLANG16-C-0003/es" TargetMode="External"/><Relationship Id="rId21" Type="http://schemas.openxmlformats.org/officeDocument/2006/relationships/hyperlink" Target="https://www.itu.int/md/S24-RCLCWGLANG14-C-0005/es" TargetMode="External"/><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www.itu.int/en/council/cwg-lang/Pages/default.aspx" TargetMode="External"/><Relationship Id="rId17" Type="http://schemas.openxmlformats.org/officeDocument/2006/relationships/hyperlink" Target="https://www.itu.int/en/council/cwg-lang/Pages/default.aspx" TargetMode="External"/><Relationship Id="rId25" Type="http://schemas.openxmlformats.org/officeDocument/2006/relationships/hyperlink" Target="https://www.itu.int/md/S25-RCLCWGLANG16-C-0005/es" TargetMode="External"/><Relationship Id="rId33" Type="http://schemas.openxmlformats.org/officeDocument/2006/relationships/hyperlink" Target="https://www.itu.int/md/S26-CL-C-0087/es" TargetMode="External"/><Relationship Id="rId2" Type="http://schemas.openxmlformats.org/officeDocument/2006/relationships/styles" Target="styles.xml"/><Relationship Id="rId16" Type="http://schemas.openxmlformats.org/officeDocument/2006/relationships/hyperlink" Target="https://www.itu.int/en/council/Documents/basic-texts/DEC-011-S.pdf" TargetMode="External"/><Relationship Id="rId20" Type="http://schemas.openxmlformats.org/officeDocument/2006/relationships/hyperlink" Target="https://www.itu.int/md/S24-RCLCWGLANG14-C-0006/es" TargetMode="External"/><Relationship Id="rId29" Type="http://schemas.openxmlformats.org/officeDocument/2006/relationships/hyperlink" Target="https://www.itu.int/md/S26-RCLCWGLANG17-C-0005/es" TargetMode="Externa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hyperlink" Target="https://www.itu.int/md/S26-CL-C-0135/es" TargetMode="External"/><Relationship Id="rId24" Type="http://schemas.openxmlformats.org/officeDocument/2006/relationships/hyperlink" Target="mailto:ling-it-support@itu.int" TargetMode="External"/><Relationship Id="rId32" Type="http://schemas.openxmlformats.org/officeDocument/2006/relationships/hyperlink" Target="https://www.itu.int/md/S26-CL-C-0013/es"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mailto:" TargetMode="External"/><Relationship Id="rId28" Type="http://schemas.openxmlformats.org/officeDocument/2006/relationships/hyperlink" Target="https://www.itu.int/md/S26-RCLCWGLANG17-C-0009/es" TargetMode="External"/><Relationship Id="rId36" Type="http://schemas.openxmlformats.org/officeDocument/2006/relationships/fontTable" Target="fontTable.xml"/><Relationship Id="rId10" Type="http://schemas.openxmlformats.org/officeDocument/2006/relationships/hyperlink" Target="https://www.itu.int/en/council/Documents/basic-texts-2023/RES-154-S.pdf" TargetMode="External"/><Relationship Id="rId19" Type="http://schemas.openxmlformats.org/officeDocument/2006/relationships/hyperlink" Target="https://www.itu.int/md/S23-RCLCWGLANG13-C-0006/es" TargetMode="External"/><Relationship Id="rId31" Type="http://schemas.openxmlformats.org/officeDocument/2006/relationships/hyperlink" Target="https://www.itu.int/md/S26-CL-C-0012/es" TargetMode="External"/><Relationship Id="rId4" Type="http://schemas.openxmlformats.org/officeDocument/2006/relationships/webSettings" Target="webSettings.xml"/><Relationship Id="rId9" Type="http://schemas.openxmlformats.org/officeDocument/2006/relationships/hyperlink" Target="https://www.itu.int/en/council/Documents/basic-texts-2023/DEC-011-S.pdf" TargetMode="External"/><Relationship Id="rId14" Type="http://schemas.openxmlformats.org/officeDocument/2006/relationships/hyperlink" Target="https://www.itu.int/md/S26-CL-C-0013/es" TargetMode="External"/><Relationship Id="rId22" Type="http://schemas.openxmlformats.org/officeDocument/2006/relationships/hyperlink" Target="https://www.itu.int/md/S24-RCLCWGLANG14-C-0003/es" TargetMode="External"/><Relationship Id="rId27" Type="http://schemas.openxmlformats.org/officeDocument/2006/relationships/hyperlink" Target="https://www.itu.int/md/S25-CL-INF-0007/es" TargetMode="External"/><Relationship Id="rId30" Type="http://schemas.openxmlformats.org/officeDocument/2006/relationships/hyperlink" Target="https://www.itu.int/md/S26-CL-C-0125/es" TargetMode="External"/><Relationship Id="rId35" Type="http://schemas.openxmlformats.org/officeDocument/2006/relationships/footer" Target="footer1.xml"/><Relationship Id="rId8" Type="http://schemas.openxmlformats.org/officeDocument/2006/relationships/hyperlink" Target="https://www.itu.int/md/S26-CL-C-0013/es" TargetMode="External"/><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2943</Words>
  <Characters>15807</Characters>
  <Application>Microsoft Office Word</Application>
  <DocSecurity>0</DocSecurity>
  <Lines>287</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18640</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Consejo - Informe cuadrienal del Grupo de Trabajo del Consejo sobre los idiomas</dc:title>
  <dc:subject>ITU Plenipotentiary Conference (PP-26)</dc:subject>
  <cp:keywords>PP-26, PP26, ITU</cp:keywords>
  <dc:description/>
  <dcterms:created xsi:type="dcterms:W3CDTF">2026-10-08T08:21:00Z</dcterms:created>
  <dcterms:modified xsi:type="dcterms:W3CDTF">2026-10-08T08:22:00Z</dcterms:modified>
  <cp:category>Conference document</cp:category>
</cp:coreProperties>
</file>