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3E245B"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3E245B" w:rsidRDefault="00CE496F" w:rsidP="00CE496F">
            <w:pPr>
              <w:spacing w:before="0" w:line="240" w:lineRule="atLeast"/>
              <w:rPr>
                <w:rFonts w:cstheme="minorHAnsi"/>
              </w:rPr>
            </w:pPr>
            <w:bookmarkStart w:id="0" w:name="ditulogo"/>
            <w:bookmarkEnd w:id="0"/>
            <w:r w:rsidRPr="003E245B">
              <w:rPr>
                <w:rFonts w:cstheme="minorHAnsi"/>
                <w:noProof/>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3E245B" w14:paraId="3120A8D9" w14:textId="77777777" w:rsidTr="00BD5C12">
        <w:trPr>
          <w:cantSplit/>
          <w:jc w:val="center"/>
        </w:trPr>
        <w:tc>
          <w:tcPr>
            <w:tcW w:w="10031" w:type="dxa"/>
            <w:gridSpan w:val="2"/>
            <w:tcBorders>
              <w:bottom w:val="single" w:sz="12" w:space="0" w:color="71716F"/>
            </w:tcBorders>
          </w:tcPr>
          <w:p w14:paraId="57068B73" w14:textId="77777777" w:rsidR="002E1AF7" w:rsidRPr="003E245B" w:rsidRDefault="002E1AF7" w:rsidP="00CE496F">
            <w:pPr>
              <w:spacing w:before="0" w:line="240" w:lineRule="atLeast"/>
              <w:rPr>
                <w:rFonts w:cstheme="minorHAnsi"/>
                <w:b/>
                <w:smallCaps/>
                <w:szCs w:val="24"/>
              </w:rPr>
            </w:pPr>
            <w:bookmarkStart w:id="1" w:name="dhead"/>
          </w:p>
        </w:tc>
      </w:tr>
      <w:tr w:rsidR="00BD1614" w:rsidRPr="003E245B" w14:paraId="20A2296F" w14:textId="77777777" w:rsidTr="00EC1877">
        <w:trPr>
          <w:cantSplit/>
          <w:jc w:val="center"/>
        </w:trPr>
        <w:tc>
          <w:tcPr>
            <w:tcW w:w="7229" w:type="dxa"/>
            <w:tcBorders>
              <w:top w:val="single" w:sz="12" w:space="0" w:color="71716F"/>
            </w:tcBorders>
          </w:tcPr>
          <w:p w14:paraId="4CFA6027" w14:textId="77777777" w:rsidR="00BD1614" w:rsidRPr="003E245B"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3C479168" w14:textId="77777777" w:rsidR="00BD1614" w:rsidRPr="003E245B" w:rsidRDefault="00BD1614" w:rsidP="007A47E9">
            <w:pPr>
              <w:spacing w:before="0"/>
              <w:rPr>
                <w:rFonts w:cstheme="minorHAnsi"/>
                <w:szCs w:val="24"/>
              </w:rPr>
            </w:pPr>
          </w:p>
        </w:tc>
      </w:tr>
      <w:tr w:rsidR="00BD1614" w:rsidRPr="003E245B" w14:paraId="5EBA9561" w14:textId="77777777" w:rsidTr="00CE496F">
        <w:trPr>
          <w:cantSplit/>
          <w:jc w:val="center"/>
        </w:trPr>
        <w:tc>
          <w:tcPr>
            <w:tcW w:w="7229" w:type="dxa"/>
          </w:tcPr>
          <w:p w14:paraId="081C5B53" w14:textId="208B41EF" w:rsidR="00BD1614" w:rsidRPr="003E245B" w:rsidRDefault="00801154" w:rsidP="00801154">
            <w:pPr>
              <w:pStyle w:val="Committee"/>
              <w:framePr w:hSpace="0" w:wrap="auto" w:hAnchor="text" w:yAlign="inline"/>
              <w:spacing w:after="0" w:line="240" w:lineRule="auto"/>
              <w:rPr>
                <w:lang w:val="fr-FR"/>
              </w:rPr>
            </w:pPr>
            <w:r w:rsidRPr="003E245B">
              <w:rPr>
                <w:lang w:val="fr-FR"/>
              </w:rPr>
              <w:t>SÉANCE PLÉNIÈRE</w:t>
            </w:r>
          </w:p>
        </w:tc>
        <w:tc>
          <w:tcPr>
            <w:tcW w:w="2802" w:type="dxa"/>
            <w:tcMar>
              <w:left w:w="142" w:type="dxa"/>
              <w:right w:w="0" w:type="dxa"/>
            </w:tcMar>
          </w:tcPr>
          <w:p w14:paraId="42E82404" w14:textId="2007A854" w:rsidR="00BD1614" w:rsidRPr="003E245B" w:rsidRDefault="00801154" w:rsidP="007A47E9">
            <w:pPr>
              <w:spacing w:before="0"/>
              <w:rPr>
                <w:rFonts w:cstheme="minorHAnsi"/>
                <w:szCs w:val="24"/>
              </w:rPr>
            </w:pPr>
            <w:r w:rsidRPr="003E245B">
              <w:rPr>
                <w:rFonts w:cstheme="minorHAnsi"/>
                <w:b/>
                <w:szCs w:val="24"/>
              </w:rPr>
              <w:t xml:space="preserve">Document </w:t>
            </w:r>
            <w:r w:rsidR="00E85C00">
              <w:rPr>
                <w:rFonts w:cstheme="minorHAnsi"/>
                <w:b/>
                <w:szCs w:val="24"/>
              </w:rPr>
              <w:t>40</w:t>
            </w:r>
            <w:r w:rsidRPr="003E245B">
              <w:rPr>
                <w:rFonts w:cstheme="minorHAnsi"/>
                <w:b/>
                <w:szCs w:val="24"/>
              </w:rPr>
              <w:t>-F</w:t>
            </w:r>
          </w:p>
        </w:tc>
      </w:tr>
      <w:tr w:rsidR="00BD1614" w:rsidRPr="003E245B" w14:paraId="5C605E2F" w14:textId="77777777" w:rsidTr="00CE496F">
        <w:trPr>
          <w:cantSplit/>
          <w:jc w:val="center"/>
        </w:trPr>
        <w:tc>
          <w:tcPr>
            <w:tcW w:w="7229" w:type="dxa"/>
          </w:tcPr>
          <w:p w14:paraId="3701819B" w14:textId="4343949C" w:rsidR="00BD1614" w:rsidRPr="003E245B" w:rsidRDefault="00BD1614" w:rsidP="007A47E9">
            <w:pPr>
              <w:spacing w:before="0"/>
              <w:rPr>
                <w:rFonts w:cstheme="minorHAnsi"/>
                <w:b/>
                <w:szCs w:val="24"/>
              </w:rPr>
            </w:pPr>
          </w:p>
        </w:tc>
        <w:tc>
          <w:tcPr>
            <w:tcW w:w="2802" w:type="dxa"/>
            <w:tcMar>
              <w:left w:w="142" w:type="dxa"/>
              <w:right w:w="0" w:type="dxa"/>
            </w:tcMar>
          </w:tcPr>
          <w:p w14:paraId="4FD5E934" w14:textId="2DEDE7DD" w:rsidR="00BD1614" w:rsidRPr="003E245B" w:rsidRDefault="001C2B5C" w:rsidP="007A47E9">
            <w:pPr>
              <w:spacing w:before="0"/>
              <w:rPr>
                <w:rFonts w:cstheme="minorHAnsi"/>
                <w:b/>
                <w:szCs w:val="24"/>
              </w:rPr>
            </w:pPr>
            <w:r>
              <w:rPr>
                <w:rFonts w:cstheme="minorHAnsi"/>
                <w:b/>
                <w:szCs w:val="24"/>
              </w:rPr>
              <w:t>2 octobre</w:t>
            </w:r>
            <w:r w:rsidR="003E245B" w:rsidRPr="003E245B">
              <w:rPr>
                <w:rFonts w:cstheme="minorHAnsi"/>
                <w:b/>
                <w:szCs w:val="24"/>
              </w:rPr>
              <w:t xml:space="preserve"> 2026</w:t>
            </w:r>
          </w:p>
        </w:tc>
      </w:tr>
      <w:tr w:rsidR="00BD1614" w:rsidRPr="003E245B" w14:paraId="6B2B4BC1" w14:textId="77777777" w:rsidTr="00CE496F">
        <w:trPr>
          <w:cantSplit/>
          <w:jc w:val="center"/>
        </w:trPr>
        <w:tc>
          <w:tcPr>
            <w:tcW w:w="7229" w:type="dxa"/>
          </w:tcPr>
          <w:p w14:paraId="780A194C" w14:textId="77777777" w:rsidR="00BD1614" w:rsidRPr="003E245B" w:rsidRDefault="00BD1614" w:rsidP="007A47E9">
            <w:pPr>
              <w:spacing w:before="0"/>
              <w:rPr>
                <w:rFonts w:cstheme="minorHAnsi"/>
                <w:b/>
                <w:smallCaps/>
                <w:szCs w:val="24"/>
              </w:rPr>
            </w:pPr>
          </w:p>
        </w:tc>
        <w:tc>
          <w:tcPr>
            <w:tcW w:w="2802" w:type="dxa"/>
            <w:tcMar>
              <w:left w:w="142" w:type="dxa"/>
              <w:right w:w="0" w:type="dxa"/>
            </w:tcMar>
          </w:tcPr>
          <w:p w14:paraId="36796BDA" w14:textId="560E6019" w:rsidR="00BD1614" w:rsidRPr="003E245B" w:rsidRDefault="00801154" w:rsidP="007A47E9">
            <w:pPr>
              <w:spacing w:before="0"/>
              <w:rPr>
                <w:rFonts w:cstheme="minorHAnsi"/>
                <w:b/>
                <w:szCs w:val="24"/>
              </w:rPr>
            </w:pPr>
            <w:r w:rsidRPr="003E245B">
              <w:rPr>
                <w:rFonts w:cstheme="minorHAnsi"/>
                <w:b/>
                <w:szCs w:val="24"/>
              </w:rPr>
              <w:t>Original: anglais</w:t>
            </w:r>
          </w:p>
        </w:tc>
      </w:tr>
      <w:tr w:rsidR="00BD1614" w:rsidRPr="003E245B" w14:paraId="4259B884" w14:textId="77777777" w:rsidTr="002E1AF7">
        <w:trPr>
          <w:cantSplit/>
          <w:jc w:val="center"/>
        </w:trPr>
        <w:tc>
          <w:tcPr>
            <w:tcW w:w="10031" w:type="dxa"/>
            <w:gridSpan w:val="2"/>
          </w:tcPr>
          <w:p w14:paraId="770628D7" w14:textId="77777777" w:rsidR="00BD1614" w:rsidRPr="003E245B" w:rsidRDefault="00BD1614" w:rsidP="007A47E9">
            <w:pPr>
              <w:spacing w:before="0" w:line="240" w:lineRule="atLeast"/>
              <w:rPr>
                <w:rFonts w:cstheme="minorHAnsi"/>
                <w:b/>
                <w:szCs w:val="24"/>
              </w:rPr>
            </w:pPr>
          </w:p>
        </w:tc>
      </w:tr>
      <w:tr w:rsidR="00BD1614" w:rsidRPr="003E245B" w14:paraId="6A9FB924" w14:textId="77777777" w:rsidTr="002E1AF7">
        <w:trPr>
          <w:cantSplit/>
          <w:jc w:val="center"/>
        </w:trPr>
        <w:tc>
          <w:tcPr>
            <w:tcW w:w="10031" w:type="dxa"/>
            <w:gridSpan w:val="2"/>
          </w:tcPr>
          <w:p w14:paraId="070875E6" w14:textId="5B18D119" w:rsidR="00BD1614" w:rsidRPr="003E245B" w:rsidRDefault="003E245B" w:rsidP="007A47E9">
            <w:pPr>
              <w:pStyle w:val="Source"/>
            </w:pPr>
            <w:bookmarkStart w:id="2" w:name="dsource" w:colFirst="0" w:colLast="0"/>
            <w:bookmarkEnd w:id="1"/>
            <w:r w:rsidRPr="003E245B">
              <w:t>Rapport du Conseil</w:t>
            </w:r>
          </w:p>
        </w:tc>
      </w:tr>
      <w:tr w:rsidR="00BD1614" w:rsidRPr="003E245B" w14:paraId="534EEA05" w14:textId="77777777" w:rsidTr="002E1AF7">
        <w:trPr>
          <w:cantSplit/>
          <w:jc w:val="center"/>
        </w:trPr>
        <w:tc>
          <w:tcPr>
            <w:tcW w:w="10031" w:type="dxa"/>
            <w:gridSpan w:val="2"/>
          </w:tcPr>
          <w:p w14:paraId="0C8E89F3" w14:textId="67EC2764" w:rsidR="00BD1614" w:rsidRPr="003E245B" w:rsidRDefault="003E245B" w:rsidP="001614C6">
            <w:pPr>
              <w:pStyle w:val="Title1"/>
              <w:spacing w:after="120"/>
            </w:pPr>
            <w:bookmarkStart w:id="3" w:name="dtitle1" w:colFirst="0" w:colLast="0"/>
            <w:bookmarkEnd w:id="2"/>
            <w:r w:rsidRPr="003E245B">
              <w:t xml:space="preserve">RAPPORT QUADRIENNAL DU GROUPE DE TRAVAIL DU CONSEIL SUR </w:t>
            </w:r>
            <w:r w:rsidR="00E85C00">
              <w:t>les ressources financières et les ressources humaines (gtc-fhr</w:t>
            </w:r>
            <w:r w:rsidRPr="003E245B">
              <w:t>)</w:t>
            </w:r>
          </w:p>
        </w:tc>
      </w:tr>
    </w:tbl>
    <w:tbl>
      <w:tblPr>
        <w:tblStyle w:val="TableGrid"/>
        <w:tblW w:w="0" w:type="auto"/>
        <w:jc w:val="center"/>
        <w:tblLook w:val="04A0" w:firstRow="1" w:lastRow="0" w:firstColumn="1" w:lastColumn="0" w:noHBand="0" w:noVBand="1"/>
      </w:tblPr>
      <w:tblGrid>
        <w:gridCol w:w="7937"/>
      </w:tblGrid>
      <w:tr w:rsidR="003E245B" w14:paraId="2F55FC28" w14:textId="77777777" w:rsidTr="00E867E9">
        <w:trPr>
          <w:trHeight w:val="3402"/>
          <w:jc w:val="center"/>
        </w:trPr>
        <w:tc>
          <w:tcPr>
            <w:tcW w:w="7937" w:type="dxa"/>
          </w:tcPr>
          <w:bookmarkEnd w:id="3"/>
          <w:p w14:paraId="31FE264E" w14:textId="5CA187DB" w:rsidR="003E245B" w:rsidRPr="00173340" w:rsidRDefault="003E245B" w:rsidP="00E867E9">
            <w:pPr>
              <w:pStyle w:val="Headingb"/>
            </w:pPr>
            <w:r w:rsidRPr="000A33D2">
              <w:rPr>
                <w:szCs w:val="24"/>
              </w:rPr>
              <w:t>Résumé</w:t>
            </w:r>
          </w:p>
          <w:p w14:paraId="384F8B99" w14:textId="2D0EC11B" w:rsidR="003E245B" w:rsidRPr="000A33D2" w:rsidRDefault="003E245B" w:rsidP="009F085A">
            <w:pPr>
              <w:rPr>
                <w:szCs w:val="24"/>
              </w:rPr>
            </w:pPr>
            <w:r w:rsidRPr="000A33D2">
              <w:rPr>
                <w:szCs w:val="24"/>
              </w:rPr>
              <w:t xml:space="preserve">Conformément à la Décision 11 (Rév. </w:t>
            </w:r>
            <w:r w:rsidR="00E85C00">
              <w:rPr>
                <w:szCs w:val="24"/>
              </w:rPr>
              <w:t>Bucarest, 2022</w:t>
            </w:r>
            <w:r w:rsidRPr="000A33D2">
              <w:rPr>
                <w:szCs w:val="24"/>
              </w:rPr>
              <w:t>) de la Conférence de plénipotentiaires, l</w:t>
            </w:r>
            <w:r w:rsidR="00E85C00">
              <w:rPr>
                <w:szCs w:val="24"/>
              </w:rPr>
              <w:t>a</w:t>
            </w:r>
            <w:r w:rsidRPr="000A33D2">
              <w:rPr>
                <w:szCs w:val="24"/>
              </w:rPr>
              <w:t xml:space="preserve"> Président</w:t>
            </w:r>
            <w:r w:rsidR="00E85C00">
              <w:rPr>
                <w:szCs w:val="24"/>
              </w:rPr>
              <w:t>e</w:t>
            </w:r>
            <w:r w:rsidRPr="000A33D2">
              <w:rPr>
                <w:szCs w:val="24"/>
              </w:rPr>
              <w:t xml:space="preserve"> du GTC-</w:t>
            </w:r>
            <w:r w:rsidR="00E85C00">
              <w:rPr>
                <w:szCs w:val="24"/>
              </w:rPr>
              <w:t>FHR</w:t>
            </w:r>
            <w:r w:rsidRPr="000A33D2">
              <w:rPr>
                <w:szCs w:val="24"/>
              </w:rPr>
              <w:t xml:space="preserve"> a soumis le rapport quadriennal du GTC-</w:t>
            </w:r>
            <w:r w:rsidR="00E85C00">
              <w:rPr>
                <w:szCs w:val="24"/>
              </w:rPr>
              <w:t>FHR</w:t>
            </w:r>
            <w:r w:rsidRPr="000A33D2">
              <w:rPr>
                <w:szCs w:val="24"/>
              </w:rPr>
              <w:t xml:space="preserve"> (</w:t>
            </w:r>
            <w:r w:rsidR="00443AD7">
              <w:t>Document</w:t>
            </w:r>
            <w:hyperlink r:id="rId10" w:history="1">
              <w:r w:rsidR="00E85C00" w:rsidRPr="00B77987">
                <w:rPr>
                  <w:rStyle w:val="Hyperlink"/>
                  <w:spacing w:val="-2"/>
                </w:rPr>
                <w:t>C26/53(R</w:t>
              </w:r>
              <w:r w:rsidR="00E85C00">
                <w:rPr>
                  <w:rStyle w:val="Hyperlink"/>
                  <w:spacing w:val="-2"/>
                </w:rPr>
                <w:t>é</w:t>
              </w:r>
              <w:r w:rsidR="00E85C00" w:rsidRPr="00B77987">
                <w:rPr>
                  <w:rStyle w:val="Hyperlink"/>
                  <w:spacing w:val="-2"/>
                </w:rPr>
                <w:t>v.1)</w:t>
              </w:r>
            </w:hyperlink>
            <w:r w:rsidRPr="000A33D2">
              <w:rPr>
                <w:szCs w:val="24"/>
              </w:rPr>
              <w:t>) au Conseil à sa session de 202</w:t>
            </w:r>
            <w:r w:rsidR="00443AD7">
              <w:rPr>
                <w:szCs w:val="24"/>
              </w:rPr>
              <w:t>6</w:t>
            </w:r>
            <w:r w:rsidRPr="000A33D2">
              <w:rPr>
                <w:szCs w:val="24"/>
              </w:rPr>
              <w:t xml:space="preserve"> pour qu'il l'examine et soumette des recommandations à la Conférence de plénipotentiaires de 202</w:t>
            </w:r>
            <w:r w:rsidR="00443AD7">
              <w:rPr>
                <w:szCs w:val="24"/>
              </w:rPr>
              <w:t>6</w:t>
            </w:r>
            <w:r w:rsidRPr="000A33D2">
              <w:rPr>
                <w:szCs w:val="24"/>
              </w:rPr>
              <w:t xml:space="preserve"> concernant la nécessité de maintenir, de modifier ou de dissoudre le GTC, ou d'en créer un nouveau, pour la période suivante.</w:t>
            </w:r>
          </w:p>
          <w:p w14:paraId="5EAB51A9" w14:textId="0A74E32B" w:rsidR="003E245B" w:rsidRPr="000A33D2" w:rsidRDefault="003E245B" w:rsidP="009F085A">
            <w:pPr>
              <w:rPr>
                <w:szCs w:val="24"/>
              </w:rPr>
            </w:pPr>
            <w:r w:rsidRPr="000A33D2">
              <w:rPr>
                <w:szCs w:val="24"/>
              </w:rPr>
              <w:t xml:space="preserve">Le Conseil </w:t>
            </w:r>
            <w:r w:rsidR="00443AD7">
              <w:rPr>
                <w:bCs/>
                <w:szCs w:val="24"/>
              </w:rPr>
              <w:t>a pris note</w:t>
            </w:r>
            <w:r w:rsidRPr="000A33D2">
              <w:rPr>
                <w:szCs w:val="24"/>
              </w:rPr>
              <w:t xml:space="preserve"> du rapport figurant dans le Document </w:t>
            </w:r>
            <w:r w:rsidR="00E85C00" w:rsidRPr="00E85C00">
              <w:rPr>
                <w:szCs w:val="24"/>
              </w:rPr>
              <w:t>C26/53(Rév.1)</w:t>
            </w:r>
            <w:r w:rsidR="00E85C00">
              <w:rPr>
                <w:szCs w:val="24"/>
              </w:rPr>
              <w:t xml:space="preserve"> </w:t>
            </w:r>
            <w:r w:rsidRPr="000A33D2">
              <w:rPr>
                <w:szCs w:val="24"/>
              </w:rPr>
              <w:t xml:space="preserve">et </w:t>
            </w:r>
            <w:r w:rsidR="00443AD7">
              <w:rPr>
                <w:szCs w:val="24"/>
              </w:rPr>
              <w:t>a décidé</w:t>
            </w:r>
            <w:r w:rsidRPr="000A33D2">
              <w:rPr>
                <w:szCs w:val="24"/>
              </w:rPr>
              <w:t xml:space="preserve"> de le transmettre à la Conférence de plénipotentiaires, accompagné du compte rendu de la séance reprenant les recommandations et les vues des États</w:t>
            </w:r>
            <w:r w:rsidR="001614C6">
              <w:rPr>
                <w:szCs w:val="24"/>
              </w:rPr>
              <w:t> </w:t>
            </w:r>
            <w:r w:rsidRPr="000A33D2">
              <w:rPr>
                <w:szCs w:val="24"/>
              </w:rPr>
              <w:t>Membres du Conseil.</w:t>
            </w:r>
          </w:p>
          <w:p w14:paraId="38004F4A" w14:textId="79618C3C" w:rsidR="003E245B" w:rsidRDefault="00E85C00" w:rsidP="009F085A">
            <w:pPr>
              <w:spacing w:before="100"/>
            </w:pPr>
            <w:r>
              <w:rPr>
                <w:szCs w:val="24"/>
              </w:rPr>
              <w:t>Ce rapport</w:t>
            </w:r>
            <w:r w:rsidR="00443AD7">
              <w:rPr>
                <w:szCs w:val="24"/>
              </w:rPr>
              <w:t xml:space="preserve"> </w:t>
            </w:r>
            <w:r w:rsidR="003E245B" w:rsidRPr="000A33D2">
              <w:rPr>
                <w:szCs w:val="24"/>
              </w:rPr>
              <w:t>récapitule les principales activités et réalisations du GTC</w:t>
            </w:r>
            <w:r w:rsidR="003E245B" w:rsidRPr="000A33D2">
              <w:rPr>
                <w:szCs w:val="24"/>
              </w:rPr>
              <w:noBreakHyphen/>
            </w:r>
            <w:r w:rsidR="00443AD7">
              <w:rPr>
                <w:szCs w:val="24"/>
              </w:rPr>
              <w:t>COP</w:t>
            </w:r>
            <w:r w:rsidR="003E245B" w:rsidRPr="000A33D2">
              <w:rPr>
                <w:szCs w:val="24"/>
              </w:rPr>
              <w:t xml:space="preserve"> au cours de la période 2022</w:t>
            </w:r>
            <w:r w:rsidR="00443AD7">
              <w:rPr>
                <w:szCs w:val="24"/>
              </w:rPr>
              <w:t>-2026</w:t>
            </w:r>
            <w:r w:rsidR="003E245B" w:rsidRPr="000A33D2">
              <w:rPr>
                <w:szCs w:val="24"/>
              </w:rPr>
              <w:t xml:space="preserve">, conformément à la Résolution </w:t>
            </w:r>
            <w:r>
              <w:rPr>
                <w:szCs w:val="24"/>
              </w:rPr>
              <w:t>563 (mod. 2023)</w:t>
            </w:r>
            <w:r w:rsidR="003E245B" w:rsidRPr="000A33D2">
              <w:rPr>
                <w:szCs w:val="24"/>
              </w:rPr>
              <w:t xml:space="preserve"> du Conseil. L'extrait du</w:t>
            </w:r>
            <w:r>
              <w:rPr>
                <w:szCs w:val="24"/>
              </w:rPr>
              <w:t xml:space="preserve"> rapport de la Présidente de la Commission permanente de l</w:t>
            </w:r>
            <w:r w:rsidR="00F244BE">
              <w:rPr>
                <w:szCs w:val="24"/>
              </w:rPr>
              <w:t>'</w:t>
            </w:r>
            <w:r>
              <w:rPr>
                <w:szCs w:val="24"/>
              </w:rPr>
              <w:t>administration et de la gestion (</w:t>
            </w:r>
            <w:hyperlink w:anchor="Annex2" w:history="1">
              <w:r w:rsidRPr="00B87749">
                <w:rPr>
                  <w:rStyle w:val="Hyperlink"/>
                  <w:szCs w:val="24"/>
                </w:rPr>
                <w:t>Annexe 2</w:t>
              </w:r>
            </w:hyperlink>
            <w:r>
              <w:rPr>
                <w:szCs w:val="24"/>
              </w:rPr>
              <w:t>), ainsi que l</w:t>
            </w:r>
            <w:r w:rsidR="00F244BE">
              <w:rPr>
                <w:szCs w:val="24"/>
              </w:rPr>
              <w:t>'</w:t>
            </w:r>
            <w:r>
              <w:rPr>
                <w:szCs w:val="24"/>
              </w:rPr>
              <w:t>extrait du</w:t>
            </w:r>
            <w:r w:rsidR="003E245B" w:rsidRPr="000A33D2">
              <w:rPr>
                <w:szCs w:val="24"/>
              </w:rPr>
              <w:t xml:space="preserve"> compte rendu de la </w:t>
            </w:r>
            <w:r>
              <w:rPr>
                <w:szCs w:val="24"/>
              </w:rPr>
              <w:t>neuvième</w:t>
            </w:r>
            <w:r w:rsidR="003E245B" w:rsidRPr="000A33D2">
              <w:rPr>
                <w:szCs w:val="24"/>
              </w:rPr>
              <w:t xml:space="preserve"> séance plénière de la session de 202</w:t>
            </w:r>
            <w:r w:rsidR="00DB07DD">
              <w:rPr>
                <w:szCs w:val="24"/>
              </w:rPr>
              <w:t>6</w:t>
            </w:r>
            <w:r w:rsidR="003E245B" w:rsidRPr="000A33D2">
              <w:rPr>
                <w:szCs w:val="24"/>
              </w:rPr>
              <w:t xml:space="preserve"> du Conseil, qui reprend les recommandations et les vues des États Membres du Conseil</w:t>
            </w:r>
            <w:r>
              <w:rPr>
                <w:szCs w:val="24"/>
              </w:rPr>
              <w:t xml:space="preserve"> (</w:t>
            </w:r>
            <w:hyperlink w:anchor="Annex3" w:history="1">
              <w:r w:rsidRPr="00B87749">
                <w:rPr>
                  <w:rStyle w:val="Hyperlink"/>
                  <w:szCs w:val="24"/>
                </w:rPr>
                <w:t>Annexe</w:t>
              </w:r>
              <w:r w:rsidR="001614C6" w:rsidRPr="00B87749">
                <w:rPr>
                  <w:rStyle w:val="Hyperlink"/>
                  <w:szCs w:val="24"/>
                </w:rPr>
                <w:t> </w:t>
              </w:r>
              <w:r w:rsidRPr="00B87749">
                <w:rPr>
                  <w:rStyle w:val="Hyperlink"/>
                  <w:szCs w:val="24"/>
                </w:rPr>
                <w:t>3</w:t>
              </w:r>
            </w:hyperlink>
            <w:r>
              <w:rPr>
                <w:szCs w:val="24"/>
              </w:rPr>
              <w:t>)</w:t>
            </w:r>
            <w:r w:rsidR="003E245B" w:rsidRPr="000A33D2">
              <w:rPr>
                <w:szCs w:val="24"/>
              </w:rPr>
              <w:t xml:space="preserve">, </w:t>
            </w:r>
            <w:r>
              <w:rPr>
                <w:szCs w:val="24"/>
              </w:rPr>
              <w:t>sont joints au présent rapport</w:t>
            </w:r>
            <w:r w:rsidR="003E245B" w:rsidRPr="00DF12F2">
              <w:t>.</w:t>
            </w:r>
          </w:p>
          <w:p w14:paraId="7EEEA73D" w14:textId="5EF5A217" w:rsidR="003E245B" w:rsidRPr="00B64995" w:rsidRDefault="003E245B" w:rsidP="001614C6">
            <w:pPr>
              <w:pStyle w:val="Headingb"/>
              <w:keepNext w:val="0"/>
              <w:keepLines w:val="0"/>
            </w:pPr>
            <w:r w:rsidRPr="003E245B">
              <w:t>Suite à donner</w:t>
            </w:r>
          </w:p>
          <w:p w14:paraId="2492DBCD" w14:textId="4CEFE0FB" w:rsidR="003E245B" w:rsidRDefault="003E245B" w:rsidP="001614C6">
            <w:pPr>
              <w:spacing w:before="100"/>
              <w:jc w:val="both"/>
            </w:pPr>
            <w:r w:rsidRPr="003E245B">
              <w:t xml:space="preserve">La Conférence de plénipotentiaires est invitée à </w:t>
            </w:r>
            <w:r w:rsidRPr="00DB07DD">
              <w:rPr>
                <w:b/>
                <w:bCs/>
              </w:rPr>
              <w:t>examiner</w:t>
            </w:r>
            <w:r w:rsidRPr="003E245B">
              <w:t xml:space="preserve"> le présent rapport et à </w:t>
            </w:r>
            <w:r w:rsidRPr="00DB07DD">
              <w:rPr>
                <w:b/>
                <w:bCs/>
              </w:rPr>
              <w:t>prendre les mesures nécessaires, selon qu'il conviendra</w:t>
            </w:r>
            <w:r w:rsidRPr="00F35072">
              <w:t>.</w:t>
            </w:r>
          </w:p>
          <w:p w14:paraId="31071F11" w14:textId="77777777" w:rsidR="003E245B" w:rsidRDefault="003E245B" w:rsidP="00345E9B">
            <w:pPr>
              <w:spacing w:before="0"/>
            </w:pPr>
            <w:r>
              <w:t>______________</w:t>
            </w:r>
          </w:p>
          <w:p w14:paraId="793F8F9C" w14:textId="1DB4F0F8" w:rsidR="003E245B" w:rsidRPr="00173340" w:rsidRDefault="003E245B" w:rsidP="00E867E9">
            <w:pPr>
              <w:pStyle w:val="Headingb"/>
              <w:spacing w:before="100"/>
            </w:pPr>
            <w:r w:rsidRPr="00173340">
              <w:t>Références</w:t>
            </w:r>
          </w:p>
          <w:p w14:paraId="16755BF8" w14:textId="6742A3B1" w:rsidR="003E245B" w:rsidRPr="009724CE" w:rsidRDefault="00DB07DD" w:rsidP="00E867E9">
            <w:pPr>
              <w:spacing w:before="100" w:after="100"/>
              <w:rPr>
                <w:i/>
                <w:sz w:val="22"/>
                <w:szCs w:val="22"/>
              </w:rPr>
            </w:pPr>
            <w:r w:rsidRPr="009724CE">
              <w:rPr>
                <w:i/>
                <w:sz w:val="22"/>
                <w:szCs w:val="22"/>
              </w:rPr>
              <w:t>Décision</w:t>
            </w:r>
            <w:r w:rsidR="003E245B" w:rsidRPr="009724CE">
              <w:rPr>
                <w:i/>
                <w:sz w:val="22"/>
                <w:szCs w:val="22"/>
              </w:rPr>
              <w:t xml:space="preserve"> </w:t>
            </w:r>
            <w:hyperlink r:id="rId11" w:history="1">
              <w:r w:rsidR="003E245B" w:rsidRPr="009724CE">
                <w:rPr>
                  <w:rStyle w:val="Hyperlink"/>
                  <w:i/>
                  <w:sz w:val="22"/>
                  <w:szCs w:val="22"/>
                </w:rPr>
                <w:t>11</w:t>
              </w:r>
              <w:r w:rsidRPr="009724CE">
                <w:rPr>
                  <w:rStyle w:val="Hyperlink"/>
                  <w:i/>
                  <w:sz w:val="22"/>
                  <w:szCs w:val="22"/>
                </w:rPr>
                <w:t xml:space="preserve"> (Rév. Bucarest, 2022)</w:t>
              </w:r>
            </w:hyperlink>
            <w:r w:rsidR="003E245B" w:rsidRPr="009724CE">
              <w:rPr>
                <w:i/>
                <w:sz w:val="22"/>
                <w:szCs w:val="22"/>
              </w:rPr>
              <w:t xml:space="preserve"> </w:t>
            </w:r>
            <w:r w:rsidRPr="009724CE">
              <w:rPr>
                <w:i/>
                <w:sz w:val="22"/>
                <w:szCs w:val="22"/>
              </w:rPr>
              <w:t xml:space="preserve">de la Conférence de </w:t>
            </w:r>
            <w:proofErr w:type="gramStart"/>
            <w:r w:rsidRPr="009724CE">
              <w:rPr>
                <w:i/>
                <w:sz w:val="22"/>
                <w:szCs w:val="22"/>
              </w:rPr>
              <w:t>plénipotentiaires;</w:t>
            </w:r>
            <w:proofErr w:type="gramEnd"/>
            <w:r w:rsidR="003E245B" w:rsidRPr="009724CE">
              <w:rPr>
                <w:i/>
                <w:sz w:val="22"/>
                <w:szCs w:val="22"/>
              </w:rPr>
              <w:t xml:space="preserve"> </w:t>
            </w:r>
            <w:r w:rsidRPr="009724CE">
              <w:rPr>
                <w:i/>
                <w:sz w:val="22"/>
                <w:szCs w:val="22"/>
              </w:rPr>
              <w:t>Résolution</w:t>
            </w:r>
            <w:r w:rsidR="003E245B" w:rsidRPr="009724CE">
              <w:rPr>
                <w:i/>
                <w:sz w:val="22"/>
                <w:szCs w:val="22"/>
              </w:rPr>
              <w:t xml:space="preserve"> </w:t>
            </w:r>
            <w:hyperlink r:id="rId12" w:history="1">
              <w:r w:rsidR="00E85C00" w:rsidRPr="009724CE">
                <w:rPr>
                  <w:rStyle w:val="Hyperlink"/>
                  <w:rFonts w:asciiTheme="minorHAnsi" w:hAnsiTheme="minorHAnsi" w:cstheme="minorBidi"/>
                  <w:i/>
                  <w:sz w:val="22"/>
                  <w:szCs w:val="22"/>
                </w:rPr>
                <w:t>563 (mod. 2023</w:t>
              </w:r>
              <w:r w:rsidR="003E245B" w:rsidRPr="009724CE">
                <w:rPr>
                  <w:rStyle w:val="Hyperlink"/>
                  <w:rFonts w:asciiTheme="minorHAnsi" w:hAnsiTheme="minorHAnsi" w:cstheme="minorBidi"/>
                  <w:i/>
                  <w:sz w:val="22"/>
                  <w:szCs w:val="22"/>
                </w:rPr>
                <w:t>)</w:t>
              </w:r>
            </w:hyperlink>
            <w:r w:rsidRPr="009724CE">
              <w:rPr>
                <w:i/>
                <w:sz w:val="22"/>
                <w:szCs w:val="22"/>
              </w:rPr>
              <w:t xml:space="preserve"> du </w:t>
            </w:r>
            <w:proofErr w:type="gramStart"/>
            <w:r w:rsidRPr="009724CE">
              <w:rPr>
                <w:i/>
                <w:sz w:val="22"/>
                <w:szCs w:val="22"/>
              </w:rPr>
              <w:t>Conseil</w:t>
            </w:r>
            <w:r w:rsidR="003E245B" w:rsidRPr="009724CE">
              <w:rPr>
                <w:i/>
                <w:sz w:val="22"/>
                <w:szCs w:val="22"/>
              </w:rPr>
              <w:t>;</w:t>
            </w:r>
            <w:proofErr w:type="gramEnd"/>
            <w:r w:rsidR="003E245B" w:rsidRPr="009724CE">
              <w:rPr>
                <w:i/>
                <w:sz w:val="22"/>
                <w:szCs w:val="22"/>
              </w:rPr>
              <w:t xml:space="preserve"> </w:t>
            </w:r>
            <w:hyperlink r:id="rId13" w:anchor="/fr" w:history="1">
              <w:r w:rsidR="001614C6" w:rsidRPr="009724CE">
                <w:rPr>
                  <w:rStyle w:val="Hyperlink"/>
                  <w:i/>
                  <w:iCs/>
                  <w:sz w:val="22"/>
                  <w:szCs w:val="22"/>
                </w:rPr>
                <w:t>p</w:t>
              </w:r>
              <w:r w:rsidR="00E85C00" w:rsidRPr="009724CE">
                <w:rPr>
                  <w:rStyle w:val="Hyperlink"/>
                  <w:i/>
                  <w:sz w:val="22"/>
                  <w:szCs w:val="22"/>
                </w:rPr>
                <w:t>age web du CWG-FHR</w:t>
              </w:r>
            </w:hyperlink>
            <w:r w:rsidR="00E85C00" w:rsidRPr="009724CE">
              <w:rPr>
                <w:i/>
                <w:sz w:val="22"/>
                <w:szCs w:val="22"/>
              </w:rPr>
              <w:t>; Document</w:t>
            </w:r>
            <w:r w:rsidR="001614C6" w:rsidRPr="009724CE">
              <w:rPr>
                <w:i/>
                <w:sz w:val="22"/>
                <w:szCs w:val="22"/>
              </w:rPr>
              <w:t> </w:t>
            </w:r>
            <w:hyperlink r:id="rId14" w:history="1">
              <w:r w:rsidR="00E85C00" w:rsidRPr="009724CE">
                <w:rPr>
                  <w:rStyle w:val="Hyperlink"/>
                  <w:i/>
                  <w:sz w:val="22"/>
                  <w:szCs w:val="22"/>
                </w:rPr>
                <w:t>C26/53(Rév.1)</w:t>
              </w:r>
            </w:hyperlink>
            <w:r w:rsidR="00E85C00" w:rsidRPr="009724CE">
              <w:rPr>
                <w:i/>
                <w:sz w:val="22"/>
                <w:szCs w:val="22"/>
              </w:rPr>
              <w:t xml:space="preserve"> du Conseil</w:t>
            </w:r>
          </w:p>
        </w:tc>
      </w:tr>
    </w:tbl>
    <w:p w14:paraId="41D2DBEE" w14:textId="0320D4AC" w:rsidR="00BD1614" w:rsidRDefault="003A7FD6" w:rsidP="001614C6">
      <w:pPr>
        <w:tabs>
          <w:tab w:val="clear" w:pos="567"/>
          <w:tab w:val="clear" w:pos="1134"/>
          <w:tab w:val="clear" w:pos="1701"/>
          <w:tab w:val="clear" w:pos="2268"/>
          <w:tab w:val="clear" w:pos="2835"/>
        </w:tabs>
        <w:overflowPunct/>
        <w:autoSpaceDE/>
        <w:autoSpaceDN/>
        <w:adjustRightInd/>
        <w:spacing w:before="240"/>
        <w:textAlignment w:val="auto"/>
      </w:pPr>
      <w:r w:rsidRPr="00F62185">
        <w:rPr>
          <w:b/>
          <w:bCs/>
        </w:rPr>
        <w:t>Annex</w:t>
      </w:r>
      <w:r>
        <w:rPr>
          <w:b/>
          <w:bCs/>
        </w:rPr>
        <w:t>es</w:t>
      </w:r>
      <w:r w:rsidRPr="001614C6">
        <w:t xml:space="preserve">: </w:t>
      </w:r>
      <w:r w:rsidR="001614C6">
        <w:t>3</w:t>
      </w:r>
      <w:r w:rsidR="00BD1614" w:rsidRPr="003E245B">
        <w:br w:type="page"/>
      </w:r>
    </w:p>
    <w:p w14:paraId="591A1CB8" w14:textId="079C74F0" w:rsidR="00C7798A" w:rsidRDefault="00C7798A" w:rsidP="00C7798A">
      <w:pPr>
        <w:pStyle w:val="AnnexNo"/>
      </w:pPr>
      <w:r>
        <w:lastRenderedPageBreak/>
        <w:t>Annexe 1</w:t>
      </w:r>
    </w:p>
    <w:p w14:paraId="72E18629" w14:textId="0B9C5F7F" w:rsidR="00E85C00" w:rsidRPr="001614C6" w:rsidRDefault="00E85C00" w:rsidP="00D47A32">
      <w:pPr>
        <w:pStyle w:val="Annextitle"/>
        <w:spacing w:before="120" w:after="120"/>
      </w:pPr>
      <w:r w:rsidRPr="001614C6">
        <w:t xml:space="preserve">Document </w:t>
      </w:r>
      <w:hyperlink r:id="rId15" w:history="1">
        <w:r w:rsidRPr="001614C6">
          <w:rPr>
            <w:rStyle w:val="Hyperlink"/>
          </w:rPr>
          <w:t>C26/53(Rév.1)</w:t>
        </w:r>
      </w:hyperlink>
      <w:r w:rsidRPr="001614C6">
        <w:t xml:space="preserve"> – </w:t>
      </w:r>
      <w:r w:rsidR="00A52039" w:rsidRPr="001614C6">
        <w:t>Rapport quadriennal du Groupe de travail du Conseil sur les ressources financières et les ressources humaines</w:t>
      </w:r>
    </w:p>
    <w:p w14:paraId="65E90537" w14:textId="3054FCB1" w:rsidR="00C7798A" w:rsidRDefault="001614C6" w:rsidP="001614C6">
      <w:pPr>
        <w:spacing w:before="0"/>
      </w:pPr>
      <w:r>
        <w:rPr>
          <w:noProof/>
        </w:rPr>
        <w:drawing>
          <wp:inline distT="0" distB="0" distL="0" distR="0" wp14:anchorId="476EF176" wp14:editId="06320992">
            <wp:extent cx="5760085" cy="840740"/>
            <wp:effectExtent l="0" t="0" r="0" b="0"/>
            <wp:docPr id="322889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889409" name="Picture 322889409"/>
                    <pic:cNvPicPr/>
                  </pic:nvPicPr>
                  <pic:blipFill>
                    <a:blip r:embed="rId16">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bl>
      <w:tblPr>
        <w:tblW w:w="9214" w:type="dxa"/>
        <w:tblLayout w:type="fixed"/>
        <w:tblLook w:val="0000" w:firstRow="0" w:lastRow="0" w:firstColumn="0" w:lastColumn="0" w:noHBand="0" w:noVBand="0"/>
      </w:tblPr>
      <w:tblGrid>
        <w:gridCol w:w="3969"/>
        <w:gridCol w:w="5245"/>
      </w:tblGrid>
      <w:tr w:rsidR="001614C6" w:rsidRPr="006B42CD" w14:paraId="2B3BA09A" w14:textId="77777777" w:rsidTr="001614C6">
        <w:trPr>
          <w:cantSplit/>
          <w:trHeight w:val="23"/>
        </w:trPr>
        <w:tc>
          <w:tcPr>
            <w:tcW w:w="3969" w:type="dxa"/>
            <w:vMerge w:val="restart"/>
            <w:tcMar>
              <w:left w:w="0" w:type="dxa"/>
            </w:tcMar>
          </w:tcPr>
          <w:p w14:paraId="0104A24F" w14:textId="77777777" w:rsidR="001614C6" w:rsidRPr="006B42CD" w:rsidRDefault="001614C6" w:rsidP="001614C6">
            <w:pPr>
              <w:tabs>
                <w:tab w:val="left" w:pos="851"/>
              </w:tabs>
              <w:spacing w:before="0" w:line="240" w:lineRule="atLeast"/>
              <w:rPr>
                <w:b/>
              </w:rPr>
            </w:pPr>
            <w:r w:rsidRPr="006B42CD">
              <w:rPr>
                <w:b/>
              </w:rPr>
              <w:t>Point de l'ordre du jour: ADM 1</w:t>
            </w:r>
          </w:p>
        </w:tc>
        <w:tc>
          <w:tcPr>
            <w:tcW w:w="5245" w:type="dxa"/>
          </w:tcPr>
          <w:p w14:paraId="29D3539E" w14:textId="77777777" w:rsidR="001614C6" w:rsidRPr="006B42CD" w:rsidRDefault="001614C6" w:rsidP="001614C6">
            <w:pPr>
              <w:tabs>
                <w:tab w:val="left" w:pos="851"/>
              </w:tabs>
              <w:spacing w:before="0" w:line="240" w:lineRule="atLeast"/>
              <w:jc w:val="right"/>
              <w:rPr>
                <w:b/>
              </w:rPr>
            </w:pPr>
            <w:r w:rsidRPr="006B42CD">
              <w:rPr>
                <w:b/>
              </w:rPr>
              <w:t>Révision 1 du</w:t>
            </w:r>
            <w:r w:rsidRPr="006B42CD">
              <w:rPr>
                <w:b/>
              </w:rPr>
              <w:br/>
              <w:t>Document C26/53-F</w:t>
            </w:r>
          </w:p>
        </w:tc>
      </w:tr>
      <w:tr w:rsidR="001614C6" w:rsidRPr="006B42CD" w14:paraId="0DB5C41C" w14:textId="77777777" w:rsidTr="001614C6">
        <w:trPr>
          <w:cantSplit/>
        </w:trPr>
        <w:tc>
          <w:tcPr>
            <w:tcW w:w="3969" w:type="dxa"/>
            <w:vMerge/>
          </w:tcPr>
          <w:p w14:paraId="298D0EDF" w14:textId="77777777" w:rsidR="001614C6" w:rsidRPr="006B42CD" w:rsidRDefault="001614C6" w:rsidP="001614C6">
            <w:pPr>
              <w:tabs>
                <w:tab w:val="left" w:pos="851"/>
              </w:tabs>
              <w:spacing w:line="240" w:lineRule="atLeast"/>
              <w:rPr>
                <w:b/>
              </w:rPr>
            </w:pPr>
          </w:p>
        </w:tc>
        <w:tc>
          <w:tcPr>
            <w:tcW w:w="5245" w:type="dxa"/>
          </w:tcPr>
          <w:p w14:paraId="238057D1" w14:textId="77777777" w:rsidR="001614C6" w:rsidRPr="006B42CD" w:rsidRDefault="001614C6" w:rsidP="001614C6">
            <w:pPr>
              <w:tabs>
                <w:tab w:val="left" w:pos="851"/>
              </w:tabs>
              <w:spacing w:before="0"/>
              <w:jc w:val="right"/>
              <w:rPr>
                <w:b/>
              </w:rPr>
            </w:pPr>
            <w:r w:rsidRPr="006B42CD">
              <w:rPr>
                <w:b/>
              </w:rPr>
              <w:t>30 avril 2026</w:t>
            </w:r>
          </w:p>
        </w:tc>
      </w:tr>
      <w:tr w:rsidR="001614C6" w:rsidRPr="006B42CD" w14:paraId="6C7A1E3A" w14:textId="77777777" w:rsidTr="001614C6">
        <w:trPr>
          <w:cantSplit/>
          <w:trHeight w:val="23"/>
        </w:trPr>
        <w:tc>
          <w:tcPr>
            <w:tcW w:w="3969" w:type="dxa"/>
            <w:vMerge/>
          </w:tcPr>
          <w:p w14:paraId="11311378" w14:textId="77777777" w:rsidR="001614C6" w:rsidRPr="006B42CD" w:rsidRDefault="001614C6" w:rsidP="001614C6">
            <w:pPr>
              <w:tabs>
                <w:tab w:val="left" w:pos="851"/>
              </w:tabs>
              <w:spacing w:line="240" w:lineRule="atLeast"/>
              <w:rPr>
                <w:b/>
              </w:rPr>
            </w:pPr>
          </w:p>
        </w:tc>
        <w:tc>
          <w:tcPr>
            <w:tcW w:w="5245" w:type="dxa"/>
          </w:tcPr>
          <w:p w14:paraId="22C4A1A6" w14:textId="77777777" w:rsidR="001614C6" w:rsidRPr="006B42CD" w:rsidRDefault="001614C6" w:rsidP="001614C6">
            <w:pPr>
              <w:tabs>
                <w:tab w:val="left" w:pos="851"/>
              </w:tabs>
              <w:spacing w:before="0" w:line="240" w:lineRule="atLeast"/>
              <w:jc w:val="right"/>
              <w:rPr>
                <w:b/>
              </w:rPr>
            </w:pPr>
            <w:r w:rsidRPr="006B42CD">
              <w:rPr>
                <w:b/>
              </w:rPr>
              <w:t>Original: anglais</w:t>
            </w:r>
          </w:p>
        </w:tc>
      </w:tr>
      <w:tr w:rsidR="001614C6" w:rsidRPr="006B42CD" w14:paraId="16877BD7" w14:textId="77777777" w:rsidTr="001614C6">
        <w:trPr>
          <w:cantSplit/>
          <w:trHeight w:val="23"/>
        </w:trPr>
        <w:tc>
          <w:tcPr>
            <w:tcW w:w="3969" w:type="dxa"/>
          </w:tcPr>
          <w:p w14:paraId="23E6931E" w14:textId="77777777" w:rsidR="001614C6" w:rsidRPr="006B42CD" w:rsidRDefault="001614C6" w:rsidP="00D47A32">
            <w:pPr>
              <w:tabs>
                <w:tab w:val="left" w:pos="851"/>
              </w:tabs>
              <w:spacing w:before="0" w:line="240" w:lineRule="atLeast"/>
              <w:rPr>
                <w:b/>
              </w:rPr>
            </w:pPr>
          </w:p>
        </w:tc>
        <w:tc>
          <w:tcPr>
            <w:tcW w:w="5245" w:type="dxa"/>
          </w:tcPr>
          <w:p w14:paraId="5FA6A151" w14:textId="77777777" w:rsidR="001614C6" w:rsidRPr="006B42CD" w:rsidRDefault="001614C6" w:rsidP="00D47A32">
            <w:pPr>
              <w:tabs>
                <w:tab w:val="left" w:pos="851"/>
              </w:tabs>
              <w:spacing w:before="0" w:line="240" w:lineRule="atLeast"/>
              <w:jc w:val="right"/>
              <w:rPr>
                <w:b/>
              </w:rPr>
            </w:pPr>
          </w:p>
        </w:tc>
      </w:tr>
      <w:tr w:rsidR="001614C6" w:rsidRPr="006B42CD" w14:paraId="23FA6FF8" w14:textId="77777777" w:rsidTr="001614C6">
        <w:trPr>
          <w:cantSplit/>
        </w:trPr>
        <w:tc>
          <w:tcPr>
            <w:tcW w:w="9214" w:type="dxa"/>
            <w:gridSpan w:val="2"/>
            <w:tcMar>
              <w:left w:w="0" w:type="dxa"/>
            </w:tcMar>
          </w:tcPr>
          <w:p w14:paraId="66A6B1A8" w14:textId="77777777" w:rsidR="001614C6" w:rsidRPr="006B42CD" w:rsidRDefault="001614C6" w:rsidP="005C15C7">
            <w:pPr>
              <w:pStyle w:val="Source"/>
              <w:spacing w:before="240"/>
              <w:jc w:val="left"/>
              <w:rPr>
                <w:sz w:val="32"/>
                <w:szCs w:val="32"/>
              </w:rPr>
            </w:pPr>
            <w:r w:rsidRPr="006B42CD">
              <w:rPr>
                <w:bCs/>
                <w:color w:val="000000"/>
                <w:sz w:val="32"/>
                <w:szCs w:val="32"/>
              </w:rPr>
              <w:t>Rapport de la Présidente du GTC-FHR</w:t>
            </w:r>
          </w:p>
        </w:tc>
      </w:tr>
      <w:tr w:rsidR="001614C6" w:rsidRPr="006B42CD" w14:paraId="5CD226F6" w14:textId="77777777" w:rsidTr="005C15C7">
        <w:trPr>
          <w:cantSplit/>
        </w:trPr>
        <w:tc>
          <w:tcPr>
            <w:tcW w:w="9214" w:type="dxa"/>
            <w:gridSpan w:val="2"/>
            <w:tcBorders>
              <w:bottom w:val="single" w:sz="4" w:space="0" w:color="auto"/>
            </w:tcBorders>
            <w:tcMar>
              <w:left w:w="0" w:type="dxa"/>
            </w:tcMar>
          </w:tcPr>
          <w:p w14:paraId="59A6532F" w14:textId="77777777" w:rsidR="001614C6" w:rsidRPr="006B42CD" w:rsidRDefault="001614C6" w:rsidP="001614C6">
            <w:pPr>
              <w:pStyle w:val="Subtitle"/>
              <w:framePr w:hSpace="0" w:wrap="auto" w:hAnchor="text" w:xAlign="left" w:yAlign="inline"/>
              <w:rPr>
                <w:sz w:val="32"/>
                <w:szCs w:val="32"/>
                <w:lang w:val="fr-FR"/>
              </w:rPr>
            </w:pPr>
            <w:r w:rsidRPr="006B42CD">
              <w:rPr>
                <w:color w:val="000000"/>
                <w:sz w:val="32"/>
                <w:szCs w:val="32"/>
                <w:lang w:val="fr-FR"/>
              </w:rPr>
              <w:t>RAPPORT QUADRIENNAL DU GROUPE DE TRAVAIL DU CONSEIL SUR LES RESSOURCES FINANCIÈRES ET LES RESSOURCES HUMAINES</w:t>
            </w:r>
          </w:p>
        </w:tc>
      </w:tr>
      <w:tr w:rsidR="001614C6" w:rsidRPr="006B42CD" w14:paraId="30DF0F5D" w14:textId="77777777" w:rsidTr="005C15C7">
        <w:tc>
          <w:tcPr>
            <w:tcW w:w="9214" w:type="dxa"/>
            <w:gridSpan w:val="2"/>
            <w:tcBorders>
              <w:top w:val="single" w:sz="4" w:space="0" w:color="auto"/>
              <w:bottom w:val="single" w:sz="4" w:space="0" w:color="auto"/>
            </w:tcBorders>
            <w:tcMar>
              <w:left w:w="0" w:type="dxa"/>
            </w:tcMar>
          </w:tcPr>
          <w:p w14:paraId="052D92FF" w14:textId="77777777" w:rsidR="001614C6" w:rsidRPr="006B42CD" w:rsidRDefault="001614C6" w:rsidP="00D47A32">
            <w:pPr>
              <w:rPr>
                <w:b/>
                <w:bCs/>
                <w:sz w:val="26"/>
                <w:szCs w:val="26"/>
              </w:rPr>
            </w:pPr>
            <w:r w:rsidRPr="006B42CD">
              <w:rPr>
                <w:b/>
                <w:bCs/>
                <w:sz w:val="26"/>
                <w:szCs w:val="26"/>
              </w:rPr>
              <w:t>Objet</w:t>
            </w:r>
          </w:p>
          <w:p w14:paraId="406CFC21" w14:textId="77777777" w:rsidR="001614C6" w:rsidRPr="006B42CD" w:rsidRDefault="001614C6" w:rsidP="005C15C7">
            <w:pPr>
              <w:spacing w:before="80"/>
            </w:pPr>
            <w:r w:rsidRPr="006B42CD">
              <w:t>Conformément à la Décision 11 (Rév. Bucarest, 2022) de la Conférence de plénipotentiaires, le présent document contient le rapport quadriennal de la Présidente du Groupe de travail du Conseil sur les ressources financières et les ressources humaines (GTC-FHR) correspondant aux sessions de 2023, 2024, 2025 et 2026 du Conseil.</w:t>
            </w:r>
          </w:p>
          <w:p w14:paraId="3011605F" w14:textId="77777777" w:rsidR="001614C6" w:rsidRPr="006B42CD" w:rsidRDefault="001614C6" w:rsidP="005C15C7">
            <w:pPr>
              <w:spacing w:before="80"/>
            </w:pPr>
            <w:r w:rsidRPr="006B42CD">
              <w:t>Reconnaissant la nécessité de prendre en compte l'importance des questions relatives aux ressources financières et aux ressources humaines entre les sessions du Conseil, en particulier des questions qui nécessitent un réexamen et une modification éventuelle des instruments financiers de l'UIT (Règlement financier et Règles financières) ainsi que des Statut et Règlement du personnel, le Conseil pourrait recommander à la Conférence de plénipotentiaires de maintenir ce groupe pour le prochain cycle.</w:t>
            </w:r>
          </w:p>
          <w:p w14:paraId="25AAE2F2" w14:textId="77777777" w:rsidR="001614C6" w:rsidRPr="006B42CD" w:rsidRDefault="001614C6" w:rsidP="00D47A32">
            <w:pPr>
              <w:rPr>
                <w:b/>
                <w:bCs/>
                <w:sz w:val="26"/>
                <w:szCs w:val="26"/>
              </w:rPr>
            </w:pPr>
            <w:r w:rsidRPr="006B42CD">
              <w:rPr>
                <w:b/>
                <w:bCs/>
                <w:sz w:val="26"/>
                <w:szCs w:val="26"/>
              </w:rPr>
              <w:t>Suite à donner par le Conseil</w:t>
            </w:r>
          </w:p>
          <w:p w14:paraId="27D12DDD" w14:textId="77777777" w:rsidR="001614C6" w:rsidRPr="006B42CD" w:rsidRDefault="001614C6" w:rsidP="005C15C7">
            <w:pPr>
              <w:spacing w:before="80"/>
            </w:pPr>
            <w:r w:rsidRPr="006B42CD">
              <w:rPr>
                <w:color w:val="000000"/>
              </w:rPr>
              <w:t xml:space="preserve">Le Conseil est invité à </w:t>
            </w:r>
            <w:r w:rsidRPr="006B42CD">
              <w:rPr>
                <w:b/>
                <w:bCs/>
                <w:color w:val="000000"/>
              </w:rPr>
              <w:t xml:space="preserve">examiner </w:t>
            </w:r>
            <w:r w:rsidRPr="006B42CD">
              <w:rPr>
                <w:color w:val="000000"/>
              </w:rPr>
              <w:t xml:space="preserve">le présent rapport et à </w:t>
            </w:r>
            <w:r w:rsidRPr="006B42CD">
              <w:rPr>
                <w:b/>
                <w:bCs/>
                <w:color w:val="000000"/>
              </w:rPr>
              <w:t xml:space="preserve">soumettre </w:t>
            </w:r>
            <w:r w:rsidRPr="006B42CD">
              <w:rPr>
                <w:color w:val="000000"/>
              </w:rPr>
              <w:t>ses recommandations à la Conférence de plénipotentiaires selon qu'il convient, notamment en ce qui concerne la poursuite des activités du GTC-FHR pendant les quatre prochaines années.</w:t>
            </w:r>
          </w:p>
          <w:p w14:paraId="1ED949DC" w14:textId="77777777" w:rsidR="001614C6" w:rsidRPr="006B42CD" w:rsidRDefault="001614C6" w:rsidP="00D47A32">
            <w:pPr>
              <w:rPr>
                <w:b/>
                <w:bCs/>
                <w:sz w:val="26"/>
                <w:szCs w:val="26"/>
              </w:rPr>
            </w:pPr>
            <w:r w:rsidRPr="006B42CD">
              <w:rPr>
                <w:b/>
                <w:bCs/>
                <w:sz w:val="26"/>
                <w:szCs w:val="26"/>
              </w:rPr>
              <w:t>Liens pertinents avec le Plan stratégique</w:t>
            </w:r>
          </w:p>
          <w:p w14:paraId="10F336D8" w14:textId="77777777" w:rsidR="001614C6" w:rsidRPr="006B42CD" w:rsidRDefault="001614C6" w:rsidP="005C15C7">
            <w:pPr>
              <w:spacing w:before="80"/>
            </w:pPr>
            <w:r w:rsidRPr="006B42CD">
              <w:rPr>
                <w:color w:val="000000"/>
              </w:rPr>
              <w:t>Plates-formes fédératrices; excellence en matière de ressources humaines et d'innovation institutionnelle.</w:t>
            </w:r>
          </w:p>
          <w:p w14:paraId="5D8BBF9A" w14:textId="77777777" w:rsidR="001614C6" w:rsidRPr="006B42CD" w:rsidRDefault="001614C6" w:rsidP="00D47A32">
            <w:pPr>
              <w:rPr>
                <w:b/>
                <w:bCs/>
                <w:sz w:val="26"/>
                <w:szCs w:val="26"/>
              </w:rPr>
            </w:pPr>
            <w:r w:rsidRPr="006B42CD">
              <w:rPr>
                <w:b/>
                <w:bCs/>
                <w:sz w:val="26"/>
                <w:szCs w:val="26"/>
              </w:rPr>
              <w:t>Incidences financières</w:t>
            </w:r>
          </w:p>
          <w:p w14:paraId="55426D8E" w14:textId="77777777" w:rsidR="001614C6" w:rsidRPr="006B42CD" w:rsidRDefault="001614C6" w:rsidP="005C15C7">
            <w:pPr>
              <w:spacing w:before="80"/>
              <w:rPr>
                <w:szCs w:val="24"/>
              </w:rPr>
            </w:pPr>
            <w:r w:rsidRPr="006B42CD">
              <w:rPr>
                <w:color w:val="000000"/>
              </w:rPr>
              <w:t>Dans le cadre du budget alloué pour 2022-2023, 2024-2025 et 2026-2027.</w:t>
            </w:r>
          </w:p>
          <w:p w14:paraId="09943E60" w14:textId="77777777" w:rsidR="001614C6" w:rsidRDefault="001614C6" w:rsidP="00D47A32">
            <w:pPr>
              <w:spacing w:before="0"/>
              <w:rPr>
                <w:sz w:val="22"/>
              </w:rPr>
            </w:pPr>
            <w:r w:rsidRPr="006B42CD">
              <w:rPr>
                <w:sz w:val="22"/>
              </w:rPr>
              <w:t>__________________</w:t>
            </w:r>
          </w:p>
          <w:p w14:paraId="06C44441" w14:textId="77777777" w:rsidR="00D47A32" w:rsidRPr="006B42CD" w:rsidRDefault="00D47A32" w:rsidP="005C15C7">
            <w:pPr>
              <w:rPr>
                <w:b/>
                <w:bCs/>
                <w:sz w:val="26"/>
                <w:szCs w:val="26"/>
              </w:rPr>
            </w:pPr>
            <w:r w:rsidRPr="006B42CD">
              <w:rPr>
                <w:b/>
                <w:bCs/>
                <w:sz w:val="26"/>
                <w:szCs w:val="26"/>
              </w:rPr>
              <w:t>Références</w:t>
            </w:r>
          </w:p>
          <w:p w14:paraId="43B92577" w14:textId="327B35A6" w:rsidR="00D47A32" w:rsidRPr="001614C6" w:rsidRDefault="00D47A32" w:rsidP="005C15C7">
            <w:pPr>
              <w:spacing w:before="40" w:after="40"/>
              <w:rPr>
                <w:caps/>
                <w:sz w:val="22"/>
              </w:rPr>
            </w:pPr>
            <w:hyperlink r:id="rId17" w:history="1">
              <w:r w:rsidRPr="00D47A32">
                <w:rPr>
                  <w:rStyle w:val="Hyperlink"/>
                  <w:i/>
                  <w:iCs/>
                  <w:sz w:val="22"/>
                  <w:szCs w:val="22"/>
                </w:rPr>
                <w:t>Décision 11</w:t>
              </w:r>
            </w:hyperlink>
            <w:r w:rsidRPr="00D47A32">
              <w:rPr>
                <w:rFonts w:eastAsiaTheme="minorHAnsi"/>
                <w:i/>
                <w:iCs/>
                <w:sz w:val="22"/>
                <w:szCs w:val="22"/>
              </w:rPr>
              <w:t xml:space="preserve"> (Rév. Bucarest, 2022)</w:t>
            </w:r>
            <w:r w:rsidRPr="00D47A32">
              <w:rPr>
                <w:i/>
                <w:iCs/>
                <w:sz w:val="22"/>
                <w:szCs w:val="22"/>
              </w:rPr>
              <w:t xml:space="preserve"> de la Conférence de </w:t>
            </w:r>
            <w:proofErr w:type="gramStart"/>
            <w:r w:rsidRPr="00D47A32">
              <w:rPr>
                <w:i/>
                <w:iCs/>
                <w:sz w:val="22"/>
                <w:szCs w:val="22"/>
              </w:rPr>
              <w:t>plénipotentiaires;</w:t>
            </w:r>
            <w:proofErr w:type="gramEnd"/>
            <w:r w:rsidRPr="00D47A32">
              <w:rPr>
                <w:i/>
                <w:iCs/>
                <w:sz w:val="22"/>
                <w:szCs w:val="22"/>
              </w:rPr>
              <w:t xml:space="preserve"> </w:t>
            </w:r>
            <w:hyperlink r:id="rId18" w:history="1">
              <w:r w:rsidRPr="00D47A32">
                <w:rPr>
                  <w:rStyle w:val="Hyperlink"/>
                  <w:i/>
                  <w:iCs/>
                  <w:sz w:val="22"/>
                  <w:szCs w:val="22"/>
                </w:rPr>
                <w:t>Décision 563</w:t>
              </w:r>
            </w:hyperlink>
            <w:r w:rsidRPr="00D47A32">
              <w:rPr>
                <w:rFonts w:eastAsiaTheme="minorHAnsi"/>
                <w:i/>
                <w:iCs/>
                <w:sz w:val="22"/>
                <w:szCs w:val="22"/>
              </w:rPr>
              <w:t xml:space="preserve"> (modifiée en 2023)</w:t>
            </w:r>
            <w:r w:rsidRPr="00D47A32">
              <w:rPr>
                <w:i/>
                <w:iCs/>
                <w:sz w:val="22"/>
                <w:szCs w:val="22"/>
              </w:rPr>
              <w:t xml:space="preserve"> du </w:t>
            </w:r>
            <w:proofErr w:type="gramStart"/>
            <w:r w:rsidRPr="00D47A32">
              <w:rPr>
                <w:i/>
                <w:iCs/>
                <w:sz w:val="22"/>
                <w:szCs w:val="22"/>
              </w:rPr>
              <w:t>Conseil;</w:t>
            </w:r>
            <w:proofErr w:type="gramEnd"/>
            <w:r w:rsidRPr="00D47A32">
              <w:rPr>
                <w:i/>
                <w:iCs/>
                <w:sz w:val="22"/>
                <w:szCs w:val="22"/>
              </w:rPr>
              <w:t xml:space="preserve"> </w:t>
            </w:r>
            <w:hyperlink r:id="rId19" w:anchor="/fr" w:history="1">
              <w:r w:rsidRPr="00D47A32">
                <w:rPr>
                  <w:rStyle w:val="Hyperlink"/>
                  <w:i/>
                  <w:iCs/>
                  <w:sz w:val="22"/>
                  <w:szCs w:val="22"/>
                </w:rPr>
                <w:t xml:space="preserve">site web du </w:t>
              </w:r>
              <w:proofErr w:type="spellStart"/>
              <w:r w:rsidRPr="00D47A32">
                <w:rPr>
                  <w:rStyle w:val="Hyperlink"/>
                  <w:i/>
                  <w:iCs/>
                  <w:sz w:val="22"/>
                  <w:szCs w:val="22"/>
                </w:rPr>
                <w:t>GTC-FHR</w:t>
              </w:r>
              <w:proofErr w:type="spellEnd"/>
            </w:hyperlink>
          </w:p>
        </w:tc>
      </w:tr>
    </w:tbl>
    <w:p w14:paraId="785D210C" w14:textId="5BA651E5" w:rsidR="001614C6" w:rsidRPr="006B42CD" w:rsidRDefault="001614C6" w:rsidP="001614C6">
      <w:pPr>
        <w:pStyle w:val="Heading1"/>
      </w:pPr>
      <w:r w:rsidRPr="006B42CD">
        <w:lastRenderedPageBreak/>
        <w:t>I</w:t>
      </w:r>
      <w:r w:rsidRPr="006B42CD">
        <w:tab/>
        <w:t>Introduction</w:t>
      </w:r>
    </w:p>
    <w:p w14:paraId="27C9C764" w14:textId="77777777" w:rsidR="001614C6" w:rsidRPr="006B42CD" w:rsidRDefault="001614C6" w:rsidP="001614C6">
      <w:r w:rsidRPr="006B42CD">
        <w:t>1</w:t>
      </w:r>
      <w:r w:rsidRPr="006B42CD">
        <w:tab/>
        <w:t xml:space="preserve">Le Conseil a approuvé le mandat du Groupe de travail du Conseil sur les ressources financières et les ressources humaines (GTC-FHR) par sa </w:t>
      </w:r>
      <w:hyperlink r:id="rId20" w:history="1">
        <w:r w:rsidRPr="006B42CD">
          <w:rPr>
            <w:rStyle w:val="Hyperlink"/>
          </w:rPr>
          <w:t>Décision 563</w:t>
        </w:r>
      </w:hyperlink>
      <w:r w:rsidRPr="006B42CD">
        <w:t>, modifiée en 2023 (voir l'Annexe 1 de la Décision). Le groupe est ouvert à tous les États Membres et Membres de Secteur.</w:t>
      </w:r>
      <w:hyperlink r:id="rId21" w:history="1"/>
    </w:p>
    <w:p w14:paraId="02F30EE4" w14:textId="77777777" w:rsidR="001614C6" w:rsidRPr="006B42CD" w:rsidRDefault="001614C6" w:rsidP="001614C6">
      <w:r w:rsidRPr="006B42CD">
        <w:t>2</w:t>
      </w:r>
      <w:r w:rsidRPr="006B42CD">
        <w:tab/>
        <w:t>Le Groupe de travail du Conseil sur les ressources financières et les ressources humaines:</w:t>
      </w:r>
    </w:p>
    <w:p w14:paraId="418EDFD9" w14:textId="77777777" w:rsidR="001614C6" w:rsidRPr="006B42CD" w:rsidRDefault="001614C6" w:rsidP="001614C6">
      <w:pPr>
        <w:pStyle w:val="enumlev1"/>
      </w:pPr>
      <w:r w:rsidRPr="006B42CD">
        <w:t>–</w:t>
      </w:r>
      <w:r w:rsidRPr="006B42CD">
        <w:tab/>
        <w:t>s'occupe de questions importantes relatives aux ressources financières et aux ressources humaines entre les sessions du Conseil, en particulier des questions qui nécessitent un réexamen et une modification éventuelle des instruments financiers de l'UIT (Règlement financier et Règles financières) ainsi que des Statut et Règlement du personnel;</w:t>
      </w:r>
    </w:p>
    <w:p w14:paraId="212E6951" w14:textId="77777777" w:rsidR="001614C6" w:rsidRPr="006B42CD" w:rsidRDefault="001614C6" w:rsidP="001614C6">
      <w:pPr>
        <w:pStyle w:val="enumlev1"/>
      </w:pPr>
      <w:r w:rsidRPr="006B42CD">
        <w:t>–</w:t>
      </w:r>
      <w:r w:rsidRPr="006B42CD">
        <w:tab/>
        <w:t>veille à ce que les recommandations pertinentes du Corps commun d'inspection des Nations Unies, du Vérificateur extérieur des comptes et du Comité consultatif indépendant pour les questions de gestion (CCIG) ayant des incidences sur la gestion des ressources financières et des ressources humaines de l'Union soient prises en considération;</w:t>
      </w:r>
    </w:p>
    <w:p w14:paraId="0C8B1EF9" w14:textId="77777777" w:rsidR="001614C6" w:rsidRPr="006B42CD" w:rsidRDefault="001614C6" w:rsidP="001614C6">
      <w:pPr>
        <w:pStyle w:val="enumlev1"/>
      </w:pPr>
      <w:r w:rsidRPr="006B42CD">
        <w:t>–</w:t>
      </w:r>
      <w:r w:rsidRPr="006B42CD">
        <w:tab/>
        <w:t>procède, sur une base annuelle, à une évaluation de la mise en œuvre de la gestion axée sur les résultats, y compris l'établissement d'un ordre de priorités entre les activités et initiatives de l'Union, compte tenu des critères spécifiques retenus dans le Plan stratégique de l'Union;</w:t>
      </w:r>
    </w:p>
    <w:p w14:paraId="502FE211" w14:textId="77777777" w:rsidR="001614C6" w:rsidRPr="006B42CD" w:rsidRDefault="001614C6" w:rsidP="001614C6">
      <w:pPr>
        <w:pStyle w:val="enumlev1"/>
      </w:pPr>
      <w:r w:rsidRPr="006B42CD">
        <w:t>–</w:t>
      </w:r>
      <w:r w:rsidRPr="006B42CD">
        <w:tab/>
        <w:t>maintient des relations étroites avec la direction de l'UIT et le Conseil du personnel afin de déterminer les questions d'intérêt commun, en particulier celles pour lesquelles des avis et des orientations du Conseil sont requis et justifiés.</w:t>
      </w:r>
    </w:p>
    <w:p w14:paraId="58007513" w14:textId="77777777" w:rsidR="001614C6" w:rsidRPr="006B42CD" w:rsidRDefault="001614C6" w:rsidP="001614C6">
      <w:pPr>
        <w:rPr>
          <w:rFonts w:cs="Calibri"/>
          <w:szCs w:val="24"/>
        </w:rPr>
      </w:pPr>
      <w:r w:rsidRPr="006B42CD">
        <w:t>3</w:t>
      </w:r>
      <w:r w:rsidRPr="006B42CD">
        <w:tab/>
        <w:t>Les 16ème et 17ème réunions du GTC-FHR ont été présidées par Mme Vernita D. Harris (États-Unis d'Amérique), secondée par cinq Vice-Présidents, à savoir:</w:t>
      </w:r>
    </w:p>
    <w:p w14:paraId="24983E02" w14:textId="77777777" w:rsidR="001614C6" w:rsidRPr="006B42CD" w:rsidRDefault="001614C6" w:rsidP="001614C6">
      <w:pPr>
        <w:pStyle w:val="enumlev1"/>
      </w:pPr>
      <w:r w:rsidRPr="006B42CD">
        <w:t>–</w:t>
      </w:r>
      <w:r w:rsidRPr="006B42CD">
        <w:tab/>
        <w:t>Mme Seynabou Cisse Seck (Sénégal)</w:t>
      </w:r>
    </w:p>
    <w:p w14:paraId="7F8F9FF9" w14:textId="77777777" w:rsidR="001614C6" w:rsidRPr="006B42CD" w:rsidRDefault="001614C6" w:rsidP="001614C6">
      <w:pPr>
        <w:pStyle w:val="enumlev1"/>
      </w:pPr>
      <w:r w:rsidRPr="006B42CD">
        <w:t>–</w:t>
      </w:r>
      <w:r w:rsidRPr="006B42CD">
        <w:tab/>
        <w:t>M. Ronaldo Moura (Brésil)</w:t>
      </w:r>
    </w:p>
    <w:p w14:paraId="43F91E13" w14:textId="77777777" w:rsidR="001614C6" w:rsidRPr="006B42CD" w:rsidRDefault="001614C6" w:rsidP="001614C6">
      <w:pPr>
        <w:pStyle w:val="enumlev1"/>
      </w:pPr>
      <w:r w:rsidRPr="006B42CD">
        <w:t>–</w:t>
      </w:r>
      <w:r w:rsidRPr="006B42CD">
        <w:tab/>
        <w:t>Mme Noha Gaafar (Égypte)</w:t>
      </w:r>
    </w:p>
    <w:p w14:paraId="47039A3D" w14:textId="77777777" w:rsidR="001614C6" w:rsidRPr="006B42CD" w:rsidRDefault="001614C6" w:rsidP="001614C6">
      <w:pPr>
        <w:pStyle w:val="enumlev1"/>
      </w:pPr>
      <w:r w:rsidRPr="006B42CD">
        <w:t>–</w:t>
      </w:r>
      <w:r w:rsidRPr="006B42CD">
        <w:tab/>
        <w:t>M. Daniel Caruso (Australie)</w:t>
      </w:r>
    </w:p>
    <w:p w14:paraId="7041001B" w14:textId="77777777" w:rsidR="001614C6" w:rsidRPr="006B42CD" w:rsidRDefault="001614C6" w:rsidP="001614C6">
      <w:pPr>
        <w:pStyle w:val="enumlev1"/>
      </w:pPr>
      <w:r w:rsidRPr="006B42CD">
        <w:t>–</w:t>
      </w:r>
      <w:r w:rsidRPr="006B42CD">
        <w:tab/>
        <w:t>M. Szabolcs Szentleleky (Hongrie)</w:t>
      </w:r>
    </w:p>
    <w:p w14:paraId="08AE05DF" w14:textId="77777777" w:rsidR="001614C6" w:rsidRPr="006B42CD" w:rsidRDefault="001614C6" w:rsidP="001614C6">
      <w:pPr>
        <w:rPr>
          <w:rFonts w:cs="Calibri"/>
          <w:szCs w:val="24"/>
        </w:rPr>
      </w:pPr>
      <w:r w:rsidRPr="006B42CD">
        <w:t>4</w:t>
      </w:r>
      <w:r w:rsidRPr="006B42CD">
        <w:tab/>
        <w:t>Les 18ème et 19ème réunions du GTC-FHR ont été présidées par Mme Vernita D. Harris (États-Unis d'Amérique), secondée par six Vice-Présidents, à savoir:</w:t>
      </w:r>
    </w:p>
    <w:p w14:paraId="1723EB72" w14:textId="77777777" w:rsidR="001614C6" w:rsidRPr="006B42CD" w:rsidRDefault="001614C6" w:rsidP="001614C6">
      <w:pPr>
        <w:pStyle w:val="enumlev1"/>
      </w:pPr>
      <w:r w:rsidRPr="006B42CD">
        <w:t>–</w:t>
      </w:r>
      <w:r w:rsidRPr="006B42CD">
        <w:tab/>
        <w:t>Mme Seynabou Cisse Seck (Sénégal)</w:t>
      </w:r>
    </w:p>
    <w:p w14:paraId="580C2710" w14:textId="77777777" w:rsidR="001614C6" w:rsidRPr="006B42CD" w:rsidRDefault="001614C6" w:rsidP="001614C6">
      <w:pPr>
        <w:pStyle w:val="enumlev1"/>
      </w:pPr>
      <w:r w:rsidRPr="006B42CD">
        <w:t>–</w:t>
      </w:r>
      <w:r w:rsidRPr="006B42CD">
        <w:tab/>
        <w:t>M. Ronaldo Moura (Brésil)</w:t>
      </w:r>
    </w:p>
    <w:p w14:paraId="654388EC" w14:textId="77777777" w:rsidR="001614C6" w:rsidRPr="006B42CD" w:rsidRDefault="001614C6" w:rsidP="001614C6">
      <w:pPr>
        <w:pStyle w:val="enumlev1"/>
      </w:pPr>
      <w:r w:rsidRPr="006B42CD">
        <w:t>–</w:t>
      </w:r>
      <w:r w:rsidRPr="006B42CD">
        <w:tab/>
        <w:t>Mme Noha Gaafar (Égypte)</w:t>
      </w:r>
    </w:p>
    <w:p w14:paraId="6AE8A617" w14:textId="77777777" w:rsidR="001614C6" w:rsidRPr="001C2B5C" w:rsidRDefault="001614C6" w:rsidP="001614C6">
      <w:pPr>
        <w:pStyle w:val="enumlev1"/>
        <w:rPr>
          <w:lang w:val="en-US"/>
        </w:rPr>
      </w:pPr>
      <w:r w:rsidRPr="001C2B5C">
        <w:rPr>
          <w:lang w:val="en-US"/>
        </w:rPr>
        <w:t>–</w:t>
      </w:r>
      <w:r w:rsidRPr="001C2B5C">
        <w:rPr>
          <w:lang w:val="en-US"/>
        </w:rPr>
        <w:tab/>
        <w:t>M. Daniel Caruso (</w:t>
      </w:r>
      <w:proofErr w:type="spellStart"/>
      <w:r w:rsidRPr="001C2B5C">
        <w:rPr>
          <w:lang w:val="en-US"/>
        </w:rPr>
        <w:t>Australie</w:t>
      </w:r>
      <w:proofErr w:type="spellEnd"/>
      <w:r w:rsidRPr="001C2B5C">
        <w:rPr>
          <w:lang w:val="en-US"/>
        </w:rPr>
        <w:t>)</w:t>
      </w:r>
    </w:p>
    <w:p w14:paraId="7A38B0D2" w14:textId="77777777" w:rsidR="001614C6" w:rsidRPr="001C2B5C" w:rsidRDefault="001614C6" w:rsidP="001614C6">
      <w:pPr>
        <w:pStyle w:val="enumlev1"/>
        <w:rPr>
          <w:lang w:val="en-US"/>
        </w:rPr>
      </w:pPr>
      <w:r w:rsidRPr="001C2B5C">
        <w:rPr>
          <w:lang w:val="en-US"/>
        </w:rPr>
        <w:t>–</w:t>
      </w:r>
      <w:r w:rsidRPr="001C2B5C">
        <w:rPr>
          <w:lang w:val="en-US"/>
        </w:rPr>
        <w:tab/>
        <w:t>M. Erzhan Meiramov (Kazakhstan)</w:t>
      </w:r>
    </w:p>
    <w:p w14:paraId="6BE45ADA" w14:textId="77777777" w:rsidR="001614C6" w:rsidRPr="001C2B5C" w:rsidRDefault="001614C6" w:rsidP="001614C6">
      <w:pPr>
        <w:pStyle w:val="enumlev1"/>
        <w:rPr>
          <w:lang w:val="en-US"/>
        </w:rPr>
      </w:pPr>
      <w:r w:rsidRPr="001C2B5C">
        <w:rPr>
          <w:lang w:val="en-US"/>
        </w:rPr>
        <w:t>–</w:t>
      </w:r>
      <w:r w:rsidRPr="001C2B5C">
        <w:rPr>
          <w:lang w:val="en-US"/>
        </w:rPr>
        <w:tab/>
        <w:t xml:space="preserve">M. Szabolcs </w:t>
      </w:r>
      <w:proofErr w:type="spellStart"/>
      <w:r w:rsidRPr="001C2B5C">
        <w:rPr>
          <w:lang w:val="en-US"/>
        </w:rPr>
        <w:t>Szentleleky</w:t>
      </w:r>
      <w:proofErr w:type="spellEnd"/>
      <w:r w:rsidRPr="001C2B5C">
        <w:rPr>
          <w:lang w:val="en-US"/>
        </w:rPr>
        <w:t xml:space="preserve"> (</w:t>
      </w:r>
      <w:proofErr w:type="spellStart"/>
      <w:r w:rsidRPr="001C2B5C">
        <w:rPr>
          <w:lang w:val="en-US"/>
        </w:rPr>
        <w:t>Hongrie</w:t>
      </w:r>
      <w:proofErr w:type="spellEnd"/>
      <w:r w:rsidRPr="001C2B5C">
        <w:rPr>
          <w:lang w:val="en-US"/>
        </w:rPr>
        <w:t>)</w:t>
      </w:r>
    </w:p>
    <w:p w14:paraId="327E530F" w14:textId="62DE478B" w:rsidR="001614C6" w:rsidRPr="006B42CD" w:rsidRDefault="001614C6" w:rsidP="001614C6">
      <w:r w:rsidRPr="006B42CD">
        <w:t>5</w:t>
      </w:r>
      <w:r w:rsidRPr="006B42CD">
        <w:tab/>
        <w:t>En l'absence de Mme Vernita D. Harris (États-Unis d'Amérique), la 20ème réunion du GTC</w:t>
      </w:r>
      <w:r>
        <w:noBreakHyphen/>
      </w:r>
      <w:r w:rsidRPr="006B42CD">
        <w:t>FHR a été présidée par M. Szabolcs Szentleleky (Hongrie), secondé par cinq Vice</w:t>
      </w:r>
      <w:r w:rsidRPr="006B42CD">
        <w:noBreakHyphen/>
        <w:t xml:space="preserve">Présidents, à </w:t>
      </w:r>
      <w:proofErr w:type="gramStart"/>
      <w:r w:rsidRPr="006B42CD">
        <w:t>savoir:</w:t>
      </w:r>
      <w:proofErr w:type="gramEnd"/>
    </w:p>
    <w:p w14:paraId="334535A6" w14:textId="77777777" w:rsidR="001614C6" w:rsidRPr="006B42CD" w:rsidRDefault="001614C6" w:rsidP="001614C6">
      <w:pPr>
        <w:pStyle w:val="enumlev1"/>
      </w:pPr>
      <w:r w:rsidRPr="006B42CD">
        <w:t>–</w:t>
      </w:r>
      <w:r w:rsidRPr="006B42CD">
        <w:tab/>
        <w:t>Mme Seynabou Cisse Seck (Sénégal)</w:t>
      </w:r>
    </w:p>
    <w:p w14:paraId="0127FAEC" w14:textId="77777777" w:rsidR="001614C6" w:rsidRPr="006B42CD" w:rsidRDefault="001614C6" w:rsidP="001614C6">
      <w:pPr>
        <w:pStyle w:val="enumlev1"/>
      </w:pPr>
      <w:r w:rsidRPr="006B42CD">
        <w:t>–</w:t>
      </w:r>
      <w:r w:rsidRPr="006B42CD">
        <w:tab/>
        <w:t>M. Ronaldo Moura (Brésil)</w:t>
      </w:r>
    </w:p>
    <w:p w14:paraId="75D1EC80" w14:textId="77777777" w:rsidR="001614C6" w:rsidRPr="006B42CD" w:rsidRDefault="001614C6" w:rsidP="001614C6">
      <w:pPr>
        <w:pStyle w:val="enumlev1"/>
      </w:pPr>
      <w:r w:rsidRPr="006B42CD">
        <w:t>–</w:t>
      </w:r>
      <w:r w:rsidRPr="006B42CD">
        <w:tab/>
        <w:t>Mme Noha Gaafar (Égypte)</w:t>
      </w:r>
    </w:p>
    <w:p w14:paraId="116AD042" w14:textId="77777777" w:rsidR="001614C6" w:rsidRPr="006B42CD" w:rsidRDefault="001614C6" w:rsidP="001614C6">
      <w:pPr>
        <w:pStyle w:val="enumlev1"/>
      </w:pPr>
      <w:r w:rsidRPr="006B42CD">
        <w:lastRenderedPageBreak/>
        <w:t>–</w:t>
      </w:r>
      <w:r w:rsidRPr="006B42CD">
        <w:tab/>
        <w:t>Région de l'Asie-Pacifique – fonction vacante</w:t>
      </w:r>
    </w:p>
    <w:p w14:paraId="49C42641" w14:textId="77777777" w:rsidR="001614C6" w:rsidRPr="00C82A08" w:rsidRDefault="001614C6" w:rsidP="001614C6">
      <w:pPr>
        <w:pStyle w:val="enumlev1"/>
        <w:rPr>
          <w:lang w:val="en-GB"/>
        </w:rPr>
      </w:pPr>
      <w:r w:rsidRPr="00C82A08">
        <w:rPr>
          <w:lang w:val="en-GB"/>
        </w:rPr>
        <w:t>–</w:t>
      </w:r>
      <w:r w:rsidRPr="00C82A08">
        <w:rPr>
          <w:lang w:val="en-GB"/>
        </w:rPr>
        <w:tab/>
        <w:t>M. Erzhan Meiramov (Kazakhstan) (absent)</w:t>
      </w:r>
    </w:p>
    <w:p w14:paraId="04FC60E3" w14:textId="77777777" w:rsidR="001614C6" w:rsidRPr="006B42CD" w:rsidRDefault="001614C6" w:rsidP="001614C6">
      <w:pPr>
        <w:rPr>
          <w:rFonts w:cs="Calibri"/>
          <w:szCs w:val="24"/>
        </w:rPr>
      </w:pPr>
      <w:r w:rsidRPr="006B42CD">
        <w:t>6</w:t>
      </w:r>
      <w:r w:rsidRPr="006B42CD">
        <w:tab/>
        <w:t>Les 21ème et 22ème réunions du GTC-FHR ont été présidées par Mme Vernita D. Harris (États-Unis d'Amérique), secondée par cinq Vice-Présidents, à savoir:</w:t>
      </w:r>
    </w:p>
    <w:p w14:paraId="611D8CB3" w14:textId="77777777" w:rsidR="001614C6" w:rsidRPr="006B42CD" w:rsidRDefault="001614C6" w:rsidP="001614C6">
      <w:pPr>
        <w:pStyle w:val="enumlev1"/>
      </w:pPr>
      <w:r w:rsidRPr="006B42CD">
        <w:t>–</w:t>
      </w:r>
      <w:r w:rsidRPr="006B42CD">
        <w:tab/>
        <w:t>Mme Seynabou Cisse Seck (Sénégal)</w:t>
      </w:r>
    </w:p>
    <w:p w14:paraId="45AB9D9F" w14:textId="77777777" w:rsidR="001614C6" w:rsidRPr="006B42CD" w:rsidRDefault="001614C6" w:rsidP="001614C6">
      <w:pPr>
        <w:pStyle w:val="enumlev1"/>
      </w:pPr>
      <w:r w:rsidRPr="006B42CD">
        <w:t>–</w:t>
      </w:r>
      <w:r w:rsidRPr="006B42CD">
        <w:tab/>
        <w:t>M. Ronaldo Moura (Brésil)</w:t>
      </w:r>
    </w:p>
    <w:p w14:paraId="63CABA7F" w14:textId="77777777" w:rsidR="001614C6" w:rsidRPr="006B42CD" w:rsidRDefault="001614C6" w:rsidP="001614C6">
      <w:pPr>
        <w:pStyle w:val="enumlev1"/>
      </w:pPr>
      <w:r w:rsidRPr="006B42CD">
        <w:t>–</w:t>
      </w:r>
      <w:r w:rsidRPr="006B42CD">
        <w:tab/>
        <w:t>Mme Noha Gaafar (Égypte)</w:t>
      </w:r>
    </w:p>
    <w:p w14:paraId="73617CE4" w14:textId="77777777" w:rsidR="001614C6" w:rsidRPr="006B42CD" w:rsidRDefault="001614C6" w:rsidP="001614C6">
      <w:pPr>
        <w:pStyle w:val="enumlev1"/>
      </w:pPr>
      <w:r w:rsidRPr="006B42CD">
        <w:t>–</w:t>
      </w:r>
      <w:r w:rsidRPr="006B42CD">
        <w:tab/>
        <w:t>Mme Minjung Park (République de Corée du Sud)</w:t>
      </w:r>
    </w:p>
    <w:p w14:paraId="7E012019" w14:textId="77777777" w:rsidR="001614C6" w:rsidRPr="001C2B5C" w:rsidRDefault="001614C6" w:rsidP="001614C6">
      <w:pPr>
        <w:pStyle w:val="enumlev1"/>
        <w:rPr>
          <w:lang w:val="en-US"/>
        </w:rPr>
      </w:pPr>
      <w:r w:rsidRPr="001C2B5C">
        <w:rPr>
          <w:lang w:val="en-US"/>
        </w:rPr>
        <w:t>–</w:t>
      </w:r>
      <w:r w:rsidRPr="001C2B5C">
        <w:rPr>
          <w:lang w:val="en-US"/>
        </w:rPr>
        <w:tab/>
        <w:t>M. Erzhan Meiramov (Kazakhstan)</w:t>
      </w:r>
    </w:p>
    <w:p w14:paraId="0C39673B" w14:textId="77777777" w:rsidR="001614C6" w:rsidRPr="001C2B5C" w:rsidRDefault="001614C6" w:rsidP="001614C6">
      <w:pPr>
        <w:pStyle w:val="enumlev1"/>
        <w:rPr>
          <w:lang w:val="en-US"/>
        </w:rPr>
      </w:pPr>
      <w:r w:rsidRPr="001C2B5C">
        <w:rPr>
          <w:lang w:val="en-US"/>
        </w:rPr>
        <w:t>–</w:t>
      </w:r>
      <w:r w:rsidRPr="001C2B5C">
        <w:rPr>
          <w:lang w:val="en-US"/>
        </w:rPr>
        <w:tab/>
        <w:t xml:space="preserve">M. Szabolcs </w:t>
      </w:r>
      <w:proofErr w:type="spellStart"/>
      <w:r w:rsidRPr="001C2B5C">
        <w:rPr>
          <w:lang w:val="en-US"/>
        </w:rPr>
        <w:t>Szentleleky</w:t>
      </w:r>
      <w:proofErr w:type="spellEnd"/>
      <w:r w:rsidRPr="001C2B5C">
        <w:rPr>
          <w:lang w:val="en-US"/>
        </w:rPr>
        <w:t xml:space="preserve"> (</w:t>
      </w:r>
      <w:proofErr w:type="spellStart"/>
      <w:r w:rsidRPr="001C2B5C">
        <w:rPr>
          <w:lang w:val="en-US"/>
        </w:rPr>
        <w:t>Hongrie</w:t>
      </w:r>
      <w:proofErr w:type="spellEnd"/>
      <w:r w:rsidRPr="001C2B5C">
        <w:rPr>
          <w:lang w:val="en-US"/>
        </w:rPr>
        <w:t>)</w:t>
      </w:r>
    </w:p>
    <w:p w14:paraId="1139F790" w14:textId="77777777" w:rsidR="001614C6" w:rsidRPr="006B42CD" w:rsidRDefault="001614C6" w:rsidP="001614C6">
      <w:pPr>
        <w:pStyle w:val="Heading1"/>
      </w:pPr>
      <w:r w:rsidRPr="006B42CD">
        <w:t>II</w:t>
      </w:r>
      <w:r w:rsidRPr="006B42CD">
        <w:tab/>
        <w:t xml:space="preserve">Activités du </w:t>
      </w:r>
      <w:proofErr w:type="spellStart"/>
      <w:r w:rsidRPr="006B42CD">
        <w:t>GTC-FHR</w:t>
      </w:r>
      <w:proofErr w:type="spellEnd"/>
    </w:p>
    <w:p w14:paraId="77DAFA78" w14:textId="77777777" w:rsidR="001614C6" w:rsidRPr="006B42CD" w:rsidRDefault="001614C6" w:rsidP="001614C6">
      <w:r w:rsidRPr="006B42CD">
        <w:t>7</w:t>
      </w:r>
      <w:r w:rsidRPr="006B42CD">
        <w:tab/>
        <w:t>Les principaux résultats de la 16ème réunion du GTC-FHR, qui s'est tenue du 11 au 13 octobre 2023, sont présentés à l'adresse suivante:</w:t>
      </w:r>
      <w:r w:rsidRPr="006B42CD">
        <w:br/>
      </w:r>
      <w:hyperlink r:id="rId22" w:history="1">
        <w:r w:rsidRPr="006B42CD">
          <w:rPr>
            <w:rStyle w:val="Hyperlink"/>
          </w:rPr>
          <w:t>www.itu.int/md/S23-CWGFHR16-C-0026/en</w:t>
        </w:r>
      </w:hyperlink>
      <w:r w:rsidRPr="006B42CD">
        <w:t>.</w:t>
      </w:r>
      <w:hyperlink r:id="rId23" w:history="1"/>
    </w:p>
    <w:p w14:paraId="26C7BF69" w14:textId="77777777" w:rsidR="001614C6" w:rsidRPr="006B42CD" w:rsidRDefault="001614C6" w:rsidP="001614C6">
      <w:r w:rsidRPr="006B42CD">
        <w:t>8</w:t>
      </w:r>
      <w:r w:rsidRPr="006B42CD">
        <w:tab/>
        <w:t>Les principaux résultats de la 17ème réunion du GTC-FHR, qui s'est tenue du 24 au 26 janvier 2024, sont présentés à l'adresse suivante:</w:t>
      </w:r>
      <w:r w:rsidRPr="006B42CD">
        <w:br/>
      </w:r>
      <w:hyperlink r:id="rId24" w:history="1">
        <w:r w:rsidRPr="006B42CD">
          <w:rPr>
            <w:rStyle w:val="Hyperlink"/>
          </w:rPr>
          <w:t>www.itu.int/md/S24-CWGFHR17-C-0024</w:t>
        </w:r>
      </w:hyperlink>
      <w:r w:rsidRPr="006B42CD">
        <w:t>.</w:t>
      </w:r>
      <w:hyperlink r:id="rId25" w:history="1"/>
    </w:p>
    <w:p w14:paraId="5806F5B0" w14:textId="77777777" w:rsidR="001614C6" w:rsidRPr="006B42CD" w:rsidRDefault="001614C6" w:rsidP="001614C6">
      <w:r w:rsidRPr="006B42CD">
        <w:t>9</w:t>
      </w:r>
      <w:r w:rsidRPr="006B42CD">
        <w:tab/>
        <w:t>Les principaux résultats de la 18ème réunion du GTC-FHR, qui s'est tenue le 3 juin 2024, sont présentés à l'adresse suivante:</w:t>
      </w:r>
      <w:r w:rsidRPr="006B42CD">
        <w:br/>
      </w:r>
      <w:hyperlink r:id="rId26" w:history="1">
        <w:r w:rsidRPr="006B42CD">
          <w:rPr>
            <w:rStyle w:val="Hyperlink"/>
          </w:rPr>
          <w:t>www.itu.int/md/S24-CWGFHR18-C-0009</w:t>
        </w:r>
      </w:hyperlink>
      <w:r w:rsidRPr="006B42CD">
        <w:t>.</w:t>
      </w:r>
      <w:hyperlink r:id="rId27" w:history="1"/>
    </w:p>
    <w:p w14:paraId="1E0C32E9" w14:textId="77777777" w:rsidR="001614C6" w:rsidRPr="006B42CD" w:rsidRDefault="001614C6" w:rsidP="001614C6">
      <w:r w:rsidRPr="006B42CD">
        <w:t>10</w:t>
      </w:r>
      <w:r w:rsidRPr="006B42CD">
        <w:tab/>
        <w:t>Les principaux résultats de la 19ème réunion du GTC-FHR, qui s'est tenue du 7 au 9 octobre 2024, sont présentés à l'adresse suivante:</w:t>
      </w:r>
      <w:r w:rsidRPr="006B42CD">
        <w:br/>
      </w:r>
      <w:hyperlink r:id="rId28" w:history="1">
        <w:r w:rsidRPr="006B42CD">
          <w:rPr>
            <w:rStyle w:val="Hyperlink"/>
          </w:rPr>
          <w:t>www.itu.int/md/S24-CWGFHR19-C-0015</w:t>
        </w:r>
      </w:hyperlink>
      <w:r w:rsidRPr="006B42CD">
        <w:t>.</w:t>
      </w:r>
      <w:hyperlink r:id="rId29" w:history="1"/>
    </w:p>
    <w:p w14:paraId="5509E38B" w14:textId="77777777" w:rsidR="001614C6" w:rsidRPr="006B42CD" w:rsidRDefault="001614C6" w:rsidP="001614C6">
      <w:r w:rsidRPr="006B42CD">
        <w:t>11</w:t>
      </w:r>
      <w:r w:rsidRPr="006B42CD">
        <w:tab/>
        <w:t>Les principaux résultats de la 20ème réunion du GTC-FHR, qui s'est tenue du 17 au 19 février 2025, sont présentés à l'adresse suivante:</w:t>
      </w:r>
      <w:r w:rsidRPr="006B42CD">
        <w:br/>
      </w:r>
      <w:hyperlink r:id="rId30" w:history="1">
        <w:r w:rsidRPr="006B42CD">
          <w:rPr>
            <w:rStyle w:val="Hyperlink"/>
          </w:rPr>
          <w:t>www.itu.int/md/S25-CWGFHR20-C-0032</w:t>
        </w:r>
      </w:hyperlink>
      <w:r w:rsidRPr="006B42CD">
        <w:t>.</w:t>
      </w:r>
      <w:hyperlink r:id="rId31" w:history="1"/>
    </w:p>
    <w:p w14:paraId="776B2F99" w14:textId="77777777" w:rsidR="001614C6" w:rsidRPr="006B42CD" w:rsidRDefault="001614C6" w:rsidP="001614C6">
      <w:r w:rsidRPr="006B42CD">
        <w:t>12</w:t>
      </w:r>
      <w:r w:rsidRPr="006B42CD">
        <w:tab/>
        <w:t>Les principaux résultats de la 21ème réunion du GTC-FHR, qui s'est tenue du 10 au 12 septembre 2025, sont présentés à l'adresse suivante:</w:t>
      </w:r>
      <w:r w:rsidRPr="006B42CD">
        <w:br/>
      </w:r>
      <w:hyperlink r:id="rId32" w:history="1">
        <w:r w:rsidRPr="006B42CD">
          <w:rPr>
            <w:rStyle w:val="Hyperlink"/>
          </w:rPr>
          <w:t>www.itu.int/md/S25-CWGFHR21-C-0025</w:t>
        </w:r>
      </w:hyperlink>
      <w:r w:rsidRPr="006B42CD">
        <w:t>.</w:t>
      </w:r>
      <w:hyperlink r:id="rId33" w:history="1"/>
    </w:p>
    <w:p w14:paraId="660DF432" w14:textId="77777777" w:rsidR="001614C6" w:rsidRPr="006B42CD" w:rsidRDefault="001614C6" w:rsidP="001614C6">
      <w:r w:rsidRPr="006B42CD">
        <w:t>13</w:t>
      </w:r>
      <w:r w:rsidRPr="006B42CD">
        <w:tab/>
        <w:t>Les principaux résultats de la 22ème réunion du GTC-FHR, qui s'est tenue du 14 au 16 janvier 2026, sont présentés à l'adresse suivante:</w:t>
      </w:r>
      <w:r w:rsidRPr="006B42CD">
        <w:br/>
      </w:r>
      <w:hyperlink r:id="rId34" w:history="1">
        <w:r w:rsidRPr="006B42CD">
          <w:rPr>
            <w:rStyle w:val="Hyperlink"/>
          </w:rPr>
          <w:t>www.itu.int/md/S26-CWGFHR22-C-0036</w:t>
        </w:r>
      </w:hyperlink>
      <w:r w:rsidRPr="006B42CD">
        <w:t>.</w:t>
      </w:r>
      <w:hyperlink r:id="rId35" w:history="1"/>
    </w:p>
    <w:p w14:paraId="405E067E" w14:textId="77777777" w:rsidR="001614C6" w:rsidRPr="006B42CD" w:rsidRDefault="001614C6" w:rsidP="001614C6">
      <w:pPr>
        <w:pStyle w:val="Heading1"/>
        <w:rPr>
          <w:rFonts w:cs="Calibri"/>
        </w:rPr>
      </w:pPr>
      <w:r w:rsidRPr="006B42CD">
        <w:t>III</w:t>
      </w:r>
      <w:r w:rsidRPr="006B42CD">
        <w:tab/>
        <w:t>Recommandations à l'intention de la PP-26</w:t>
      </w:r>
    </w:p>
    <w:p w14:paraId="722BF1ED" w14:textId="77777777" w:rsidR="001614C6" w:rsidRPr="006B42CD" w:rsidRDefault="001614C6" w:rsidP="001614C6">
      <w:pPr>
        <w:rPr>
          <w:rFonts w:cs="Calibri"/>
        </w:rPr>
      </w:pPr>
      <w:r w:rsidRPr="006B42CD">
        <w:t>14</w:t>
      </w:r>
      <w:r w:rsidRPr="006B42CD">
        <w:tab/>
        <w:t xml:space="preserve">Le Conseil est invité à examiner le rapport quadriennal de la Présidente du GTC-FHR et à recommander à la Conférence de plénipotentiaires (PP-26) la poursuite des activités du GTC-FHR pendant les quatre prochaines années. En outre, compte tenu de l'instruction donnée dans la Décision 563 du Conseil, dont l'annexe contient le mandat du GTC-FHR, à savoir d'examiner et de </w:t>
      </w:r>
      <w:r w:rsidRPr="006B42CD">
        <w:lastRenderedPageBreak/>
        <w:t>soumettre des propositions pertinentes au Conseil, il est proposé à ce dernier d'envisager d'autres recommandations formulées pendant le cycle quadriennal, notamment:</w:t>
      </w:r>
    </w:p>
    <w:p w14:paraId="1AED0F5B" w14:textId="77777777" w:rsidR="001614C6" w:rsidRPr="006B42CD" w:rsidRDefault="001614C6" w:rsidP="001614C6">
      <w:pPr>
        <w:pStyle w:val="enumlev1"/>
        <w:rPr>
          <w:rFonts w:cs="Calibri"/>
        </w:rPr>
      </w:pPr>
      <w:r w:rsidRPr="006B42CD">
        <w:t>–</w:t>
      </w:r>
      <w:r w:rsidRPr="006B42CD">
        <w:tab/>
        <w:t>Sur la base de l'examen par le GTC-FHR des méthodes visant à aider les États Membres à préparer des "estimations des coûts" pour les propositions soumises aux conférences et assemblées de l'Union, recommander au Conseil d'envisager d'inviter la PP-26 à examiner ou à réviser l'article 34 de la Convention de l'UIT et de fournir des orientations aux États Membres sur la manière d'en tenir compte lorsqu'ils soumettent des propositions.</w:t>
      </w:r>
    </w:p>
    <w:p w14:paraId="1372CC16" w14:textId="77777777" w:rsidR="001614C6" w:rsidRPr="006B42CD" w:rsidRDefault="001614C6" w:rsidP="001614C6">
      <w:pPr>
        <w:pStyle w:val="enumlev1"/>
        <w:rPr>
          <w:rFonts w:cs="Calibri"/>
        </w:rPr>
      </w:pPr>
      <w:r w:rsidRPr="006B42CD">
        <w:t>–</w:t>
      </w:r>
      <w:r w:rsidRPr="006B42CD">
        <w:tab/>
        <w:t>Sur la base de l'examen par le GTC-FHR des questions relatives à la coordination des travaux des trois Secteurs de l'UIT et du Secrétariat général, recommander au Conseil d'examiner les contributions des groupes consultatifs des Secteurs, du Groupe ISCG, du Comité de coordination et du Groupe MSAG visant à améliorer la mise en œuvre de la Résolution 191 et recommander à la PP-26 d'envisager d'en tenir compte en mettant à jour la Résolution.</w:t>
      </w:r>
    </w:p>
    <w:p w14:paraId="360C1A0C" w14:textId="77777777" w:rsidR="001614C6" w:rsidRPr="006B42CD" w:rsidRDefault="001614C6" w:rsidP="001614C6">
      <w:pPr>
        <w:pStyle w:val="enumlev1"/>
        <w:rPr>
          <w:rFonts w:cs="Calibri"/>
        </w:rPr>
      </w:pPr>
      <w:r w:rsidRPr="006B42CD">
        <w:t>–</w:t>
      </w:r>
      <w:r w:rsidRPr="006B42CD">
        <w:tab/>
        <w:t xml:space="preserve">Compte tenu de la nécessité pour le GTC-FHR de faciliter la mise en œuvre des résolutions et décisions de la Conférence de plénipotentiaires relatives aux locaux futurs du siège de l'Union, recommander au Conseil de suggérer des mises à jour de la Résolution 212 de la PP, sur la base de l'analyse par le Secrétariat des Décisions 588, 619 et 640 du Conseil, afin d'unifier et d'éliminer les contradictions entre ces décisions et toute recommandation révisée relative à la convention de dénomination pour le plan. </w:t>
      </w:r>
    </w:p>
    <w:p w14:paraId="094FFEBA" w14:textId="77777777" w:rsidR="001614C6" w:rsidRPr="006B42CD" w:rsidRDefault="001614C6" w:rsidP="001614C6">
      <w:pPr>
        <w:pStyle w:val="enumlev1"/>
        <w:rPr>
          <w:rFonts w:eastAsia="Calibri" w:cs="Calibri"/>
          <w:color w:val="000000" w:themeColor="text1"/>
        </w:rPr>
      </w:pPr>
      <w:r w:rsidRPr="006B42CD">
        <w:t>–</w:t>
      </w:r>
      <w:r w:rsidRPr="006B42CD">
        <w:tab/>
        <w:t xml:space="preserve">Conformément aux dispositions de la Résolution 217 de la PP relatives à la continuité des activités, recommander au Conseil à sa session de 2026 </w:t>
      </w:r>
      <w:r>
        <w:t xml:space="preserve">d'approuver l'affectation du montant </w:t>
      </w:r>
      <w:r w:rsidRPr="006B42CD">
        <w:t>de 2 782 600 CHF au Fonds pour la continuité des activités et</w:t>
      </w:r>
      <w:r>
        <w:t xml:space="preserve"> son utilisation exclusive</w:t>
      </w:r>
      <w:r w:rsidRPr="006B42CD">
        <w:t xml:space="preserve"> pour compenser les coûts liés </w:t>
      </w:r>
      <w:r>
        <w:t>aux</w:t>
      </w:r>
      <w:r w:rsidRPr="006B42CD">
        <w:t xml:space="preserve"> réunions </w:t>
      </w:r>
      <w:r>
        <w:t xml:space="preserve">tenues </w:t>
      </w:r>
      <w:r w:rsidRPr="006B42CD">
        <w:t>à Genève.</w:t>
      </w:r>
    </w:p>
    <w:p w14:paraId="5CEBDA2B" w14:textId="77777777" w:rsidR="001614C6" w:rsidRPr="006B42CD" w:rsidRDefault="001614C6" w:rsidP="001614C6">
      <w:pPr>
        <w:pStyle w:val="enumlev1"/>
      </w:pPr>
      <w:r w:rsidRPr="006B42CD">
        <w:t>–</w:t>
      </w:r>
      <w:r w:rsidRPr="006B42CD">
        <w:tab/>
        <w:t>Conformément à l'objectif du GTC-FHR consistant à maintenir des liens étroits avec la direction et le Conseil du personnel de l'UIT, et compte tenu de la gestion et du développement des ressources humaines à l'UIT et de la mise en œuvre du cadre de responsabilité de l'UIT, demander au Conseil d'inclure un rapport permanent ou une déclaration du Conseil du personnel en tant que mandat du GTC-FHR, afin de contribuer à renforcer les connaissances organisationnelles et à assurer la continuité des activités.</w:t>
      </w:r>
    </w:p>
    <w:p w14:paraId="5F1D9117" w14:textId="77777777" w:rsidR="001614C6" w:rsidRPr="006B42CD" w:rsidRDefault="001614C6" w:rsidP="001614C6">
      <w:pPr>
        <w:pStyle w:val="enumlev1"/>
      </w:pPr>
      <w:r w:rsidRPr="006B42CD">
        <w:t>–</w:t>
      </w:r>
      <w:r w:rsidRPr="006B42CD">
        <w:tab/>
        <w:t>Compte tenu des travaux menés par le GTC-FHR pour inclure des mesures visant à réduire les dépenses et à accroître les gains d'efficacité, recommander au Conseil de communiquer à la PP-26 le tableau ci-après concernant les fiches de notification des réseaux à satellite.</w:t>
      </w:r>
    </w:p>
    <w:p w14:paraId="0C5407A9" w14:textId="77777777" w:rsidR="001614C6" w:rsidRPr="006B42CD" w:rsidRDefault="001614C6" w:rsidP="001614C6">
      <w:pPr>
        <w:pStyle w:val="enumlev1"/>
      </w:pPr>
      <w:r w:rsidRPr="006B42CD">
        <w:t>–</w:t>
      </w:r>
      <w:r w:rsidRPr="006B42CD">
        <w:tab/>
        <w:t>Sur la base de la Décision 11 de la PP et de l'examen par le GTC-FHR de la gestion et du développement des ressources humaines à l'UIT, suggérer au Conseil d'inviter la PP-26 à envisager de mettre à jour la Décision 11 afin d'inclure les modalités selon lesquelles les GTC devraient interagir avec le personnel de l'UIT.</w:t>
      </w:r>
      <w:bookmarkStart w:id="4" w:name="_Hlk95297702"/>
    </w:p>
    <w:p w14:paraId="0EB68BE1" w14:textId="77777777" w:rsidR="001614C6" w:rsidRPr="006B42CD" w:rsidRDefault="001614C6" w:rsidP="001614C6">
      <w:pPr>
        <w:pStyle w:val="enumlev1"/>
      </w:pPr>
      <w:r w:rsidRPr="006B42CD">
        <w:t>–</w:t>
      </w:r>
      <w:r w:rsidRPr="006B42CD">
        <w:tab/>
        <w:t>Sur la base de la Décision 11 de la PP et du mandat du GTC-FHR, suggérer au Conseil d'inviter la PP-26 à envisager de mettre à jour la Décision 11, afin que toute remarque liminaire prononcée par un fonctionnaire élu de l'UIT pendant une réunion d'un GTC soit publiée sous forme de document d'information avant la fin de la réunion en question.</w:t>
      </w:r>
    </w:p>
    <w:p w14:paraId="0C20F408" w14:textId="77777777" w:rsidR="001614C6" w:rsidRPr="006B42CD" w:rsidRDefault="001614C6" w:rsidP="001614C6">
      <w:pPr>
        <w:pStyle w:val="enumlev1"/>
      </w:pPr>
      <w:r w:rsidRPr="006B42CD">
        <w:t>–</w:t>
      </w:r>
      <w:r w:rsidRPr="006B42CD">
        <w:tab/>
        <w:t>Sur la base de la Décision 11 de la PP et du mandat du GTC-FHR, recommander au Conseil d'inviter la PP-26 à préciser les méthodes de travail des groupes de travail et à examiner les méthodes propres à renforcer le GTC-FHR, compte tenu du temps limité imparti pendant les réunions, conformément à la Résolution 1333 (C11, dernière mod. C25) du Conseil.</w:t>
      </w:r>
    </w:p>
    <w:bookmarkEnd w:id="4"/>
    <w:p w14:paraId="673EA0B5" w14:textId="77777777" w:rsidR="001614C6" w:rsidRPr="006B42CD" w:rsidRDefault="001614C6" w:rsidP="001614C6">
      <w:pPr>
        <w:tabs>
          <w:tab w:val="clear" w:pos="567"/>
          <w:tab w:val="clear" w:pos="1134"/>
          <w:tab w:val="clear" w:pos="1701"/>
          <w:tab w:val="clear" w:pos="2268"/>
          <w:tab w:val="clear" w:pos="2835"/>
        </w:tabs>
        <w:overflowPunct/>
        <w:autoSpaceDE/>
        <w:autoSpaceDN/>
        <w:adjustRightInd/>
        <w:spacing w:before="0"/>
        <w:textAlignment w:val="auto"/>
      </w:pPr>
      <w:r w:rsidRPr="006B42CD">
        <w:br w:type="page"/>
      </w:r>
    </w:p>
    <w:p w14:paraId="68A83CBB" w14:textId="77777777" w:rsidR="001614C6" w:rsidRPr="006B42CD" w:rsidRDefault="001614C6" w:rsidP="001614C6">
      <w:pPr>
        <w:pStyle w:val="Annextitle"/>
      </w:pPr>
      <w:r w:rsidRPr="006B42CD">
        <w:rPr>
          <w:bCs/>
        </w:rPr>
        <w:lastRenderedPageBreak/>
        <w:t>Thématiques des observations/questions des délégués</w:t>
      </w:r>
      <w:r w:rsidRPr="006B42CD">
        <w:rPr>
          <w:bCs/>
        </w:rPr>
        <w:br/>
        <w:t>concernant les fiches de notification</w:t>
      </w:r>
      <w:r w:rsidRPr="006B42CD">
        <w:rPr>
          <w:bCs/>
        </w:rPr>
        <w:br/>
        <w:t>des réseaux à satellite</w:t>
      </w:r>
    </w:p>
    <w:p w14:paraId="192ED13D" w14:textId="77777777" w:rsidR="001614C6" w:rsidRPr="006B42CD" w:rsidRDefault="001614C6" w:rsidP="001614C6">
      <w:pPr>
        <w:pStyle w:val="Normalaftertitle"/>
        <w:spacing w:after="120"/>
      </w:pPr>
      <w:r w:rsidRPr="006B42CD">
        <w:t>Le tableau ci-dessous reprend les observations et les questions soulevées par les délégués lors de la 22ème réunion du GTC-FHR. La Présidente du GTC-FHR l'a envoyé le 15 janvier 2026 par courrier électronique aux délégués intéressés, pour obtenir leur avis.</w:t>
      </w:r>
    </w:p>
    <w:tbl>
      <w:tblPr>
        <w:tblStyle w:val="TableGrid"/>
        <w:tblW w:w="5000" w:type="pct"/>
        <w:tblLayout w:type="fixed"/>
        <w:tblLook w:val="04A0" w:firstRow="1" w:lastRow="0" w:firstColumn="1" w:lastColumn="0" w:noHBand="0" w:noVBand="1"/>
      </w:tblPr>
      <w:tblGrid>
        <w:gridCol w:w="900"/>
        <w:gridCol w:w="4823"/>
        <w:gridCol w:w="3912"/>
      </w:tblGrid>
      <w:tr w:rsidR="001614C6" w:rsidRPr="006B42CD" w14:paraId="546FD9D8" w14:textId="77777777" w:rsidTr="00106D28">
        <w:trPr>
          <w:tblHeader/>
        </w:trPr>
        <w:tc>
          <w:tcPr>
            <w:tcW w:w="467" w:type="pct"/>
            <w:shd w:val="clear" w:color="auto" w:fill="DBE5F1" w:themeFill="accent1" w:themeFillTint="33"/>
          </w:tcPr>
          <w:p w14:paraId="341DDBF1" w14:textId="77777777" w:rsidR="001614C6" w:rsidRPr="006B42CD" w:rsidRDefault="001614C6" w:rsidP="00106D28">
            <w:pPr>
              <w:pStyle w:val="Tablehead"/>
            </w:pPr>
            <w:r w:rsidRPr="006B42CD">
              <w:rPr>
                <w:bCs/>
                <w:color w:val="000000"/>
              </w:rPr>
              <w:t>Thème</w:t>
            </w:r>
          </w:p>
        </w:tc>
        <w:tc>
          <w:tcPr>
            <w:tcW w:w="2503" w:type="pct"/>
            <w:shd w:val="clear" w:color="auto" w:fill="DBE5F1" w:themeFill="accent1" w:themeFillTint="33"/>
          </w:tcPr>
          <w:p w14:paraId="788B6AAA" w14:textId="77777777" w:rsidR="001614C6" w:rsidRPr="006B42CD" w:rsidRDefault="001614C6" w:rsidP="00106D28">
            <w:pPr>
              <w:pStyle w:val="Tablehead"/>
            </w:pPr>
            <w:r w:rsidRPr="006B42CD">
              <w:rPr>
                <w:bCs/>
                <w:color w:val="000000"/>
              </w:rPr>
              <w:t>Vues/questions</w:t>
            </w:r>
          </w:p>
        </w:tc>
        <w:tc>
          <w:tcPr>
            <w:tcW w:w="2030" w:type="pct"/>
            <w:shd w:val="clear" w:color="auto" w:fill="DBE5F1" w:themeFill="accent1" w:themeFillTint="33"/>
          </w:tcPr>
          <w:p w14:paraId="1787EBDA" w14:textId="77777777" w:rsidR="001614C6" w:rsidRPr="006B42CD" w:rsidRDefault="001614C6" w:rsidP="00106D28">
            <w:pPr>
              <w:pStyle w:val="Tablehead"/>
            </w:pPr>
            <w:r w:rsidRPr="006B42CD">
              <w:rPr>
                <w:bCs/>
                <w:color w:val="000000"/>
              </w:rPr>
              <w:t>Vues/questions en suspens</w:t>
            </w:r>
          </w:p>
        </w:tc>
      </w:tr>
      <w:tr w:rsidR="001614C6" w:rsidRPr="006B42CD" w14:paraId="7757FBCF" w14:textId="77777777" w:rsidTr="00106D28">
        <w:tc>
          <w:tcPr>
            <w:tcW w:w="5000" w:type="pct"/>
            <w:gridSpan w:val="3"/>
            <w:shd w:val="clear" w:color="auto" w:fill="EEECE1" w:themeFill="background2"/>
          </w:tcPr>
          <w:p w14:paraId="62051087" w14:textId="77777777" w:rsidR="001614C6" w:rsidRPr="006B42CD" w:rsidRDefault="001614C6" w:rsidP="00106D28">
            <w:pPr>
              <w:pStyle w:val="Tabletext"/>
              <w:rPr>
                <w:b/>
                <w:bCs/>
              </w:rPr>
            </w:pPr>
            <w:r w:rsidRPr="006B42CD">
              <w:rPr>
                <w:b/>
                <w:bCs/>
                <w:color w:val="000000"/>
              </w:rPr>
              <w:t>Vers quoi l'UIT doit-elle tendre?</w:t>
            </w:r>
          </w:p>
        </w:tc>
      </w:tr>
      <w:tr w:rsidR="001614C6" w:rsidRPr="006B42CD" w14:paraId="15AE8845" w14:textId="77777777" w:rsidTr="00106D28">
        <w:tc>
          <w:tcPr>
            <w:tcW w:w="467" w:type="pct"/>
          </w:tcPr>
          <w:p w14:paraId="05641C34" w14:textId="77777777" w:rsidR="001614C6" w:rsidRPr="006B42CD" w:rsidRDefault="001614C6" w:rsidP="00106D28">
            <w:pPr>
              <w:pStyle w:val="Tabletext"/>
            </w:pPr>
          </w:p>
        </w:tc>
        <w:tc>
          <w:tcPr>
            <w:tcW w:w="2503" w:type="pct"/>
          </w:tcPr>
          <w:p w14:paraId="6C9AAEDC" w14:textId="77777777" w:rsidR="001614C6" w:rsidRPr="006B42CD" w:rsidRDefault="001614C6" w:rsidP="00106D28">
            <w:pPr>
              <w:pStyle w:val="Tabletext"/>
            </w:pPr>
            <w:r w:rsidRPr="006B42CD">
              <w:rPr>
                <w:color w:val="000000"/>
              </w:rPr>
              <w:t>De l'avis général des membres, les droits perçus au titre du recouvrement des coûts (par exemple ceux liés aux fiches de notification des réseaux à satellite) devraient servir directement à financer les travaux du Bureau pour lesquels ces droits sont facturés et ne pas être versés dans le budget général. Il ne devrait pas s'agir d'un mécanisme de recouvrement des coûts prévus au budget.</w:t>
            </w:r>
          </w:p>
        </w:tc>
        <w:tc>
          <w:tcPr>
            <w:tcW w:w="2030" w:type="pct"/>
          </w:tcPr>
          <w:p w14:paraId="05332211" w14:textId="77777777" w:rsidR="001614C6" w:rsidRPr="006B42CD" w:rsidRDefault="001614C6" w:rsidP="00106D28">
            <w:pPr>
              <w:pStyle w:val="Tabletext"/>
            </w:pPr>
            <w:r w:rsidRPr="006B42CD">
              <w:rPr>
                <w:color w:val="000000"/>
              </w:rPr>
              <w:t>À qui l'UIT facture-t-elle actuellement ces droits?</w:t>
            </w:r>
          </w:p>
        </w:tc>
      </w:tr>
      <w:tr w:rsidR="001614C6" w:rsidRPr="006B42CD" w14:paraId="3A24855D" w14:textId="77777777" w:rsidTr="00106D28">
        <w:tc>
          <w:tcPr>
            <w:tcW w:w="5000" w:type="pct"/>
            <w:gridSpan w:val="3"/>
            <w:shd w:val="clear" w:color="auto" w:fill="EEECE1" w:themeFill="background2"/>
          </w:tcPr>
          <w:p w14:paraId="63AE8B57" w14:textId="77777777" w:rsidR="001614C6" w:rsidRPr="006B42CD" w:rsidRDefault="001614C6" w:rsidP="00106D28">
            <w:pPr>
              <w:pStyle w:val="Tabletext"/>
              <w:rPr>
                <w:b/>
                <w:bCs/>
              </w:rPr>
            </w:pPr>
            <w:r w:rsidRPr="006B42CD">
              <w:rPr>
                <w:b/>
                <w:bCs/>
                <w:color w:val="000000"/>
              </w:rPr>
              <w:t>Franchises de droits</w:t>
            </w:r>
          </w:p>
        </w:tc>
      </w:tr>
      <w:tr w:rsidR="001614C6" w:rsidRPr="006B42CD" w14:paraId="03AC95B9" w14:textId="77777777" w:rsidTr="00106D28">
        <w:tc>
          <w:tcPr>
            <w:tcW w:w="467" w:type="pct"/>
            <w:vMerge w:val="restart"/>
          </w:tcPr>
          <w:p w14:paraId="261D04D2" w14:textId="77777777" w:rsidR="001614C6" w:rsidRPr="006B42CD" w:rsidRDefault="001614C6" w:rsidP="00106D28">
            <w:pPr>
              <w:pStyle w:val="Tabletext"/>
            </w:pPr>
          </w:p>
        </w:tc>
        <w:tc>
          <w:tcPr>
            <w:tcW w:w="2503" w:type="pct"/>
          </w:tcPr>
          <w:p w14:paraId="424EC36E" w14:textId="77777777" w:rsidR="001614C6" w:rsidRPr="006B42CD" w:rsidRDefault="001614C6" w:rsidP="00106D28">
            <w:pPr>
              <w:pStyle w:val="Tabletext"/>
            </w:pPr>
            <w:r w:rsidRPr="006B42CD">
              <w:rPr>
                <w:color w:val="000000"/>
              </w:rPr>
              <w:t>Le coût de la publication de fiches de notification en franchise de droits devrait être financé par les contributions des États Membres (plusieurs pays). D'autres sont d'avis que ces franchises devraient être financées par le recouvrement des coûts et non par le budget ordinaire de l'UIT (en vertu de la Résolution 91).</w:t>
            </w:r>
          </w:p>
        </w:tc>
        <w:tc>
          <w:tcPr>
            <w:tcW w:w="2030" w:type="pct"/>
          </w:tcPr>
          <w:p w14:paraId="62AC3650" w14:textId="77777777" w:rsidR="001614C6" w:rsidRPr="006B42CD" w:rsidRDefault="001614C6" w:rsidP="00106D28">
            <w:pPr>
              <w:pStyle w:val="Tabletext"/>
            </w:pPr>
            <w:r w:rsidRPr="006B42CD">
              <w:rPr>
                <w:color w:val="000000"/>
              </w:rPr>
              <w:t>Que comprend et combien coûte une franchise de droits? Qui paie actuellement pour ces franchises? Faut-il instaurer des limites de coût pour les franchises, et qui détermine ce coût?</w:t>
            </w:r>
          </w:p>
        </w:tc>
      </w:tr>
      <w:tr w:rsidR="001614C6" w:rsidRPr="006B42CD" w14:paraId="12B92C10" w14:textId="77777777" w:rsidTr="00106D28">
        <w:trPr>
          <w:trHeight w:val="735"/>
        </w:trPr>
        <w:tc>
          <w:tcPr>
            <w:tcW w:w="467" w:type="pct"/>
            <w:vMerge/>
          </w:tcPr>
          <w:p w14:paraId="0EF89AF3" w14:textId="77777777" w:rsidR="001614C6" w:rsidRPr="006B42CD" w:rsidRDefault="001614C6" w:rsidP="00106D28">
            <w:pPr>
              <w:pStyle w:val="Tabletext"/>
            </w:pPr>
          </w:p>
        </w:tc>
        <w:tc>
          <w:tcPr>
            <w:tcW w:w="2503" w:type="pct"/>
          </w:tcPr>
          <w:p w14:paraId="725D0D5A" w14:textId="77777777" w:rsidR="001614C6" w:rsidRPr="006B42CD" w:rsidRDefault="001614C6" w:rsidP="00106D28">
            <w:pPr>
              <w:pStyle w:val="Tabletext"/>
            </w:pPr>
            <w:r w:rsidRPr="006B42CD">
              <w:rPr>
                <w:color w:val="000000"/>
              </w:rPr>
              <w:t>Les franchises de droits font partie des fonctions essentielles du mandat de l'UIT (plusieurs pays).</w:t>
            </w:r>
          </w:p>
        </w:tc>
        <w:tc>
          <w:tcPr>
            <w:tcW w:w="2030" w:type="pct"/>
          </w:tcPr>
          <w:p w14:paraId="76D634EC" w14:textId="77777777" w:rsidR="001614C6" w:rsidRPr="006B42CD" w:rsidRDefault="001614C6" w:rsidP="00106D28">
            <w:pPr>
              <w:pStyle w:val="Tabletext"/>
            </w:pPr>
            <w:r w:rsidRPr="006B42CD">
              <w:rPr>
                <w:color w:val="000000"/>
              </w:rPr>
              <w:t>L'objectif de départ des franchises de droits est-il ou non toujours valable?</w:t>
            </w:r>
          </w:p>
        </w:tc>
      </w:tr>
      <w:tr w:rsidR="001614C6" w:rsidRPr="006B42CD" w14:paraId="1CF15C18" w14:textId="77777777" w:rsidTr="00106D28">
        <w:trPr>
          <w:trHeight w:val="615"/>
        </w:trPr>
        <w:tc>
          <w:tcPr>
            <w:tcW w:w="467" w:type="pct"/>
            <w:vMerge/>
          </w:tcPr>
          <w:p w14:paraId="64DC0BB2" w14:textId="77777777" w:rsidR="001614C6" w:rsidRPr="006B42CD" w:rsidRDefault="001614C6" w:rsidP="00106D28">
            <w:pPr>
              <w:pStyle w:val="Tabletext"/>
            </w:pPr>
          </w:p>
        </w:tc>
        <w:tc>
          <w:tcPr>
            <w:tcW w:w="2503" w:type="pct"/>
          </w:tcPr>
          <w:p w14:paraId="68B99A1B" w14:textId="77777777" w:rsidR="001614C6" w:rsidRPr="006B42CD" w:rsidRDefault="001614C6" w:rsidP="00106D28">
            <w:pPr>
              <w:pStyle w:val="Tabletext"/>
            </w:pPr>
            <w:r w:rsidRPr="006B42CD">
              <w:rPr>
                <w:color w:val="000000"/>
              </w:rPr>
              <w:t>Les franchises de droits ne tiennent actuellement pas compte des considérations des pays en développement et devraient rester en vigueur, au minimum, pour aider ces pays.</w:t>
            </w:r>
          </w:p>
        </w:tc>
        <w:tc>
          <w:tcPr>
            <w:tcW w:w="2030" w:type="pct"/>
          </w:tcPr>
          <w:p w14:paraId="3359F3F9" w14:textId="77777777" w:rsidR="001614C6" w:rsidRPr="006B42CD" w:rsidRDefault="001614C6" w:rsidP="00106D28">
            <w:pPr>
              <w:pStyle w:val="Tabletext"/>
            </w:pPr>
          </w:p>
        </w:tc>
      </w:tr>
      <w:tr w:rsidR="001614C6" w:rsidRPr="006B42CD" w14:paraId="01BF0C24" w14:textId="77777777" w:rsidTr="00106D28">
        <w:tc>
          <w:tcPr>
            <w:tcW w:w="467" w:type="pct"/>
            <w:vMerge/>
          </w:tcPr>
          <w:p w14:paraId="7266C6E1" w14:textId="77777777" w:rsidR="001614C6" w:rsidRPr="006B42CD" w:rsidRDefault="001614C6" w:rsidP="00106D28">
            <w:pPr>
              <w:pStyle w:val="Tabletext"/>
            </w:pPr>
          </w:p>
        </w:tc>
        <w:tc>
          <w:tcPr>
            <w:tcW w:w="2503" w:type="pct"/>
          </w:tcPr>
          <w:p w14:paraId="6BE88E7C" w14:textId="77777777" w:rsidR="001614C6" w:rsidRPr="006B42CD" w:rsidRDefault="001614C6" w:rsidP="00106D28">
            <w:pPr>
              <w:pStyle w:val="Tabletext"/>
            </w:pPr>
            <w:r w:rsidRPr="006B42CD">
              <w:rPr>
                <w:color w:val="000000"/>
              </w:rPr>
              <w:t xml:space="preserve">Proposer une franchise de droits pour les initiatives régionales relatives aux satellites afin d'assurer un accès équitable. </w:t>
            </w:r>
          </w:p>
        </w:tc>
        <w:tc>
          <w:tcPr>
            <w:tcW w:w="2030" w:type="pct"/>
          </w:tcPr>
          <w:p w14:paraId="53AF28DA" w14:textId="77777777" w:rsidR="001614C6" w:rsidRPr="006B42CD" w:rsidRDefault="001614C6" w:rsidP="00106D28">
            <w:pPr>
              <w:pStyle w:val="Tabletext"/>
            </w:pPr>
            <w:r w:rsidRPr="006B42CD">
              <w:rPr>
                <w:color w:val="000000"/>
              </w:rPr>
              <w:t>Faut-il établir une distinction entre pays développés et pays en développement?</w:t>
            </w:r>
          </w:p>
        </w:tc>
      </w:tr>
      <w:tr w:rsidR="001614C6" w:rsidRPr="006B42CD" w14:paraId="1D14F1FE" w14:textId="77777777" w:rsidTr="00106D28">
        <w:tc>
          <w:tcPr>
            <w:tcW w:w="467" w:type="pct"/>
            <w:vMerge/>
          </w:tcPr>
          <w:p w14:paraId="1941657F" w14:textId="77777777" w:rsidR="001614C6" w:rsidRPr="006B42CD" w:rsidRDefault="001614C6" w:rsidP="00106D28">
            <w:pPr>
              <w:pStyle w:val="Tabletext"/>
            </w:pPr>
          </w:p>
        </w:tc>
        <w:tc>
          <w:tcPr>
            <w:tcW w:w="2503" w:type="pct"/>
          </w:tcPr>
          <w:p w14:paraId="7CDF7740" w14:textId="77777777" w:rsidR="001614C6" w:rsidRPr="006B42CD" w:rsidRDefault="001614C6" w:rsidP="00106D28">
            <w:pPr>
              <w:pStyle w:val="Tabletext"/>
            </w:pPr>
            <w:r w:rsidRPr="006B42CD">
              <w:rPr>
                <w:color w:val="000000"/>
              </w:rPr>
              <w:t xml:space="preserve">Les franchises de droits devraient s'appliquer aux systèmes à satellites complets. Ne pas autoriser les franchises de droits pour les modifications. </w:t>
            </w:r>
          </w:p>
        </w:tc>
        <w:tc>
          <w:tcPr>
            <w:tcW w:w="2030" w:type="pct"/>
          </w:tcPr>
          <w:p w14:paraId="23EED959" w14:textId="77777777" w:rsidR="001614C6" w:rsidRPr="006B42CD" w:rsidRDefault="001614C6" w:rsidP="00106D28">
            <w:pPr>
              <w:pStyle w:val="Tabletext"/>
            </w:pPr>
          </w:p>
        </w:tc>
      </w:tr>
      <w:tr w:rsidR="001614C6" w:rsidRPr="006B42CD" w14:paraId="0E3ADD29" w14:textId="77777777" w:rsidTr="00106D28">
        <w:tc>
          <w:tcPr>
            <w:tcW w:w="467" w:type="pct"/>
            <w:vMerge/>
          </w:tcPr>
          <w:p w14:paraId="47945BC3" w14:textId="77777777" w:rsidR="001614C6" w:rsidRPr="006B42CD" w:rsidRDefault="001614C6" w:rsidP="00106D28">
            <w:pPr>
              <w:pStyle w:val="Tabletext"/>
            </w:pPr>
          </w:p>
        </w:tc>
        <w:tc>
          <w:tcPr>
            <w:tcW w:w="2503" w:type="pct"/>
          </w:tcPr>
          <w:p w14:paraId="2191346A" w14:textId="77777777" w:rsidR="001614C6" w:rsidRPr="006B42CD" w:rsidRDefault="001614C6" w:rsidP="00106D28">
            <w:pPr>
              <w:pStyle w:val="Tabletext"/>
            </w:pPr>
            <w:r w:rsidRPr="006B42CD">
              <w:rPr>
                <w:color w:val="000000"/>
              </w:rPr>
              <w:t>Poursuivre les discussions sur les franchises de droits dans le cadre de consultations avec le Groupe d'experts sur la Décision 482.</w:t>
            </w:r>
          </w:p>
        </w:tc>
        <w:tc>
          <w:tcPr>
            <w:tcW w:w="2030" w:type="pct"/>
          </w:tcPr>
          <w:p w14:paraId="5A94818D" w14:textId="77777777" w:rsidR="001614C6" w:rsidRPr="006B42CD" w:rsidRDefault="001614C6" w:rsidP="00106D28">
            <w:pPr>
              <w:pStyle w:val="Tabletext"/>
            </w:pPr>
          </w:p>
        </w:tc>
      </w:tr>
      <w:tr w:rsidR="001614C6" w:rsidRPr="006B42CD" w14:paraId="38066FDB" w14:textId="77777777" w:rsidTr="00106D28">
        <w:tc>
          <w:tcPr>
            <w:tcW w:w="467" w:type="pct"/>
            <w:vMerge/>
          </w:tcPr>
          <w:p w14:paraId="034326B2" w14:textId="77777777" w:rsidR="001614C6" w:rsidRPr="006B42CD" w:rsidRDefault="001614C6" w:rsidP="00106D28">
            <w:pPr>
              <w:pStyle w:val="Tabletext"/>
            </w:pPr>
          </w:p>
        </w:tc>
        <w:tc>
          <w:tcPr>
            <w:tcW w:w="2503" w:type="pct"/>
          </w:tcPr>
          <w:p w14:paraId="42302200" w14:textId="77777777" w:rsidR="001614C6" w:rsidRPr="006B42CD" w:rsidRDefault="001614C6" w:rsidP="001614C6">
            <w:pPr>
              <w:pStyle w:val="Tabletext"/>
              <w:keepLines/>
            </w:pPr>
            <w:r w:rsidRPr="006B42CD">
              <w:rPr>
                <w:color w:val="000000"/>
              </w:rPr>
              <w:t>Proposer que l'UIT envoie des rappels annuels aux pays, en particulier aux pays en développement, pour qu'ils utilisent leur franchise de droits.</w:t>
            </w:r>
          </w:p>
        </w:tc>
        <w:tc>
          <w:tcPr>
            <w:tcW w:w="2030" w:type="pct"/>
          </w:tcPr>
          <w:p w14:paraId="4B9541B4" w14:textId="77777777" w:rsidR="001614C6" w:rsidRPr="006B42CD" w:rsidRDefault="001614C6" w:rsidP="00106D28">
            <w:pPr>
              <w:pStyle w:val="Tabletext"/>
              <w:keepLines/>
            </w:pPr>
          </w:p>
        </w:tc>
      </w:tr>
      <w:tr w:rsidR="001614C6" w:rsidRPr="006B42CD" w14:paraId="00797706" w14:textId="77777777" w:rsidTr="00106D28">
        <w:tc>
          <w:tcPr>
            <w:tcW w:w="467" w:type="pct"/>
            <w:vMerge/>
          </w:tcPr>
          <w:p w14:paraId="69FDF9C0" w14:textId="77777777" w:rsidR="001614C6" w:rsidRPr="006B42CD" w:rsidRDefault="001614C6" w:rsidP="00106D28">
            <w:pPr>
              <w:pStyle w:val="Tabletext"/>
            </w:pPr>
          </w:p>
        </w:tc>
        <w:tc>
          <w:tcPr>
            <w:tcW w:w="2503" w:type="pct"/>
          </w:tcPr>
          <w:p w14:paraId="4F6328BE" w14:textId="77777777" w:rsidR="001614C6" w:rsidRPr="006B42CD" w:rsidRDefault="001614C6" w:rsidP="00106D28">
            <w:pPr>
              <w:pStyle w:val="Tabletext"/>
            </w:pPr>
            <w:r w:rsidRPr="006B42CD">
              <w:rPr>
                <w:color w:val="000000"/>
              </w:rPr>
              <w:t xml:space="preserve">Certains Membres ont appuyé la proposition, soumise par plusieurs pays, visant à empêcher l'utilisation abusive des franchises de droits. </w:t>
            </w:r>
          </w:p>
        </w:tc>
        <w:tc>
          <w:tcPr>
            <w:tcW w:w="2030" w:type="pct"/>
          </w:tcPr>
          <w:p w14:paraId="2A1EF3BE" w14:textId="77777777" w:rsidR="001614C6" w:rsidRPr="006B42CD" w:rsidRDefault="001614C6" w:rsidP="00106D28">
            <w:pPr>
              <w:pStyle w:val="Tabletext"/>
            </w:pPr>
          </w:p>
        </w:tc>
      </w:tr>
      <w:tr w:rsidR="001614C6" w:rsidRPr="006B42CD" w14:paraId="4AE32D3C" w14:textId="77777777" w:rsidTr="00106D28">
        <w:tc>
          <w:tcPr>
            <w:tcW w:w="5000" w:type="pct"/>
            <w:gridSpan w:val="3"/>
            <w:shd w:val="clear" w:color="auto" w:fill="EEECE1" w:themeFill="background2"/>
          </w:tcPr>
          <w:p w14:paraId="4ED7E118" w14:textId="77777777" w:rsidR="001614C6" w:rsidRPr="006B42CD" w:rsidRDefault="001614C6" w:rsidP="00106D28">
            <w:pPr>
              <w:pStyle w:val="Tabletext"/>
              <w:rPr>
                <w:b/>
                <w:bCs/>
              </w:rPr>
            </w:pPr>
            <w:r w:rsidRPr="006B42CD">
              <w:rPr>
                <w:b/>
                <w:bCs/>
                <w:color w:val="000000"/>
              </w:rPr>
              <w:t>Transparence</w:t>
            </w:r>
          </w:p>
        </w:tc>
      </w:tr>
      <w:tr w:rsidR="001614C6" w:rsidRPr="006B42CD" w14:paraId="78728606" w14:textId="77777777" w:rsidTr="00106D28">
        <w:tc>
          <w:tcPr>
            <w:tcW w:w="467" w:type="pct"/>
            <w:vMerge w:val="restart"/>
          </w:tcPr>
          <w:p w14:paraId="084B4219" w14:textId="77777777" w:rsidR="001614C6" w:rsidRPr="006B42CD" w:rsidRDefault="001614C6" w:rsidP="00106D28">
            <w:pPr>
              <w:pStyle w:val="Tabletext"/>
            </w:pPr>
          </w:p>
        </w:tc>
        <w:tc>
          <w:tcPr>
            <w:tcW w:w="2503" w:type="pct"/>
          </w:tcPr>
          <w:p w14:paraId="4A3370C1" w14:textId="77777777" w:rsidR="001614C6" w:rsidRPr="006B42CD" w:rsidRDefault="001614C6" w:rsidP="00106D28">
            <w:pPr>
              <w:pStyle w:val="Tabletext"/>
            </w:pPr>
            <w:r w:rsidRPr="006B42CD">
              <w:rPr>
                <w:color w:val="000000"/>
              </w:rPr>
              <w:t>La proposition du Secrétariat ne repose pas suffisamment sur des mesures concrètes. Fonder la méthode proposée sur des données vérifiées provenant des opérations du BR.</w:t>
            </w:r>
          </w:p>
        </w:tc>
        <w:tc>
          <w:tcPr>
            <w:tcW w:w="2030" w:type="pct"/>
          </w:tcPr>
          <w:p w14:paraId="32797461" w14:textId="77777777" w:rsidR="001614C6" w:rsidRPr="006B42CD" w:rsidRDefault="001614C6" w:rsidP="00106D28">
            <w:pPr>
              <w:pStyle w:val="Tabletext"/>
            </w:pPr>
            <w:r w:rsidRPr="006B42CD">
              <w:rPr>
                <w:color w:val="000000"/>
              </w:rPr>
              <w:t>Demander des précisions sur les éléments de coût à mettre en recouvrement dans la méthode. Concrètement, comment le secrétariat va-t-il définir, calculer et imputer les coûts directs et indirects?</w:t>
            </w:r>
          </w:p>
        </w:tc>
      </w:tr>
      <w:tr w:rsidR="001614C6" w:rsidRPr="006B42CD" w14:paraId="79E1DADB" w14:textId="77777777" w:rsidTr="00106D28">
        <w:tc>
          <w:tcPr>
            <w:tcW w:w="467" w:type="pct"/>
            <w:vMerge/>
          </w:tcPr>
          <w:p w14:paraId="5C8C9DBF" w14:textId="77777777" w:rsidR="001614C6" w:rsidRPr="006B42CD" w:rsidRDefault="001614C6" w:rsidP="00106D28">
            <w:pPr>
              <w:pStyle w:val="Tabletext"/>
            </w:pPr>
          </w:p>
        </w:tc>
        <w:tc>
          <w:tcPr>
            <w:tcW w:w="2503" w:type="pct"/>
          </w:tcPr>
          <w:p w14:paraId="198C951C" w14:textId="77777777" w:rsidR="001614C6" w:rsidRPr="006B42CD" w:rsidRDefault="001614C6" w:rsidP="00106D28">
            <w:pPr>
              <w:pStyle w:val="Tabletext"/>
            </w:pPr>
            <w:r w:rsidRPr="006B42CD">
              <w:rPr>
                <w:color w:val="000000"/>
              </w:rPr>
              <w:t>Pour certains pays, tous coûts directs ou indirects doivent être perçus dans le cadre du recouvrement des coûts, et si le Secrétariat veut y inclure les frais généraux, il doit prouver le lien entre ces frais et le traitement des fiches de notification.</w:t>
            </w:r>
          </w:p>
        </w:tc>
        <w:tc>
          <w:tcPr>
            <w:tcW w:w="2030" w:type="pct"/>
          </w:tcPr>
          <w:p w14:paraId="41411C27" w14:textId="77777777" w:rsidR="001614C6" w:rsidRPr="006B42CD" w:rsidRDefault="001614C6" w:rsidP="00106D28">
            <w:pPr>
              <w:pStyle w:val="Tabletext"/>
            </w:pPr>
            <w:r w:rsidRPr="006B42CD">
              <w:rPr>
                <w:color w:val="000000"/>
              </w:rPr>
              <w:t>Comment le secrétariat compte-t-il mesurer les gains d'efficacité découlant de la réforme proposée concernant les fiches de notification et en rendre compte?</w:t>
            </w:r>
          </w:p>
        </w:tc>
      </w:tr>
      <w:tr w:rsidR="001614C6" w:rsidRPr="006B42CD" w14:paraId="5CEA06D5" w14:textId="77777777" w:rsidTr="00106D28">
        <w:tc>
          <w:tcPr>
            <w:tcW w:w="467" w:type="pct"/>
            <w:vMerge/>
          </w:tcPr>
          <w:p w14:paraId="689609D4" w14:textId="77777777" w:rsidR="001614C6" w:rsidRPr="006B42CD" w:rsidRDefault="001614C6" w:rsidP="00106D28">
            <w:pPr>
              <w:pStyle w:val="Tabletext"/>
            </w:pPr>
          </w:p>
        </w:tc>
        <w:tc>
          <w:tcPr>
            <w:tcW w:w="2503" w:type="pct"/>
          </w:tcPr>
          <w:p w14:paraId="5F03F709" w14:textId="77777777" w:rsidR="001614C6" w:rsidRPr="006B42CD" w:rsidRDefault="001614C6" w:rsidP="00106D28">
            <w:pPr>
              <w:pStyle w:val="Tabletext"/>
            </w:pPr>
            <w:r w:rsidRPr="006B42CD">
              <w:rPr>
                <w:color w:val="000000"/>
              </w:rPr>
              <w:t>La Résolution 91 ne mentionne pas les coûts d'investissement tels que l'amortissement.</w:t>
            </w:r>
          </w:p>
        </w:tc>
        <w:tc>
          <w:tcPr>
            <w:tcW w:w="2030" w:type="pct"/>
          </w:tcPr>
          <w:p w14:paraId="3628F920" w14:textId="77777777" w:rsidR="001614C6" w:rsidRPr="006B42CD" w:rsidRDefault="001614C6" w:rsidP="00106D28">
            <w:pPr>
              <w:pStyle w:val="Tabletext"/>
            </w:pPr>
            <w:r w:rsidRPr="006B42CD">
              <w:rPr>
                <w:color w:val="000000"/>
              </w:rPr>
              <w:t>Les coûts d'investissement sont-ils des coûts directs ou indirects? Pourquoi faudrait-il en tenir compte?</w:t>
            </w:r>
          </w:p>
        </w:tc>
      </w:tr>
      <w:tr w:rsidR="001614C6" w:rsidRPr="006B42CD" w14:paraId="15DD602D" w14:textId="77777777" w:rsidTr="00106D28">
        <w:trPr>
          <w:trHeight w:val="300"/>
        </w:trPr>
        <w:tc>
          <w:tcPr>
            <w:tcW w:w="467" w:type="pct"/>
          </w:tcPr>
          <w:p w14:paraId="1914FACA" w14:textId="77777777" w:rsidR="001614C6" w:rsidRPr="006B42CD" w:rsidRDefault="001614C6" w:rsidP="00106D28">
            <w:pPr>
              <w:pStyle w:val="Tabletext"/>
            </w:pPr>
          </w:p>
        </w:tc>
        <w:tc>
          <w:tcPr>
            <w:tcW w:w="2503" w:type="pct"/>
          </w:tcPr>
          <w:p w14:paraId="54E5CFF4" w14:textId="77777777" w:rsidR="001614C6" w:rsidRPr="006B42CD" w:rsidRDefault="001614C6" w:rsidP="00106D28">
            <w:pPr>
              <w:pStyle w:val="Tabletext"/>
            </w:pPr>
            <w:r w:rsidRPr="006B42CD">
              <w:rPr>
                <w:color w:val="000000"/>
              </w:rPr>
              <w:t>Certains Membres se sont inquiétés qu'un nombre limité d'entités multinationales bénéficient des franchises de droits.</w:t>
            </w:r>
          </w:p>
        </w:tc>
        <w:tc>
          <w:tcPr>
            <w:tcW w:w="2030" w:type="pct"/>
          </w:tcPr>
          <w:p w14:paraId="0F67A2CE" w14:textId="77777777" w:rsidR="001614C6" w:rsidRPr="006B42CD" w:rsidRDefault="001614C6" w:rsidP="00106D28">
            <w:pPr>
              <w:pStyle w:val="Tabletext"/>
            </w:pPr>
            <w:r w:rsidRPr="006B42CD">
              <w:rPr>
                <w:color w:val="000000"/>
              </w:rPr>
              <w:t>Quelles sont les incidences financières des fiches de notification qui bénéficient d'une franchise de droit et font partie de la même constellation de satellites?</w:t>
            </w:r>
          </w:p>
        </w:tc>
      </w:tr>
      <w:tr w:rsidR="001614C6" w:rsidRPr="006B42CD" w14:paraId="10C6A567" w14:textId="77777777" w:rsidTr="00106D28">
        <w:tc>
          <w:tcPr>
            <w:tcW w:w="5000" w:type="pct"/>
            <w:gridSpan w:val="3"/>
            <w:shd w:val="clear" w:color="auto" w:fill="EEECE1" w:themeFill="background2"/>
          </w:tcPr>
          <w:p w14:paraId="68BF5FAF" w14:textId="77777777" w:rsidR="001614C6" w:rsidRPr="006B42CD" w:rsidRDefault="001614C6" w:rsidP="00106D28">
            <w:pPr>
              <w:pStyle w:val="Tabletext"/>
              <w:rPr>
                <w:b/>
                <w:bCs/>
              </w:rPr>
            </w:pPr>
            <w:r w:rsidRPr="006B42CD">
              <w:rPr>
                <w:b/>
                <w:bCs/>
                <w:color w:val="000000"/>
              </w:rPr>
              <w:t>Structure prévisible des droits</w:t>
            </w:r>
          </w:p>
        </w:tc>
      </w:tr>
      <w:tr w:rsidR="001614C6" w:rsidRPr="006B42CD" w14:paraId="58E20309" w14:textId="77777777" w:rsidTr="00106D28">
        <w:tc>
          <w:tcPr>
            <w:tcW w:w="467" w:type="pct"/>
          </w:tcPr>
          <w:p w14:paraId="2FC41851" w14:textId="77777777" w:rsidR="001614C6" w:rsidRPr="006B42CD" w:rsidRDefault="001614C6" w:rsidP="00106D28">
            <w:pPr>
              <w:pStyle w:val="Tabletext"/>
            </w:pPr>
          </w:p>
        </w:tc>
        <w:tc>
          <w:tcPr>
            <w:tcW w:w="2503" w:type="pct"/>
          </w:tcPr>
          <w:p w14:paraId="10E5A23C" w14:textId="77777777" w:rsidR="001614C6" w:rsidRPr="006B42CD" w:rsidRDefault="001614C6" w:rsidP="00106D28">
            <w:pPr>
              <w:pStyle w:val="Tabletext"/>
            </w:pPr>
            <w:r w:rsidRPr="006B42CD">
              <w:rPr>
                <w:color w:val="000000"/>
              </w:rPr>
              <w:t>Les États Membres semblent convenir que les fluctuations importantes entravent la planification des réseaux à satellite.</w:t>
            </w:r>
          </w:p>
        </w:tc>
        <w:tc>
          <w:tcPr>
            <w:tcW w:w="2030" w:type="pct"/>
          </w:tcPr>
          <w:p w14:paraId="548DA439" w14:textId="77777777" w:rsidR="001614C6" w:rsidRPr="006B42CD" w:rsidRDefault="001614C6" w:rsidP="00106D28">
            <w:pPr>
              <w:pStyle w:val="Tabletext"/>
            </w:pPr>
            <w:r w:rsidRPr="006B42CD">
              <w:rPr>
                <w:color w:val="000000"/>
              </w:rPr>
              <w:t>L'UIT peut-elle proposer une autre solution qu'un ajustement annuel dans une perspective de planification à long terme?</w:t>
            </w:r>
          </w:p>
        </w:tc>
      </w:tr>
      <w:tr w:rsidR="001614C6" w:rsidRPr="006B42CD" w14:paraId="6EB5F77C" w14:textId="77777777" w:rsidTr="00106D28">
        <w:tc>
          <w:tcPr>
            <w:tcW w:w="5000" w:type="pct"/>
            <w:gridSpan w:val="3"/>
            <w:shd w:val="clear" w:color="auto" w:fill="EEECE1" w:themeFill="background2"/>
          </w:tcPr>
          <w:p w14:paraId="719B526C" w14:textId="77777777" w:rsidR="001614C6" w:rsidRPr="006B42CD" w:rsidRDefault="001614C6" w:rsidP="00106D28">
            <w:pPr>
              <w:pStyle w:val="Tabletext"/>
              <w:rPr>
                <w:b/>
                <w:bCs/>
              </w:rPr>
            </w:pPr>
            <w:r w:rsidRPr="006B42CD">
              <w:rPr>
                <w:b/>
                <w:bCs/>
                <w:color w:val="000000"/>
              </w:rPr>
              <w:t>Divers</w:t>
            </w:r>
          </w:p>
        </w:tc>
      </w:tr>
      <w:tr w:rsidR="001614C6" w:rsidRPr="006B42CD" w14:paraId="657DDDA2" w14:textId="77777777" w:rsidTr="00106D28">
        <w:tc>
          <w:tcPr>
            <w:tcW w:w="467" w:type="pct"/>
            <w:vMerge w:val="restart"/>
          </w:tcPr>
          <w:p w14:paraId="55E452CC" w14:textId="77777777" w:rsidR="001614C6" w:rsidRPr="006B42CD" w:rsidRDefault="001614C6" w:rsidP="00106D28">
            <w:pPr>
              <w:pStyle w:val="Tabletext"/>
            </w:pPr>
          </w:p>
        </w:tc>
        <w:tc>
          <w:tcPr>
            <w:tcW w:w="2503" w:type="pct"/>
          </w:tcPr>
          <w:p w14:paraId="3349349A" w14:textId="77777777" w:rsidR="001614C6" w:rsidRPr="006B42CD" w:rsidRDefault="001614C6" w:rsidP="00106D28">
            <w:pPr>
              <w:pStyle w:val="Tabletext"/>
            </w:pPr>
            <w:r w:rsidRPr="006B42CD">
              <w:rPr>
                <w:color w:val="000000"/>
              </w:rPr>
              <w:t>Certains points soulevés par les Membres pourraient dépasser les limites du mandat/pouvoir du GTC-FHR et devraient faire l'objet d'une décision de la Conférence de plénipotentiaires.</w:t>
            </w:r>
          </w:p>
        </w:tc>
        <w:tc>
          <w:tcPr>
            <w:tcW w:w="2030" w:type="pct"/>
          </w:tcPr>
          <w:p w14:paraId="1A73BF48" w14:textId="77777777" w:rsidR="001614C6" w:rsidRPr="006B42CD" w:rsidRDefault="001614C6" w:rsidP="00106D28">
            <w:pPr>
              <w:pStyle w:val="Tabletext"/>
            </w:pPr>
            <w:r w:rsidRPr="006B42CD">
              <w:rPr>
                <w:color w:val="000000"/>
              </w:rPr>
              <w:t>Quelles recommandations seront soumises au Conseil?</w:t>
            </w:r>
          </w:p>
        </w:tc>
      </w:tr>
      <w:tr w:rsidR="001614C6" w:rsidRPr="006B42CD" w14:paraId="2D983A32" w14:textId="77777777" w:rsidTr="00106D28">
        <w:tc>
          <w:tcPr>
            <w:tcW w:w="467" w:type="pct"/>
            <w:vMerge/>
          </w:tcPr>
          <w:p w14:paraId="28AC7DB3" w14:textId="77777777" w:rsidR="001614C6" w:rsidRPr="006B42CD" w:rsidRDefault="001614C6" w:rsidP="00106D28">
            <w:pPr>
              <w:pStyle w:val="Tabletext"/>
            </w:pPr>
          </w:p>
        </w:tc>
        <w:tc>
          <w:tcPr>
            <w:tcW w:w="2503" w:type="pct"/>
          </w:tcPr>
          <w:p w14:paraId="7C5EFA70" w14:textId="77777777" w:rsidR="001614C6" w:rsidRPr="006B42CD" w:rsidRDefault="001614C6" w:rsidP="00106D28">
            <w:pPr>
              <w:pStyle w:val="Tabletext"/>
            </w:pPr>
            <w:r w:rsidRPr="006B42CD">
              <w:rPr>
                <w:color w:val="000000"/>
              </w:rPr>
              <w:t>Avis mitigés – certains favorables, d'autres défavorables – concernant la réouverture des travaux du Groupe d'experts sur la Décision 482.</w:t>
            </w:r>
          </w:p>
        </w:tc>
        <w:tc>
          <w:tcPr>
            <w:tcW w:w="2030" w:type="pct"/>
          </w:tcPr>
          <w:p w14:paraId="62BAA6A7" w14:textId="77777777" w:rsidR="001614C6" w:rsidRPr="006B42CD" w:rsidRDefault="001614C6" w:rsidP="00106D28">
            <w:pPr>
              <w:pStyle w:val="Tabletext"/>
            </w:pPr>
            <w:r w:rsidRPr="006B42CD">
              <w:rPr>
                <w:color w:val="000000"/>
              </w:rPr>
              <w:t>Existe-t-il un plan d'urgence pour débloquer les 5,5 millions CHF de revenus différés au titre des fiches de notification des réseaux à satellite?</w:t>
            </w:r>
          </w:p>
        </w:tc>
      </w:tr>
      <w:tr w:rsidR="001614C6" w:rsidRPr="006B42CD" w14:paraId="5F8BD264" w14:textId="77777777" w:rsidTr="00106D28">
        <w:tc>
          <w:tcPr>
            <w:tcW w:w="467" w:type="pct"/>
            <w:vMerge/>
          </w:tcPr>
          <w:p w14:paraId="43FD6EB9" w14:textId="77777777" w:rsidR="001614C6" w:rsidRPr="006B42CD" w:rsidRDefault="001614C6" w:rsidP="00106D28">
            <w:pPr>
              <w:pStyle w:val="Tabletext"/>
            </w:pPr>
          </w:p>
        </w:tc>
        <w:tc>
          <w:tcPr>
            <w:tcW w:w="2503" w:type="pct"/>
          </w:tcPr>
          <w:p w14:paraId="6C8D91E3" w14:textId="77777777" w:rsidR="001614C6" w:rsidRPr="006B42CD" w:rsidRDefault="001614C6" w:rsidP="00106D28">
            <w:pPr>
              <w:pStyle w:val="Tabletext"/>
              <w:keepLines/>
            </w:pPr>
            <w:r w:rsidRPr="006B42CD">
              <w:rPr>
                <w:color w:val="000000"/>
              </w:rPr>
              <w:t>Il n'y a pas lieu d'inclure des contributions sur la gouvernance provenant des conférences et assemblées de l'UIT-T et de l'UIT-D. Proposer de limiter ces éléments à la Conférence de plénipotentiaires, au Conseil et à l'UIT-R.</w:t>
            </w:r>
          </w:p>
        </w:tc>
        <w:tc>
          <w:tcPr>
            <w:tcW w:w="2030" w:type="pct"/>
          </w:tcPr>
          <w:p w14:paraId="0E2293C6" w14:textId="77777777" w:rsidR="001614C6" w:rsidRPr="006B42CD" w:rsidRDefault="001614C6" w:rsidP="00106D28">
            <w:pPr>
              <w:pStyle w:val="Tabletext"/>
              <w:keepLines/>
            </w:pPr>
          </w:p>
        </w:tc>
      </w:tr>
      <w:tr w:rsidR="001614C6" w:rsidRPr="006B42CD" w14:paraId="43CBBCA5" w14:textId="77777777" w:rsidTr="00106D28">
        <w:tc>
          <w:tcPr>
            <w:tcW w:w="467" w:type="pct"/>
            <w:vMerge/>
          </w:tcPr>
          <w:p w14:paraId="121340C4" w14:textId="77777777" w:rsidR="001614C6" w:rsidRPr="006B42CD" w:rsidRDefault="001614C6" w:rsidP="00106D28">
            <w:pPr>
              <w:pStyle w:val="Tabletext"/>
            </w:pPr>
          </w:p>
        </w:tc>
        <w:tc>
          <w:tcPr>
            <w:tcW w:w="2503" w:type="pct"/>
          </w:tcPr>
          <w:p w14:paraId="07A84B0A" w14:textId="77777777" w:rsidR="001614C6" w:rsidRPr="006B42CD" w:rsidRDefault="001614C6" w:rsidP="00106D28">
            <w:pPr>
              <w:pStyle w:val="Tabletext"/>
            </w:pPr>
            <w:r w:rsidRPr="006B42CD">
              <w:rPr>
                <w:color w:val="000000"/>
              </w:rPr>
              <w:t xml:space="preserve">Recommandations visant à étayer le document du secrétariat en vue de la session de 2026 du Conseil </w:t>
            </w:r>
            <w:r w:rsidRPr="006B42CD">
              <w:rPr>
                <w:color w:val="000000"/>
              </w:rPr>
              <w:lastRenderedPageBreak/>
              <w:t>en y intégrant les éléments du rapport du CCI de 2025.</w:t>
            </w:r>
          </w:p>
        </w:tc>
        <w:tc>
          <w:tcPr>
            <w:tcW w:w="2030" w:type="pct"/>
          </w:tcPr>
          <w:p w14:paraId="5E537C13" w14:textId="77777777" w:rsidR="001614C6" w:rsidRPr="006B42CD" w:rsidRDefault="001614C6" w:rsidP="00106D28">
            <w:pPr>
              <w:pStyle w:val="Tabletext"/>
            </w:pPr>
          </w:p>
        </w:tc>
      </w:tr>
      <w:tr w:rsidR="001614C6" w:rsidRPr="006B42CD" w14:paraId="4094CB6E" w14:textId="77777777" w:rsidTr="00106D28">
        <w:tc>
          <w:tcPr>
            <w:tcW w:w="467" w:type="pct"/>
            <w:vMerge/>
          </w:tcPr>
          <w:p w14:paraId="7A10D450" w14:textId="77777777" w:rsidR="001614C6" w:rsidRPr="006B42CD" w:rsidRDefault="001614C6" w:rsidP="00106D28">
            <w:pPr>
              <w:pStyle w:val="Tabletext"/>
            </w:pPr>
          </w:p>
        </w:tc>
        <w:tc>
          <w:tcPr>
            <w:tcW w:w="2503" w:type="pct"/>
          </w:tcPr>
          <w:p w14:paraId="72AE011D" w14:textId="77777777" w:rsidR="001614C6" w:rsidRPr="006B42CD" w:rsidRDefault="001614C6" w:rsidP="00106D28">
            <w:pPr>
              <w:pStyle w:val="Tabletext"/>
            </w:pPr>
            <w:r w:rsidRPr="006B42CD">
              <w:rPr>
                <w:color w:val="000000"/>
              </w:rPr>
              <w:t>En matière de coûts indirects, l'approche des régulateurs nationaux et celle de l'UIT ne sont pas comparables.</w:t>
            </w:r>
          </w:p>
        </w:tc>
        <w:tc>
          <w:tcPr>
            <w:tcW w:w="2030" w:type="pct"/>
          </w:tcPr>
          <w:p w14:paraId="186D9FB6" w14:textId="77777777" w:rsidR="001614C6" w:rsidRPr="006B42CD" w:rsidRDefault="001614C6" w:rsidP="00106D28">
            <w:pPr>
              <w:pStyle w:val="Tabletext"/>
            </w:pPr>
          </w:p>
        </w:tc>
      </w:tr>
      <w:tr w:rsidR="001614C6" w:rsidRPr="006B42CD" w14:paraId="51B6BE91" w14:textId="77777777" w:rsidTr="00106D28">
        <w:tc>
          <w:tcPr>
            <w:tcW w:w="5000" w:type="pct"/>
            <w:gridSpan w:val="3"/>
            <w:shd w:val="clear" w:color="auto" w:fill="EEECE1" w:themeFill="background2"/>
          </w:tcPr>
          <w:p w14:paraId="274D0B49" w14:textId="77777777" w:rsidR="001614C6" w:rsidRPr="006B42CD" w:rsidRDefault="001614C6" w:rsidP="00106D28">
            <w:pPr>
              <w:pStyle w:val="Tabletext"/>
              <w:rPr>
                <w:b/>
                <w:bCs/>
              </w:rPr>
            </w:pPr>
            <w:r w:rsidRPr="006B42CD">
              <w:rPr>
                <w:b/>
                <w:bCs/>
                <w:color w:val="000000"/>
              </w:rPr>
              <w:t>Où vont les montants mis en recouvrement?</w:t>
            </w:r>
            <w:r w:rsidRPr="006B42CD">
              <w:rPr>
                <w:color w:val="000000"/>
              </w:rPr>
              <w:t xml:space="preserve"> </w:t>
            </w:r>
            <w:r w:rsidRPr="006B42CD">
              <w:rPr>
                <w:b/>
                <w:bCs/>
                <w:color w:val="000000"/>
              </w:rPr>
              <w:t>Ils doivent revenir au BR.</w:t>
            </w:r>
          </w:p>
        </w:tc>
      </w:tr>
    </w:tbl>
    <w:p w14:paraId="22E77F11" w14:textId="26026234" w:rsidR="00C7798A" w:rsidRPr="001614C6" w:rsidRDefault="00C7798A" w:rsidP="001614C6">
      <w:r w:rsidRPr="001614C6">
        <w:br w:type="page"/>
      </w:r>
    </w:p>
    <w:p w14:paraId="4692FDD3" w14:textId="23B8EF9D" w:rsidR="00C7798A" w:rsidRDefault="00C7798A" w:rsidP="00C7798A">
      <w:pPr>
        <w:pStyle w:val="AnnexNo"/>
      </w:pPr>
      <w:bookmarkStart w:id="5" w:name="Annex2"/>
      <w:r w:rsidRPr="00D37D17">
        <w:lastRenderedPageBreak/>
        <w:t>Annex</w:t>
      </w:r>
      <w:r>
        <w:t>E 2</w:t>
      </w:r>
    </w:p>
    <w:bookmarkEnd w:id="5"/>
    <w:p w14:paraId="592231D3" w14:textId="7EEDFE77" w:rsidR="00A52039" w:rsidRDefault="00A52039" w:rsidP="00A52039">
      <w:pPr>
        <w:pStyle w:val="Annextitle"/>
      </w:pPr>
      <w:r w:rsidRPr="00D37D17">
        <w:t>Extra</w:t>
      </w:r>
      <w:r>
        <w:t>it</w:t>
      </w:r>
      <w:r w:rsidRPr="00D37D17">
        <w:t xml:space="preserve"> </w:t>
      </w:r>
      <w:r w:rsidRPr="00A52039">
        <w:t>du rapport de la Présidente de la Commission permanente de l</w:t>
      </w:r>
      <w:r w:rsidR="00F244BE">
        <w:t>'</w:t>
      </w:r>
      <w:r w:rsidRPr="00A52039">
        <w:t xml:space="preserve">administration et de la gestion </w:t>
      </w:r>
      <w:r>
        <w:t xml:space="preserve">(Document </w:t>
      </w:r>
      <w:hyperlink r:id="rId36" w:history="1">
        <w:r w:rsidRPr="00663BD2">
          <w:rPr>
            <w:rStyle w:val="Hyperlink"/>
          </w:rPr>
          <w:t>C26/116</w:t>
        </w:r>
      </w:hyperlink>
      <w:r>
        <w:t>)</w:t>
      </w:r>
    </w:p>
    <w:p w14:paraId="7B91C2C9" w14:textId="0F26EB21" w:rsidR="00F244BE" w:rsidRPr="00386F72" w:rsidRDefault="00F244BE" w:rsidP="00F244BE">
      <w:pPr>
        <w:pStyle w:val="Heading1"/>
        <w:rPr>
          <w:szCs w:val="28"/>
        </w:rPr>
      </w:pPr>
      <w:r w:rsidRPr="00386F72">
        <w:rPr>
          <w:szCs w:val="28"/>
        </w:rPr>
        <w:t>3</w:t>
      </w:r>
      <w:r w:rsidRPr="00386F72">
        <w:rPr>
          <w:szCs w:val="28"/>
        </w:rPr>
        <w:tab/>
        <w:t>Rapport quadriennal du GTC-FHR (</w:t>
      </w:r>
      <w:r w:rsidRPr="00F244BE">
        <w:rPr>
          <w:szCs w:val="28"/>
        </w:rPr>
        <w:t>Documents</w:t>
      </w:r>
      <w:r w:rsidRPr="00F244BE">
        <w:rPr>
          <w:rFonts w:cs="Calibri"/>
          <w:szCs w:val="28"/>
        </w:rPr>
        <w:t xml:space="preserve"> </w:t>
      </w:r>
      <w:hyperlink r:id="rId37" w:history="1">
        <w:r w:rsidRPr="00F244BE">
          <w:rPr>
            <w:rStyle w:val="Hyperlink"/>
            <w:rFonts w:cs="Calibri"/>
            <w:szCs w:val="28"/>
          </w:rPr>
          <w:t>C26/53</w:t>
        </w:r>
      </w:hyperlink>
      <w:r w:rsidRPr="00FC08C1">
        <w:rPr>
          <w:rFonts w:eastAsiaTheme="minorHAnsi" w:cstheme="minorBidi"/>
          <w:szCs w:val="28"/>
        </w:rPr>
        <w:t xml:space="preserve"> et </w:t>
      </w:r>
      <w:hyperlink r:id="rId38" w:history="1">
        <w:r w:rsidRPr="00FC08C1">
          <w:rPr>
            <w:rStyle w:val="Hyperlink"/>
            <w:szCs w:val="28"/>
          </w:rPr>
          <w:t>C26/53(Rév.1)</w:t>
        </w:r>
      </w:hyperlink>
      <w:r w:rsidRPr="00386F72">
        <w:rPr>
          <w:szCs w:val="28"/>
        </w:rPr>
        <w:t>)</w:t>
      </w:r>
    </w:p>
    <w:p w14:paraId="21EA8CC9" w14:textId="06B10849" w:rsidR="00F244BE" w:rsidRPr="00386F72" w:rsidRDefault="00F244BE" w:rsidP="00F244BE">
      <w:pPr>
        <w:overflowPunct/>
        <w:autoSpaceDE/>
        <w:autoSpaceDN/>
        <w:adjustRightInd/>
        <w:textAlignment w:val="auto"/>
      </w:pPr>
      <w:r w:rsidRPr="00386F72">
        <w:t>3.1</w:t>
      </w:r>
      <w:r w:rsidRPr="00386F72">
        <w:tab/>
        <w:t>La Présidente du GTC-FHR a présenté le Document C26/53, qui contient un rapport quadriennal sur les activités du GTC-FHR, avec des liens vers les différents rapports soumis par le GTC</w:t>
      </w:r>
      <w:r>
        <w:noBreakHyphen/>
      </w:r>
      <w:r w:rsidRPr="00386F72">
        <w:t>FHR au cours de cette période, et donne un certain nombre de recommandations destinées à être examinées par le Conseil puis transmises, selon qu'il conviendra, à la Conférence de plénipotentiaires. Il est notamment recommandé de demander à la Conférence de plénipotentiaires de fournir des orientations sur la mise en œuvre de l'article 34 de la Convention afin de faciliter l'examen des méthodes d'estimation des coûts.</w:t>
      </w:r>
    </w:p>
    <w:p w14:paraId="3E27C6EC" w14:textId="77777777" w:rsidR="00F244BE" w:rsidRPr="00386F72" w:rsidRDefault="00F244BE" w:rsidP="00F244BE">
      <w:pPr>
        <w:overflowPunct/>
        <w:autoSpaceDE/>
        <w:autoSpaceDN/>
        <w:adjustRightInd/>
        <w:textAlignment w:val="auto"/>
      </w:pPr>
      <w:r w:rsidRPr="00386F72">
        <w:t>3.2</w:t>
      </w:r>
      <w:r w:rsidRPr="00386F72">
        <w:tab/>
        <w:t>Lors de la discussion qui a suivi, des conseillers ont souligné la charge de travail importante supportée par le GTC-FHR et la diversité des thèmes qu'il a traités au cours de ces quatre années. Ces thèmes étaient les questions administratives et financières, le projet de bâtiment du siège, les fiches de notification des réseaux à satellite, le renforcement de la présence régionale de l'Union et les questions relatives à l'éthique et au contrôle interne. Plusieurs conseillères ont fait savoir qu'elles étaient favorables à la poursuite des activités du GTC-FHR pendant les quatre prochaines années; certains conseillers ont souligné la nécessité de renforcer le GTC-FHR, notamment en actualisant ses méthodes de travail, en lui accordant davantage de temps pour ses réunions et en modifiant la Décision 11 (Rév. Bucarest, 2022) de la Conférence de plénipotentiaires. Ce travail pourrait être fait dans le cadre d'un réexamen des méthodes de travail de tous les groupes de travail du Conseil. Deux conseillers ont réitéré la proposition que soit créé un groupe de travail par correspondance permanent chargé de traiter certaines questions entre deux sessions, ce qui soulagerait le GTC-FHR d'une partie de sa charge. Un conseiller a insisté sur la nécessité de faire appliquer le principe d'inclusion et de surveillance par les États Membres au GTC-FHR et à ses travaux. Une autre conseillère a souligné qu'il était important de disposer de documents transparents, clairs et actualisés élaborés par le Secrétariat pour appuyer les discussions et les décisions du GTC-FHR.</w:t>
      </w:r>
    </w:p>
    <w:p w14:paraId="170725A7" w14:textId="77777777" w:rsidR="00F244BE" w:rsidRPr="00386F72" w:rsidRDefault="00F244BE" w:rsidP="00F244BE">
      <w:pPr>
        <w:overflowPunct/>
        <w:autoSpaceDE/>
        <w:autoSpaceDN/>
        <w:adjustRightInd/>
        <w:textAlignment w:val="auto"/>
      </w:pPr>
      <w:r w:rsidRPr="00386F72">
        <w:t>3.3</w:t>
      </w:r>
      <w:r w:rsidRPr="00386F72">
        <w:tab/>
        <w:t>Par la suite, la Présidente du GTC-FHR a présenté le Document C26/53(Rév.1), qui contient une version mise à jour du rapport, compte tenu des observations des conseillers.</w:t>
      </w:r>
    </w:p>
    <w:p w14:paraId="083C29F3" w14:textId="77777777" w:rsidR="00F244BE" w:rsidRPr="00386F72" w:rsidRDefault="00F244BE" w:rsidP="00F244BE">
      <w:pPr>
        <w:overflowPunct/>
        <w:autoSpaceDE/>
        <w:autoSpaceDN/>
        <w:adjustRightInd/>
        <w:spacing w:after="120"/>
        <w:textAlignment w:val="auto"/>
      </w:pPr>
      <w:r w:rsidRPr="00386F72">
        <w:t>3.4</w:t>
      </w:r>
      <w:r w:rsidRPr="00386F72">
        <w:tab/>
        <w:t xml:space="preserve">La Commission </w:t>
      </w:r>
      <w:r w:rsidRPr="00386F72">
        <w:rPr>
          <w:b/>
          <w:bCs/>
        </w:rPr>
        <w:t>est convenue</w:t>
      </w:r>
      <w:r w:rsidRPr="00386F72">
        <w:t xml:space="preserve"> de formuler les conclusions suivantes sur cette question:</w:t>
      </w:r>
    </w:p>
    <w:tbl>
      <w:tblPr>
        <w:tblStyle w:val="TableGrid"/>
        <w:tblW w:w="9214" w:type="dxa"/>
        <w:tblInd w:w="-147" w:type="dxa"/>
        <w:tblLook w:val="04A0" w:firstRow="1" w:lastRow="0" w:firstColumn="1" w:lastColumn="0" w:noHBand="0" w:noVBand="1"/>
      </w:tblPr>
      <w:tblGrid>
        <w:gridCol w:w="9214"/>
      </w:tblGrid>
      <w:tr w:rsidR="00F244BE" w:rsidRPr="00386F72" w14:paraId="13E1F501" w14:textId="77777777" w:rsidTr="00106D28">
        <w:tc>
          <w:tcPr>
            <w:tcW w:w="9214" w:type="dxa"/>
          </w:tcPr>
          <w:p w14:paraId="0721FE30" w14:textId="77777777" w:rsidR="00F244BE" w:rsidRPr="00386F72" w:rsidRDefault="00F244BE" w:rsidP="00106D28">
            <w:pPr>
              <w:tabs>
                <w:tab w:val="clear" w:pos="567"/>
                <w:tab w:val="left" w:pos="608"/>
              </w:tabs>
              <w:overflowPunct/>
              <w:autoSpaceDE/>
              <w:autoSpaceDN/>
              <w:adjustRightInd/>
              <w:ind w:left="41"/>
              <w:textAlignment w:val="auto"/>
            </w:pPr>
            <w:r w:rsidRPr="00386F72">
              <w:t>3.5</w:t>
            </w:r>
            <w:r w:rsidRPr="00386F72">
              <w:tab/>
              <w:t>La Commission recommande au Conseil:</w:t>
            </w:r>
          </w:p>
          <w:p w14:paraId="3E211FAD" w14:textId="1932F554" w:rsidR="00F244BE" w:rsidRPr="00386F72" w:rsidRDefault="00F244BE" w:rsidP="00106D28">
            <w:pPr>
              <w:tabs>
                <w:tab w:val="clear" w:pos="567"/>
                <w:tab w:val="left" w:pos="608"/>
              </w:tabs>
              <w:overflowPunct/>
              <w:autoSpaceDE/>
              <w:autoSpaceDN/>
              <w:adjustRightInd/>
              <w:spacing w:before="80"/>
              <w:ind w:left="567" w:hanging="526"/>
              <w:textAlignment w:val="auto"/>
            </w:pPr>
            <w:r w:rsidRPr="00386F72">
              <w:t>•</w:t>
            </w:r>
            <w:r w:rsidRPr="00386F72">
              <w:tab/>
              <w:t xml:space="preserve">de prendre note du rapport figurant dans le </w:t>
            </w:r>
            <w:r w:rsidRPr="00F244BE">
              <w:t xml:space="preserve">Document </w:t>
            </w:r>
            <w:hyperlink r:id="rId39" w:history="1">
              <w:r w:rsidRPr="00F244BE">
                <w:rPr>
                  <w:rStyle w:val="Hyperlink"/>
                </w:rPr>
                <w:t>C26/53(Rév.1)</w:t>
              </w:r>
            </w:hyperlink>
            <w:r w:rsidRPr="00386F72">
              <w:t>; et</w:t>
            </w:r>
          </w:p>
          <w:p w14:paraId="17C8F815" w14:textId="77777777" w:rsidR="00F244BE" w:rsidRPr="00386F72" w:rsidRDefault="00F244BE" w:rsidP="00106D28">
            <w:pPr>
              <w:tabs>
                <w:tab w:val="clear" w:pos="567"/>
                <w:tab w:val="left" w:pos="608"/>
              </w:tabs>
              <w:overflowPunct/>
              <w:autoSpaceDE/>
              <w:autoSpaceDN/>
              <w:adjustRightInd/>
              <w:spacing w:before="80" w:after="120"/>
              <w:ind w:left="567" w:hanging="526"/>
              <w:textAlignment w:val="auto"/>
            </w:pPr>
            <w:r w:rsidRPr="00386F72">
              <w:t>•</w:t>
            </w:r>
            <w:r w:rsidRPr="00386F72">
              <w:tab/>
              <w:t>de soumettre les recommandations qu'il contient à la Conférence de plénipotentiaires, selon qu'il conviendra, en particulier en ce qui concerne la poursuite des activités du GTC-FHR pendant les quatre prochaines années.</w:t>
            </w:r>
          </w:p>
        </w:tc>
      </w:tr>
    </w:tbl>
    <w:p w14:paraId="05964624" w14:textId="05526BCB" w:rsidR="00A52039" w:rsidRDefault="00A52039" w:rsidP="00F244BE">
      <w:r>
        <w:br w:type="page"/>
      </w:r>
    </w:p>
    <w:p w14:paraId="4E13764A" w14:textId="06215718" w:rsidR="00A52039" w:rsidRDefault="00A52039" w:rsidP="00A52039">
      <w:pPr>
        <w:pStyle w:val="AnnexNo"/>
      </w:pPr>
      <w:bookmarkStart w:id="6" w:name="Annex3"/>
      <w:r>
        <w:lastRenderedPageBreak/>
        <w:t>AnnexE 3</w:t>
      </w:r>
    </w:p>
    <w:bookmarkEnd w:id="6"/>
    <w:p w14:paraId="5BADDE62" w14:textId="3420C4A7" w:rsidR="00A52039" w:rsidRDefault="00A52039" w:rsidP="00A52039">
      <w:pPr>
        <w:pStyle w:val="Annextitle"/>
      </w:pPr>
      <w:r>
        <w:t xml:space="preserve">Extrait </w:t>
      </w:r>
      <w:r w:rsidRPr="00A52039">
        <w:t xml:space="preserve">du compte rendu de la neuvième séance plénière de la </w:t>
      </w:r>
      <w:r w:rsidR="00F244BE">
        <w:br/>
      </w:r>
      <w:r w:rsidRPr="00A52039">
        <w:t xml:space="preserve">session de 2026 du Conseil </w:t>
      </w:r>
      <w:r>
        <w:t xml:space="preserve">(Document </w:t>
      </w:r>
      <w:hyperlink r:id="rId40" w:history="1">
        <w:r>
          <w:rPr>
            <w:rStyle w:val="Hyperlink"/>
          </w:rPr>
          <w:t>C26/126</w:t>
        </w:r>
      </w:hyperlink>
      <w:r>
        <w:t>)</w:t>
      </w:r>
    </w:p>
    <w:p w14:paraId="06B8AECF" w14:textId="77777777" w:rsidR="00F244BE" w:rsidRDefault="00F244BE" w:rsidP="00F244BE">
      <w:r>
        <w:t>3.4</w:t>
      </w:r>
      <w:r>
        <w:tab/>
        <w:t xml:space="preserve">En conséquence, les recommandations suivantes sont </w:t>
      </w:r>
      <w:r>
        <w:rPr>
          <w:b/>
          <w:bCs/>
        </w:rPr>
        <w:t>approuvées</w:t>
      </w:r>
      <w:r>
        <w:t>:</w:t>
      </w:r>
    </w:p>
    <w:p w14:paraId="3D61C6B3" w14:textId="77777777" w:rsidR="00921143" w:rsidRDefault="00921143" w:rsidP="00921143">
      <w:pPr>
        <w:pStyle w:val="Headingb"/>
        <w:spacing w:after="120"/>
      </w:pPr>
      <w:r>
        <w:rPr>
          <w:szCs w:val="28"/>
        </w:rPr>
        <w:t xml:space="preserve">Rapport quadriennal du GTC-FHR (Documents </w:t>
      </w:r>
      <w:hyperlink r:id="rId41" w:history="1">
        <w:r>
          <w:rPr>
            <w:rStyle w:val="Hyperlink"/>
            <w:rFonts w:cs="Calibri"/>
            <w:szCs w:val="28"/>
          </w:rPr>
          <w:t>C26/53</w:t>
        </w:r>
      </w:hyperlink>
      <w:r>
        <w:rPr>
          <w:rFonts w:eastAsiaTheme="minorHAnsi" w:cstheme="minorBidi"/>
          <w:szCs w:val="28"/>
        </w:rPr>
        <w:t xml:space="preserve"> et </w:t>
      </w:r>
      <w:hyperlink r:id="rId42" w:history="1">
        <w:r>
          <w:rPr>
            <w:rStyle w:val="Hyperlink"/>
            <w:szCs w:val="28"/>
          </w:rPr>
          <w:t>C26/53(Rév.1)</w:t>
        </w:r>
      </w:hyperlink>
      <w:r>
        <w:t>)</w:t>
      </w:r>
    </w:p>
    <w:tbl>
      <w:tblPr>
        <w:tblStyle w:val="TableGrid"/>
        <w:tblW w:w="9312" w:type="dxa"/>
        <w:tblInd w:w="-103" w:type="dxa"/>
        <w:tblLook w:val="04A0" w:firstRow="1" w:lastRow="0" w:firstColumn="1" w:lastColumn="0" w:noHBand="0" w:noVBand="1"/>
      </w:tblPr>
      <w:tblGrid>
        <w:gridCol w:w="9312"/>
      </w:tblGrid>
      <w:tr w:rsidR="00921143" w:rsidRPr="00921143" w14:paraId="7AB36A31" w14:textId="77777777">
        <w:tc>
          <w:tcPr>
            <w:tcW w:w="9312" w:type="dxa"/>
            <w:tcBorders>
              <w:top w:val="single" w:sz="4" w:space="0" w:color="auto"/>
              <w:left w:val="single" w:sz="4" w:space="0" w:color="auto"/>
              <w:bottom w:val="single" w:sz="4" w:space="0" w:color="auto"/>
              <w:right w:val="single" w:sz="4" w:space="0" w:color="auto"/>
            </w:tcBorders>
            <w:hideMark/>
          </w:tcPr>
          <w:p w14:paraId="6B109DF0" w14:textId="77777777" w:rsidR="00921143" w:rsidRDefault="00921143">
            <w:pPr>
              <w:jc w:val="both"/>
            </w:pPr>
            <w:bookmarkStart w:id="7" w:name="_Hlk233123310"/>
            <w:r>
              <w:t>La Commission recommande au Conseil:</w:t>
            </w:r>
          </w:p>
          <w:p w14:paraId="7787E304" w14:textId="77777777" w:rsidR="00921143" w:rsidRDefault="00921143">
            <w:pPr>
              <w:pStyle w:val="enumlev1"/>
              <w:jc w:val="both"/>
            </w:pPr>
            <w:r>
              <w:t>•</w:t>
            </w:r>
            <w:r>
              <w:tab/>
              <w:t xml:space="preserve">de prendre note du rapport figurant dans le Document </w:t>
            </w:r>
            <w:hyperlink r:id="rId43" w:history="1">
              <w:r>
                <w:rPr>
                  <w:rStyle w:val="Hyperlink"/>
                </w:rPr>
                <w:t>C26/53(Rév.1)</w:t>
              </w:r>
            </w:hyperlink>
            <w:r>
              <w:t>; et</w:t>
            </w:r>
          </w:p>
          <w:p w14:paraId="331D00C6" w14:textId="77777777" w:rsidR="00921143" w:rsidRDefault="00921143">
            <w:pPr>
              <w:pStyle w:val="enumlev1"/>
              <w:spacing w:after="120"/>
              <w:jc w:val="both"/>
            </w:pPr>
            <w:r>
              <w:t>•</w:t>
            </w:r>
            <w:r>
              <w:tab/>
              <w:t>de soumettre les recommandations qu'il contient à la Conférence de plénipotentiaires, pour examen selon qu'il conviendra, en particulier en ce qui concerne la poursuite des activités du GTC-FHR pendant les quatre prochaines années.</w:t>
            </w:r>
          </w:p>
        </w:tc>
        <w:bookmarkEnd w:id="7"/>
      </w:tr>
    </w:tbl>
    <w:p w14:paraId="3B23B0E2" w14:textId="77777777" w:rsidR="005C15C7" w:rsidRDefault="005C15C7" w:rsidP="005C15C7"/>
    <w:p w14:paraId="2CAC9152" w14:textId="7C469734" w:rsidR="00CD5048" w:rsidRPr="00C7798A" w:rsidRDefault="00CD5048" w:rsidP="00F244BE">
      <w:pPr>
        <w:jc w:val="center"/>
      </w:pPr>
      <w:r>
        <w:t>______________</w:t>
      </w:r>
    </w:p>
    <w:sectPr w:rsidR="00CD5048" w:rsidRPr="00C7798A" w:rsidSect="003A0B7D">
      <w:headerReference w:type="default" r:id="rId44"/>
      <w:footerReference w:type="first" r:id="rId45"/>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B2870" w14:textId="77777777" w:rsidR="0030044F" w:rsidRDefault="0030044F">
      <w:r>
        <w:separator/>
      </w:r>
    </w:p>
  </w:endnote>
  <w:endnote w:type="continuationSeparator" w:id="0">
    <w:p w14:paraId="441C9CBE" w14:textId="77777777" w:rsidR="0030044F" w:rsidRDefault="00300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02DBDB4F"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7575CC" w:rsidRPr="00371863">
        <w:rPr>
          <w:rStyle w:val="Hyperlink"/>
          <w:color w:val="00A3E0"/>
          <w:sz w:val="22"/>
          <w:szCs w:val="22"/>
          <w:lang w:val="en-GB"/>
        </w:rPr>
        <w:t>www.itu.int</w:t>
      </w:r>
      <w:proofErr w:type="spellEnd"/>
      <w:r w:rsidR="007575CC" w:rsidRPr="00371863">
        <w:rPr>
          <w:rStyle w:val="Hyperlink"/>
          <w:color w:val="00A3E0"/>
          <w:sz w:val="22"/>
          <w:szCs w:val="22"/>
          <w:lang w:val="en-GB"/>
        </w:rPr>
        <w: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ACA36" w14:textId="77777777" w:rsidR="0030044F" w:rsidRDefault="0030044F">
      <w:r>
        <w:t>____________________</w:t>
      </w:r>
    </w:p>
  </w:footnote>
  <w:footnote w:type="continuationSeparator" w:id="0">
    <w:p w14:paraId="33CED1EF" w14:textId="77777777" w:rsidR="0030044F" w:rsidRDefault="003004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6A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50D8FD2" w14:textId="2106C1FA" w:rsidR="00BD1614" w:rsidRDefault="00BD1614" w:rsidP="001E2226">
    <w:pPr>
      <w:pStyle w:val="Header"/>
    </w:pPr>
    <w:r>
      <w:t>PP</w:t>
    </w:r>
    <w:r w:rsidR="002A7A1D">
      <w:t>2</w:t>
    </w:r>
    <w:r w:rsidR="008407A7">
      <w:t>6</w:t>
    </w:r>
    <w:r>
      <w:t>/</w:t>
    </w:r>
    <w:r w:rsidR="00E85C00">
      <w:t>40</w:t>
    </w:r>
    <w:r w:rsidR="00801154">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22EAC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E8C8D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1C2F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944AB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AFC2A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4CEFE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623F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6A6CB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103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3EE242"/>
    <w:lvl w:ilvl="0">
      <w:start w:val="1"/>
      <w:numFmt w:val="bullet"/>
      <w:lvlText w:val=""/>
      <w:lvlJc w:val="left"/>
      <w:pPr>
        <w:tabs>
          <w:tab w:val="num" w:pos="360"/>
        </w:tabs>
        <w:ind w:left="360" w:hanging="360"/>
      </w:pPr>
      <w:rPr>
        <w:rFonts w:ascii="Symbol" w:hAnsi="Symbol" w:hint="default"/>
      </w:rPr>
    </w:lvl>
  </w:abstractNum>
  <w:num w:numId="1" w16cid:durableId="214002046">
    <w:abstractNumId w:val="9"/>
  </w:num>
  <w:num w:numId="2" w16cid:durableId="943734316">
    <w:abstractNumId w:val="7"/>
  </w:num>
  <w:num w:numId="3" w16cid:durableId="1127820844">
    <w:abstractNumId w:val="6"/>
  </w:num>
  <w:num w:numId="4" w16cid:durableId="728040550">
    <w:abstractNumId w:val="5"/>
  </w:num>
  <w:num w:numId="5" w16cid:durableId="1314606200">
    <w:abstractNumId w:val="4"/>
  </w:num>
  <w:num w:numId="6" w16cid:durableId="434180963">
    <w:abstractNumId w:val="8"/>
  </w:num>
  <w:num w:numId="7" w16cid:durableId="511263982">
    <w:abstractNumId w:val="3"/>
  </w:num>
  <w:num w:numId="8" w16cid:durableId="2141604244">
    <w:abstractNumId w:val="2"/>
  </w:num>
  <w:num w:numId="9" w16cid:durableId="1893301144">
    <w:abstractNumId w:val="1"/>
  </w:num>
  <w:num w:numId="10" w16cid:durableId="1716544696">
    <w:abstractNumId w:val="0"/>
  </w:num>
  <w:num w:numId="11" w16cid:durableId="1627154145">
    <w:abstractNumId w:val="8"/>
  </w:num>
  <w:num w:numId="12" w16cid:durableId="172689918">
    <w:abstractNumId w:val="3"/>
  </w:num>
  <w:num w:numId="13" w16cid:durableId="1920405653">
    <w:abstractNumId w:val="2"/>
  </w:num>
  <w:num w:numId="14" w16cid:durableId="2074502917">
    <w:abstractNumId w:val="1"/>
  </w:num>
  <w:num w:numId="15" w16cid:durableId="273513829">
    <w:abstractNumId w:val="0"/>
  </w:num>
  <w:num w:numId="16" w16cid:durableId="1128930932">
    <w:abstractNumId w:val="8"/>
  </w:num>
  <w:num w:numId="17" w16cid:durableId="950431430">
    <w:abstractNumId w:val="3"/>
  </w:num>
  <w:num w:numId="18" w16cid:durableId="911238425">
    <w:abstractNumId w:val="2"/>
  </w:num>
  <w:num w:numId="19" w16cid:durableId="404109016">
    <w:abstractNumId w:val="1"/>
  </w:num>
  <w:num w:numId="20" w16cid:durableId="1490706918">
    <w:abstractNumId w:val="0"/>
  </w:num>
  <w:num w:numId="21" w16cid:durableId="935753501">
    <w:abstractNumId w:val="8"/>
  </w:num>
  <w:num w:numId="22" w16cid:durableId="900596185">
    <w:abstractNumId w:val="3"/>
  </w:num>
  <w:num w:numId="23" w16cid:durableId="744185805">
    <w:abstractNumId w:val="2"/>
  </w:num>
  <w:num w:numId="24" w16cid:durableId="1228807430">
    <w:abstractNumId w:val="1"/>
  </w:num>
  <w:num w:numId="25" w16cid:durableId="1003510007">
    <w:abstractNumId w:val="0"/>
  </w:num>
  <w:num w:numId="26" w16cid:durableId="461970637">
    <w:abstractNumId w:val="8"/>
  </w:num>
  <w:num w:numId="27" w16cid:durableId="86854074">
    <w:abstractNumId w:val="3"/>
  </w:num>
  <w:num w:numId="28" w16cid:durableId="1721897989">
    <w:abstractNumId w:val="2"/>
  </w:num>
  <w:num w:numId="29" w16cid:durableId="1240749862">
    <w:abstractNumId w:val="1"/>
  </w:num>
  <w:num w:numId="30" w16cid:durableId="1273706413">
    <w:abstractNumId w:val="0"/>
  </w:num>
  <w:num w:numId="31" w16cid:durableId="1879198882">
    <w:abstractNumId w:val="8"/>
  </w:num>
  <w:num w:numId="32" w16cid:durableId="690883739">
    <w:abstractNumId w:val="3"/>
  </w:num>
  <w:num w:numId="33" w16cid:durableId="1742868189">
    <w:abstractNumId w:val="2"/>
  </w:num>
  <w:num w:numId="34" w16cid:durableId="340546830">
    <w:abstractNumId w:val="1"/>
  </w:num>
  <w:num w:numId="35" w16cid:durableId="2141068931">
    <w:abstractNumId w:val="0"/>
  </w:num>
  <w:num w:numId="36" w16cid:durableId="38406781">
    <w:abstractNumId w:val="8"/>
  </w:num>
  <w:num w:numId="37" w16cid:durableId="170873582">
    <w:abstractNumId w:val="3"/>
  </w:num>
  <w:num w:numId="38" w16cid:durableId="1339504469">
    <w:abstractNumId w:val="2"/>
  </w:num>
  <w:num w:numId="39" w16cid:durableId="1293632431">
    <w:abstractNumId w:val="1"/>
  </w:num>
  <w:num w:numId="40" w16cid:durableId="754739664">
    <w:abstractNumId w:val="0"/>
  </w:num>
  <w:num w:numId="41" w16cid:durableId="1868786901">
    <w:abstractNumId w:val="8"/>
  </w:num>
  <w:num w:numId="42" w16cid:durableId="389966852">
    <w:abstractNumId w:val="3"/>
  </w:num>
  <w:num w:numId="43" w16cid:durableId="1548029496">
    <w:abstractNumId w:val="2"/>
  </w:num>
  <w:num w:numId="44" w16cid:durableId="1361321376">
    <w:abstractNumId w:val="1"/>
  </w:num>
  <w:num w:numId="45" w16cid:durableId="323629862">
    <w:abstractNumId w:val="0"/>
  </w:num>
  <w:num w:numId="46" w16cid:durableId="1320957766">
    <w:abstractNumId w:val="8"/>
  </w:num>
  <w:num w:numId="47" w16cid:durableId="1532958611">
    <w:abstractNumId w:val="3"/>
  </w:num>
  <w:num w:numId="48" w16cid:durableId="65037989">
    <w:abstractNumId w:val="2"/>
  </w:num>
  <w:num w:numId="49" w16cid:durableId="151609602">
    <w:abstractNumId w:val="1"/>
  </w:num>
  <w:num w:numId="50" w16cid:durableId="1547066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057FB"/>
    <w:rsid w:val="00060D74"/>
    <w:rsid w:val="00072D5C"/>
    <w:rsid w:val="0008398C"/>
    <w:rsid w:val="00084308"/>
    <w:rsid w:val="000B14B6"/>
    <w:rsid w:val="000C467B"/>
    <w:rsid w:val="000D15FB"/>
    <w:rsid w:val="000F58F7"/>
    <w:rsid w:val="001051E4"/>
    <w:rsid w:val="00114015"/>
    <w:rsid w:val="001354EA"/>
    <w:rsid w:val="00136FCE"/>
    <w:rsid w:val="00153BA4"/>
    <w:rsid w:val="001614C6"/>
    <w:rsid w:val="001941AD"/>
    <w:rsid w:val="0019732C"/>
    <w:rsid w:val="001A0682"/>
    <w:rsid w:val="001B4D8D"/>
    <w:rsid w:val="001C2B5C"/>
    <w:rsid w:val="001C3790"/>
    <w:rsid w:val="001D31B2"/>
    <w:rsid w:val="001E1B9B"/>
    <w:rsid w:val="001E2226"/>
    <w:rsid w:val="001F0B24"/>
    <w:rsid w:val="001F6233"/>
    <w:rsid w:val="002355CD"/>
    <w:rsid w:val="00270B2F"/>
    <w:rsid w:val="002712F9"/>
    <w:rsid w:val="0029120B"/>
    <w:rsid w:val="002A0E1B"/>
    <w:rsid w:val="002A7A1D"/>
    <w:rsid w:val="002C1059"/>
    <w:rsid w:val="002C2F9C"/>
    <w:rsid w:val="002E1AF7"/>
    <w:rsid w:val="002E657A"/>
    <w:rsid w:val="0030044F"/>
    <w:rsid w:val="0031495F"/>
    <w:rsid w:val="00322DEA"/>
    <w:rsid w:val="00345E9B"/>
    <w:rsid w:val="00355FBD"/>
    <w:rsid w:val="00371863"/>
    <w:rsid w:val="00381461"/>
    <w:rsid w:val="00391C12"/>
    <w:rsid w:val="00392160"/>
    <w:rsid w:val="003A0B7D"/>
    <w:rsid w:val="003A45C2"/>
    <w:rsid w:val="003A7FD6"/>
    <w:rsid w:val="003B7A11"/>
    <w:rsid w:val="003C4BE2"/>
    <w:rsid w:val="003D147D"/>
    <w:rsid w:val="003D637A"/>
    <w:rsid w:val="003E245B"/>
    <w:rsid w:val="00413CB9"/>
    <w:rsid w:val="00430015"/>
    <w:rsid w:val="00443AD7"/>
    <w:rsid w:val="004678D0"/>
    <w:rsid w:val="00482954"/>
    <w:rsid w:val="004951C0"/>
    <w:rsid w:val="004C7646"/>
    <w:rsid w:val="00524001"/>
    <w:rsid w:val="00563698"/>
    <w:rsid w:val="00564B63"/>
    <w:rsid w:val="00575DC7"/>
    <w:rsid w:val="005836C2"/>
    <w:rsid w:val="005A4EFD"/>
    <w:rsid w:val="005A5ABE"/>
    <w:rsid w:val="005C15C7"/>
    <w:rsid w:val="005C2ECC"/>
    <w:rsid w:val="005C6744"/>
    <w:rsid w:val="005E419E"/>
    <w:rsid w:val="005F63BD"/>
    <w:rsid w:val="00611CF1"/>
    <w:rsid w:val="006201D9"/>
    <w:rsid w:val="006277DB"/>
    <w:rsid w:val="00635B7B"/>
    <w:rsid w:val="006369A4"/>
    <w:rsid w:val="00655B98"/>
    <w:rsid w:val="006710E6"/>
    <w:rsid w:val="0068182D"/>
    <w:rsid w:val="00686973"/>
    <w:rsid w:val="00696B2D"/>
    <w:rsid w:val="006A2656"/>
    <w:rsid w:val="006A3475"/>
    <w:rsid w:val="006A6342"/>
    <w:rsid w:val="006B2235"/>
    <w:rsid w:val="006B6C9C"/>
    <w:rsid w:val="006C7AE3"/>
    <w:rsid w:val="006D55E8"/>
    <w:rsid w:val="006E1921"/>
    <w:rsid w:val="006F36F9"/>
    <w:rsid w:val="0070576B"/>
    <w:rsid w:val="00713335"/>
    <w:rsid w:val="00727C2F"/>
    <w:rsid w:val="00735F13"/>
    <w:rsid w:val="007575CC"/>
    <w:rsid w:val="007717F2"/>
    <w:rsid w:val="00772E3B"/>
    <w:rsid w:val="0078134C"/>
    <w:rsid w:val="007A47E9"/>
    <w:rsid w:val="007A5830"/>
    <w:rsid w:val="007D21FB"/>
    <w:rsid w:val="00801154"/>
    <w:rsid w:val="00801256"/>
    <w:rsid w:val="008264FC"/>
    <w:rsid w:val="008407A7"/>
    <w:rsid w:val="008703CB"/>
    <w:rsid w:val="008B61AF"/>
    <w:rsid w:val="008C33C2"/>
    <w:rsid w:val="008C6137"/>
    <w:rsid w:val="008E2DB4"/>
    <w:rsid w:val="008F2A95"/>
    <w:rsid w:val="00901DD5"/>
    <w:rsid w:val="00901E77"/>
    <w:rsid w:val="0090735B"/>
    <w:rsid w:val="00912D5E"/>
    <w:rsid w:val="00921143"/>
    <w:rsid w:val="00934340"/>
    <w:rsid w:val="00956DC7"/>
    <w:rsid w:val="00966CD3"/>
    <w:rsid w:val="009724CE"/>
    <w:rsid w:val="00987A20"/>
    <w:rsid w:val="00995DF5"/>
    <w:rsid w:val="009A0E15"/>
    <w:rsid w:val="009D4037"/>
    <w:rsid w:val="009F0592"/>
    <w:rsid w:val="009F085A"/>
    <w:rsid w:val="00A20E72"/>
    <w:rsid w:val="00A246DC"/>
    <w:rsid w:val="00A4494F"/>
    <w:rsid w:val="00A47BAF"/>
    <w:rsid w:val="00A52039"/>
    <w:rsid w:val="00A542D3"/>
    <w:rsid w:val="00A5784F"/>
    <w:rsid w:val="00A8436E"/>
    <w:rsid w:val="00A95B66"/>
    <w:rsid w:val="00AB190D"/>
    <w:rsid w:val="00AC4797"/>
    <w:rsid w:val="00AE0667"/>
    <w:rsid w:val="00B23CD4"/>
    <w:rsid w:val="00B41E0A"/>
    <w:rsid w:val="00B56DE0"/>
    <w:rsid w:val="00B71F12"/>
    <w:rsid w:val="00B76FEC"/>
    <w:rsid w:val="00B87749"/>
    <w:rsid w:val="00B96B1E"/>
    <w:rsid w:val="00BB2A6F"/>
    <w:rsid w:val="00BD1614"/>
    <w:rsid w:val="00BD382C"/>
    <w:rsid w:val="00BD5C12"/>
    <w:rsid w:val="00BD5DA6"/>
    <w:rsid w:val="00BF7D25"/>
    <w:rsid w:val="00C010C0"/>
    <w:rsid w:val="00C0405F"/>
    <w:rsid w:val="00C40CB5"/>
    <w:rsid w:val="00C54CE6"/>
    <w:rsid w:val="00C575E2"/>
    <w:rsid w:val="00C7368B"/>
    <w:rsid w:val="00C7798A"/>
    <w:rsid w:val="00C92746"/>
    <w:rsid w:val="00CC4DC5"/>
    <w:rsid w:val="00CD5048"/>
    <w:rsid w:val="00CE1A7C"/>
    <w:rsid w:val="00CE496F"/>
    <w:rsid w:val="00D0464B"/>
    <w:rsid w:val="00D12C74"/>
    <w:rsid w:val="00D2263F"/>
    <w:rsid w:val="00D47A32"/>
    <w:rsid w:val="00D56483"/>
    <w:rsid w:val="00D5658F"/>
    <w:rsid w:val="00D56AD6"/>
    <w:rsid w:val="00D70019"/>
    <w:rsid w:val="00D74B58"/>
    <w:rsid w:val="00D82ABE"/>
    <w:rsid w:val="00DA4ABA"/>
    <w:rsid w:val="00DA685B"/>
    <w:rsid w:val="00DA742B"/>
    <w:rsid w:val="00DB07DD"/>
    <w:rsid w:val="00DF25C1"/>
    <w:rsid w:val="00DF48F7"/>
    <w:rsid w:val="00DF4964"/>
    <w:rsid w:val="00DF4D73"/>
    <w:rsid w:val="00DF79B0"/>
    <w:rsid w:val="00E1047D"/>
    <w:rsid w:val="00E4050B"/>
    <w:rsid w:val="00E443FA"/>
    <w:rsid w:val="00E54FCE"/>
    <w:rsid w:val="00E60DA1"/>
    <w:rsid w:val="00E85C00"/>
    <w:rsid w:val="00E921A2"/>
    <w:rsid w:val="00E93D35"/>
    <w:rsid w:val="00EA45DB"/>
    <w:rsid w:val="00EC1877"/>
    <w:rsid w:val="00ED2CD9"/>
    <w:rsid w:val="00F07DA7"/>
    <w:rsid w:val="00F244BE"/>
    <w:rsid w:val="00F3254F"/>
    <w:rsid w:val="00F564C1"/>
    <w:rsid w:val="00F77FA2"/>
    <w:rsid w:val="00F8357A"/>
    <w:rsid w:val="00FA1B77"/>
    <w:rsid w:val="00FA6F99"/>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qFormat/>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qFormat/>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table" w:styleId="TableGrid">
    <w:name w:val="Table Grid"/>
    <w:basedOn w:val="TableNormal"/>
    <w:uiPriority w:val="39"/>
    <w:rsid w:val="003E24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
    <w:name w:val="Sub_title"/>
    <w:basedOn w:val="Normal"/>
    <w:qFormat/>
    <w:rsid w:val="001614C6"/>
    <w:pPr>
      <w:framePr w:hSpace="180" w:wrap="around" w:hAnchor="page" w:x="1821" w:y="2317"/>
      <w:spacing w:after="160"/>
    </w:pPr>
    <w:rPr>
      <w:sz w:val="34"/>
      <w:lang w:val="en-GB"/>
    </w:rPr>
  </w:style>
  <w:style w:type="paragraph" w:customStyle="1" w:styleId="Referencetext">
    <w:name w:val="Reference_text"/>
    <w:basedOn w:val="Normal"/>
    <w:rsid w:val="001614C6"/>
    <w:pPr>
      <w:framePr w:hSpace="181" w:wrap="around" w:vAnchor="page" w:hAnchor="page" w:x="1589" w:y="2314"/>
      <w:spacing w:after="160"/>
    </w:pPr>
    <w:rPr>
      <w:i/>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www.itu.int/en/council/cwg-fhr/Pages/default.aspx" TargetMode="External"/><Relationship Id="rId18" Type="http://schemas.openxmlformats.org/officeDocument/2006/relationships/hyperlink" Target="https://www.itu.int/md/S23-CL-C-0129/fr" TargetMode="External"/><Relationship Id="rId26" Type="http://schemas.openxmlformats.org/officeDocument/2006/relationships/hyperlink" Target="http://www.itu.int/md/S24-CWGFHR18-C-0009/fr" TargetMode="External"/><Relationship Id="rId39" Type="http://schemas.openxmlformats.org/officeDocument/2006/relationships/hyperlink" Target="https://www.itu.int/md/S26-CL-C-0053/fr" TargetMode="External"/><Relationship Id="rId21" Type="http://schemas.openxmlformats.org/officeDocument/2006/relationships/hyperlink" Target="https://www.itu.int/md/S23-CL-C-0129/en" TargetMode="External"/><Relationship Id="rId34" Type="http://schemas.openxmlformats.org/officeDocument/2006/relationships/hyperlink" Target="http://www.itu.int/md/S26-CWGFHR22-C-0036/fr" TargetMode="External"/><Relationship Id="rId42" Type="http://schemas.openxmlformats.org/officeDocument/2006/relationships/hyperlink" Target="https://www.itu.int/md/S26-CL-C-0053/fr" TargetMode="External"/><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1.xml"/><Relationship Id="rId16" Type="http://schemas.openxmlformats.org/officeDocument/2006/relationships/image" Target="media/image2.png"/><Relationship Id="rId29" Type="http://schemas.openxmlformats.org/officeDocument/2006/relationships/hyperlink" Target="http://www.itu.int/md/S24-CWGFHR19-C-0015/en" TargetMode="Externa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s://www.itu.int/en/council/Documents/basic-texts-2023/DEC-011-F.pdf" TargetMode="External"/><Relationship Id="rId24" Type="http://schemas.openxmlformats.org/officeDocument/2006/relationships/hyperlink" Target="http://www.itu.int/md/S24-CWGFHR17-C-0024/fr" TargetMode="External"/><Relationship Id="rId32" Type="http://schemas.openxmlformats.org/officeDocument/2006/relationships/hyperlink" Target="http://www.itu.int/md/S25-CWGFHR21-C-0025/fr" TargetMode="External"/><Relationship Id="rId37" Type="http://schemas.openxmlformats.org/officeDocument/2006/relationships/hyperlink" Target="https://www.itu.int/md/S26-CL-C-0053/fr" TargetMode="External"/><Relationship Id="rId40" Type="http://schemas.openxmlformats.org/officeDocument/2006/relationships/hyperlink" Target="https://www.itu.int/md/S26-CL-C-0126/fr" TargetMode="External"/><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www.itu.int/md/S26-CL-C-0053/fr" TargetMode="External"/><Relationship Id="rId23" Type="http://schemas.openxmlformats.org/officeDocument/2006/relationships/hyperlink" Target="http://www.itu.int/md/S23-CWGFHR16-C-0026/en" TargetMode="External"/><Relationship Id="rId28" Type="http://schemas.openxmlformats.org/officeDocument/2006/relationships/hyperlink" Target="http://www.itu.int/md/S24-CWGFHR19-C-0015/fr" TargetMode="External"/><Relationship Id="rId36" Type="http://schemas.openxmlformats.org/officeDocument/2006/relationships/hyperlink" Target="https://www.itu.int/md/S26-CL-C-0116/fr" TargetMode="External"/><Relationship Id="rId10" Type="http://schemas.openxmlformats.org/officeDocument/2006/relationships/hyperlink" Target="https://www.itu.int/md/S26-CL-C-0053/en" TargetMode="External"/><Relationship Id="rId19" Type="http://schemas.openxmlformats.org/officeDocument/2006/relationships/hyperlink" Target="https://www.itu.int/en/council/cwg-fhr/Pages/default.aspx" TargetMode="External"/><Relationship Id="rId31" Type="http://schemas.openxmlformats.org/officeDocument/2006/relationships/hyperlink" Target="http://www.itu.int/md/S25-CWGFHR20-C-0032/en" TargetMode="External"/><Relationship Id="rId44"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itu.int/md/S26-CL-C-0053/fr" TargetMode="External"/><Relationship Id="rId22" Type="http://schemas.openxmlformats.org/officeDocument/2006/relationships/hyperlink" Target="https://www.itu.int/md/S23-CWGFHR16-C-0026/fr" TargetMode="External"/><Relationship Id="rId27" Type="http://schemas.openxmlformats.org/officeDocument/2006/relationships/hyperlink" Target="http://www.itu.int/md/S24-CWGFHR18-C-0009/en" TargetMode="External"/><Relationship Id="rId30" Type="http://schemas.openxmlformats.org/officeDocument/2006/relationships/hyperlink" Target="http://www.itu.int/md/S25-CWGFHR20-C-0032/" TargetMode="External"/><Relationship Id="rId35" Type="http://schemas.openxmlformats.org/officeDocument/2006/relationships/hyperlink" Target="http://www.itu.int/md/S26-CWGFHR22-C-0036/en" TargetMode="External"/><Relationship Id="rId43" Type="http://schemas.openxmlformats.org/officeDocument/2006/relationships/hyperlink" Target="https://www.itu.int/md/S26-CL-C-0053/fr"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www.itu.int/md/S23-CL-C-0129/fr" TargetMode="External"/><Relationship Id="rId17" Type="http://schemas.openxmlformats.org/officeDocument/2006/relationships/hyperlink" Target="https://www.itu.int/en/council/Documents/basic-texts-2023/DEC-011-F.pdf" TargetMode="External"/><Relationship Id="rId25" Type="http://schemas.openxmlformats.org/officeDocument/2006/relationships/hyperlink" Target="http://www.itu.int/md/S24-CWGFHR17-C-0024/en" TargetMode="External"/><Relationship Id="rId33" Type="http://schemas.openxmlformats.org/officeDocument/2006/relationships/hyperlink" Target="http://www.itu.int/md/S25-CWGFHR21-C-0025/en" TargetMode="External"/><Relationship Id="rId38" Type="http://schemas.openxmlformats.org/officeDocument/2006/relationships/hyperlink" Target="https://www.itu.int/md/S26-CL-C-0053/fr" TargetMode="External"/><Relationship Id="rId46" Type="http://schemas.openxmlformats.org/officeDocument/2006/relationships/fontTable" Target="fontTable.xml"/><Relationship Id="rId20" Type="http://schemas.openxmlformats.org/officeDocument/2006/relationships/hyperlink" Target="https://www.itu.int/md/S23-CL-C-0129/fr" TargetMode="External"/><Relationship Id="rId41" Type="http://schemas.openxmlformats.org/officeDocument/2006/relationships/hyperlink" Target="https://www.itu.int/md/S26-CL-C-0053/f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E4EE4-4DFF-460F-AAA6-9F44C97F2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3488</Words>
  <Characters>19469</Characters>
  <Application>Microsoft Office Word</Application>
  <DocSecurity>0</DocSecurity>
  <Lines>452</Lines>
  <Paragraphs>191</Paragraphs>
  <ScaleCrop>false</ScaleCrop>
  <HeadingPairs>
    <vt:vector size="2" baseType="variant">
      <vt:variant>
        <vt:lpstr>Title</vt:lpstr>
      </vt:variant>
      <vt:variant>
        <vt:i4>1</vt:i4>
      </vt:variant>
    </vt:vector>
  </HeadingPairs>
  <TitlesOfParts>
    <vt:vector size="1" baseType="lpstr">
      <vt:lpstr>Rapport du Conseil - Rapport quadriennal du Groupe de travail du Conseil sur les ressources financières et les ressources humaines</vt:lpstr>
    </vt:vector>
  </TitlesOfParts>
  <Manager/>
  <Company/>
  <LinksUpToDate>false</LinksUpToDate>
  <CharactersWithSpaces>22766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Conseil - Rapport quadriennal du Groupe de travail du Conseil sur les ressources financières et les ressources humaines</dc:title>
  <dc:subject>ITU Plenipotentiary Conference (PP-26)</dc:subject>
  <cp:keywords>PP-26, PP26, ITU</cp:keywords>
  <dc:description/>
  <dcterms:created xsi:type="dcterms:W3CDTF">2026-10-08T07:57:00Z</dcterms:created>
  <dcterms:modified xsi:type="dcterms:W3CDTF">2026-10-08T08:01:00Z</dcterms:modified>
  <cp:category>Conference document</cp:category>
</cp:coreProperties>
</file>