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675"/>
        <w:tblW w:w="10031" w:type="dxa"/>
        <w:jc w:val="center"/>
        <w:tblLayout w:type="fixed"/>
        <w:tblLook w:val="0000" w:firstRow="0" w:lastRow="0" w:firstColumn="0" w:lastColumn="0" w:noHBand="0" w:noVBand="0"/>
      </w:tblPr>
      <w:tblGrid>
        <w:gridCol w:w="7230"/>
        <w:gridCol w:w="2801"/>
      </w:tblGrid>
      <w:tr w:rsidR="00161CDA" w14:paraId="7179E6B8" w14:textId="77777777" w:rsidTr="00C70164">
        <w:trPr>
          <w:cantSplit/>
          <w:jc w:val="center"/>
        </w:trPr>
        <w:tc>
          <w:tcPr>
            <w:tcW w:w="10031" w:type="dxa"/>
            <w:gridSpan w:val="2"/>
            <w:tcMar>
              <w:left w:w="0" w:type="dxa"/>
              <w:right w:w="0" w:type="dxa"/>
            </w:tcMar>
            <w:vAlign w:val="center"/>
          </w:tcPr>
          <w:p w14:paraId="6EC75E4F" w14:textId="77777777" w:rsidR="00161CDA" w:rsidRPr="00D96B4B" w:rsidRDefault="00AF0849" w:rsidP="00AF0849">
            <w:pPr>
              <w:spacing w:before="0" w:line="240" w:lineRule="atLeast"/>
              <w:rPr>
                <w:rFonts w:cstheme="minorHAnsi"/>
              </w:rPr>
            </w:pPr>
            <w:r>
              <w:rPr>
                <w:rFonts w:cstheme="minorHAnsi"/>
                <w:noProof/>
              </w:rPr>
              <w:drawing>
                <wp:anchor distT="0" distB="0" distL="0" distR="0" simplePos="0" relativeHeight="251658240" behindDoc="1" locked="0" layoutInCell="1" allowOverlap="1" wp14:anchorId="1495D2E4" wp14:editId="52C83F3B">
                  <wp:simplePos x="0" y="0"/>
                  <wp:positionH relativeFrom="column">
                    <wp:posOffset>0</wp:posOffset>
                  </wp:positionH>
                  <wp:positionV relativeFrom="paragraph">
                    <wp:posOffset>-10795</wp:posOffset>
                  </wp:positionV>
                  <wp:extent cx="6670800" cy="972000"/>
                  <wp:effectExtent l="0" t="0" r="0" b="0"/>
                  <wp:wrapTight wrapText="bothSides">
                    <wp:wrapPolygon edited="0">
                      <wp:start x="123" y="1694"/>
                      <wp:lineTo x="0" y="9318"/>
                      <wp:lineTo x="0" y="12282"/>
                      <wp:lineTo x="247" y="17365"/>
                      <wp:lineTo x="1049" y="18212"/>
                      <wp:lineTo x="2221" y="19059"/>
                      <wp:lineTo x="2529" y="19059"/>
                      <wp:lineTo x="4688" y="17365"/>
                      <wp:lineTo x="15730" y="16094"/>
                      <wp:lineTo x="17765" y="15247"/>
                      <wp:lineTo x="17704" y="7200"/>
                      <wp:lineTo x="15483" y="6353"/>
                      <wp:lineTo x="432" y="1694"/>
                      <wp:lineTo x="123" y="1694"/>
                    </wp:wrapPolygon>
                  </wp:wrapTight>
                  <wp:docPr id="14114694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469422" name="Picture 1411469422"/>
                          <pic:cNvPicPr/>
                        </pic:nvPicPr>
                        <pic:blipFill>
                          <a:blip r:embed="rId9">
                            <a:extLst>
                              <a:ext uri="{28A0092B-C50C-407E-A947-70E740481C1C}">
                                <a14:useLocalDpi xmlns:a14="http://schemas.microsoft.com/office/drawing/2010/main" val="0"/>
                              </a:ext>
                            </a:extLst>
                          </a:blip>
                          <a:stretch>
                            <a:fillRect/>
                          </a:stretch>
                        </pic:blipFill>
                        <pic:spPr>
                          <a:xfrm>
                            <a:off x="0" y="0"/>
                            <a:ext cx="6670800" cy="972000"/>
                          </a:xfrm>
                          <a:prstGeom prst="rect">
                            <a:avLst/>
                          </a:prstGeom>
                        </pic:spPr>
                      </pic:pic>
                    </a:graphicData>
                  </a:graphic>
                  <wp14:sizeRelH relativeFrom="margin">
                    <wp14:pctWidth>0</wp14:pctWidth>
                  </wp14:sizeRelH>
                  <wp14:sizeRelV relativeFrom="margin">
                    <wp14:pctHeight>0</wp14:pctHeight>
                  </wp14:sizeRelV>
                </wp:anchor>
              </w:drawing>
            </w:r>
          </w:p>
        </w:tc>
      </w:tr>
      <w:tr w:rsidR="00EF3B7A" w:rsidRPr="00617BE4" w14:paraId="3044198E" w14:textId="77777777" w:rsidTr="00C70164">
        <w:trPr>
          <w:cantSplit/>
          <w:trHeight w:val="283"/>
          <w:jc w:val="center"/>
        </w:trPr>
        <w:tc>
          <w:tcPr>
            <w:tcW w:w="10031" w:type="dxa"/>
            <w:gridSpan w:val="2"/>
            <w:tcBorders>
              <w:bottom w:val="single" w:sz="12" w:space="0" w:color="71716F"/>
            </w:tcBorders>
          </w:tcPr>
          <w:p w14:paraId="6C9521F1" w14:textId="77777777" w:rsidR="00EF3B7A" w:rsidRPr="00D96B4B" w:rsidRDefault="00EF3B7A" w:rsidP="000B596F">
            <w:pPr>
              <w:spacing w:before="0"/>
              <w:rPr>
                <w:rFonts w:cstheme="minorHAnsi"/>
                <w:szCs w:val="24"/>
              </w:rPr>
            </w:pPr>
            <w:bookmarkStart w:id="0" w:name="ditulogo"/>
            <w:bookmarkStart w:id="1" w:name="dhead"/>
            <w:bookmarkEnd w:id="0"/>
          </w:p>
        </w:tc>
      </w:tr>
      <w:tr w:rsidR="001A16ED" w:rsidRPr="00C324A8" w14:paraId="4EFCF004" w14:textId="77777777" w:rsidTr="00C70164">
        <w:trPr>
          <w:cantSplit/>
          <w:trHeight w:val="255"/>
          <w:jc w:val="center"/>
        </w:trPr>
        <w:tc>
          <w:tcPr>
            <w:tcW w:w="7230" w:type="dxa"/>
            <w:tcBorders>
              <w:top w:val="single" w:sz="12" w:space="0" w:color="71716F"/>
            </w:tcBorders>
          </w:tcPr>
          <w:p w14:paraId="3F9531EE" w14:textId="77777777" w:rsidR="001A16ED" w:rsidRPr="00D96B4B" w:rsidRDefault="001A16ED" w:rsidP="000B596F">
            <w:pPr>
              <w:spacing w:before="0"/>
              <w:rPr>
                <w:rFonts w:cstheme="minorHAnsi"/>
                <w:b/>
                <w:smallCaps/>
                <w:sz w:val="20"/>
              </w:rPr>
            </w:pPr>
          </w:p>
        </w:tc>
        <w:tc>
          <w:tcPr>
            <w:tcW w:w="2801" w:type="dxa"/>
            <w:tcBorders>
              <w:top w:val="single" w:sz="12" w:space="0" w:color="71716F"/>
            </w:tcBorders>
            <w:tcMar>
              <w:right w:w="0" w:type="dxa"/>
            </w:tcMar>
          </w:tcPr>
          <w:p w14:paraId="59A94D07" w14:textId="77777777" w:rsidR="001A16ED" w:rsidRPr="00D96B4B" w:rsidRDefault="001A16ED" w:rsidP="000B596F">
            <w:pPr>
              <w:spacing w:before="0"/>
              <w:rPr>
                <w:rFonts w:cstheme="minorHAnsi"/>
                <w:sz w:val="20"/>
              </w:rPr>
            </w:pPr>
          </w:p>
        </w:tc>
      </w:tr>
      <w:tr w:rsidR="001A16ED" w:rsidRPr="00C324A8" w14:paraId="0195B588" w14:textId="77777777" w:rsidTr="00C70164">
        <w:trPr>
          <w:cantSplit/>
          <w:trHeight w:val="23"/>
          <w:jc w:val="center"/>
        </w:trPr>
        <w:tc>
          <w:tcPr>
            <w:tcW w:w="7230" w:type="dxa"/>
          </w:tcPr>
          <w:p w14:paraId="5890A790" w14:textId="77777777" w:rsidR="001A16ED" w:rsidRPr="00D96B4B" w:rsidRDefault="00E844D5" w:rsidP="000B596F">
            <w:pPr>
              <w:pStyle w:val="Committee"/>
              <w:spacing w:after="0"/>
            </w:pPr>
            <w:bookmarkStart w:id="2" w:name="dnum" w:colFirst="1" w:colLast="1"/>
            <w:bookmarkStart w:id="3" w:name="dmeeting" w:colFirst="0" w:colLast="0"/>
            <w:bookmarkEnd w:id="1"/>
            <w:r>
              <w:t>PLENARY MEETING</w:t>
            </w:r>
          </w:p>
        </w:tc>
        <w:tc>
          <w:tcPr>
            <w:tcW w:w="2801" w:type="dxa"/>
            <w:tcMar>
              <w:right w:w="0" w:type="dxa"/>
            </w:tcMar>
          </w:tcPr>
          <w:p w14:paraId="40791E8C" w14:textId="77777777" w:rsidR="001A16ED" w:rsidRPr="00F44B1A" w:rsidRDefault="001A16ED" w:rsidP="000B596F">
            <w:pPr>
              <w:tabs>
                <w:tab w:val="left" w:pos="851"/>
              </w:tabs>
              <w:spacing w:before="0"/>
              <w:rPr>
                <w:rFonts w:cstheme="minorHAnsi"/>
                <w:b/>
                <w:szCs w:val="24"/>
              </w:rPr>
            </w:pPr>
            <w:r>
              <w:rPr>
                <w:rFonts w:cstheme="minorHAnsi"/>
                <w:b/>
                <w:szCs w:val="24"/>
              </w:rPr>
              <w:t>Document 35</w:t>
            </w:r>
            <w:r w:rsidR="00F44B1A" w:rsidRPr="00F44B1A">
              <w:rPr>
                <w:rFonts w:cstheme="minorHAnsi"/>
                <w:b/>
                <w:szCs w:val="24"/>
              </w:rPr>
              <w:t>-E</w:t>
            </w:r>
          </w:p>
        </w:tc>
      </w:tr>
      <w:tr w:rsidR="001A16ED" w:rsidRPr="00C324A8" w14:paraId="39ED2692" w14:textId="77777777" w:rsidTr="00C70164">
        <w:trPr>
          <w:cantSplit/>
          <w:trHeight w:val="23"/>
          <w:jc w:val="center"/>
        </w:trPr>
        <w:tc>
          <w:tcPr>
            <w:tcW w:w="7230" w:type="dxa"/>
          </w:tcPr>
          <w:p w14:paraId="6761DF9F" w14:textId="77777777" w:rsidR="001A16ED" w:rsidRPr="00841AB4" w:rsidRDefault="001A16ED" w:rsidP="000B596F">
            <w:pPr>
              <w:tabs>
                <w:tab w:val="left" w:pos="851"/>
              </w:tabs>
              <w:spacing w:before="0"/>
              <w:rPr>
                <w:rFonts w:asciiTheme="minorHAnsi" w:hAnsiTheme="minorHAnsi" w:cstheme="minorHAnsi"/>
                <w:b/>
                <w:szCs w:val="24"/>
              </w:rPr>
            </w:pPr>
            <w:bookmarkStart w:id="4" w:name="ddate" w:colFirst="1" w:colLast="1"/>
            <w:bookmarkStart w:id="5" w:name="dblank" w:colFirst="0" w:colLast="0"/>
            <w:bookmarkEnd w:id="2"/>
            <w:bookmarkEnd w:id="3"/>
          </w:p>
        </w:tc>
        <w:tc>
          <w:tcPr>
            <w:tcW w:w="2801" w:type="dxa"/>
            <w:tcMar>
              <w:right w:w="0" w:type="dxa"/>
            </w:tcMar>
          </w:tcPr>
          <w:p w14:paraId="30CCBFF7" w14:textId="77777777" w:rsidR="001A16ED" w:rsidRPr="00D96B4B" w:rsidRDefault="001A16ED" w:rsidP="000B596F">
            <w:pPr>
              <w:spacing w:before="0"/>
              <w:rPr>
                <w:rFonts w:cstheme="minorHAnsi"/>
                <w:szCs w:val="24"/>
              </w:rPr>
            </w:pPr>
            <w:r w:rsidRPr="00D96B4B">
              <w:rPr>
                <w:rFonts w:cstheme="minorHAnsi"/>
                <w:b/>
                <w:szCs w:val="24"/>
              </w:rPr>
              <w:t>9 July 2026</w:t>
            </w:r>
          </w:p>
        </w:tc>
      </w:tr>
      <w:tr w:rsidR="001A16ED" w:rsidRPr="00C324A8" w14:paraId="6A26D817" w14:textId="77777777" w:rsidTr="00C70164">
        <w:trPr>
          <w:cantSplit/>
          <w:trHeight w:val="23"/>
          <w:jc w:val="center"/>
        </w:trPr>
        <w:tc>
          <w:tcPr>
            <w:tcW w:w="7230" w:type="dxa"/>
          </w:tcPr>
          <w:p w14:paraId="59ED7F96" w14:textId="77777777" w:rsidR="001A16ED" w:rsidRPr="00D96B4B" w:rsidRDefault="001A16ED" w:rsidP="000B596F">
            <w:pPr>
              <w:tabs>
                <w:tab w:val="left" w:pos="851"/>
              </w:tabs>
              <w:spacing w:before="0"/>
              <w:rPr>
                <w:rFonts w:cstheme="minorHAnsi"/>
                <w:szCs w:val="24"/>
              </w:rPr>
            </w:pPr>
            <w:bookmarkStart w:id="6" w:name="dbluepink" w:colFirst="0" w:colLast="0"/>
            <w:bookmarkStart w:id="7" w:name="dorlang" w:colFirst="1" w:colLast="1"/>
            <w:bookmarkEnd w:id="4"/>
            <w:bookmarkEnd w:id="5"/>
          </w:p>
        </w:tc>
        <w:tc>
          <w:tcPr>
            <w:tcW w:w="2801" w:type="dxa"/>
            <w:tcMar>
              <w:right w:w="0" w:type="dxa"/>
            </w:tcMar>
          </w:tcPr>
          <w:p w14:paraId="07448173" w14:textId="77777777" w:rsidR="001A16ED" w:rsidRPr="00D96B4B" w:rsidRDefault="001A16ED" w:rsidP="000B596F">
            <w:pPr>
              <w:tabs>
                <w:tab w:val="left" w:pos="993"/>
              </w:tabs>
              <w:spacing w:before="0"/>
              <w:rPr>
                <w:rFonts w:cstheme="minorHAnsi"/>
                <w:b/>
                <w:szCs w:val="24"/>
              </w:rPr>
            </w:pPr>
            <w:r w:rsidRPr="00D96B4B">
              <w:rPr>
                <w:rFonts w:cstheme="minorHAnsi"/>
                <w:b/>
                <w:szCs w:val="24"/>
              </w:rPr>
              <w:t>Original: English</w:t>
            </w:r>
          </w:p>
        </w:tc>
      </w:tr>
      <w:tr w:rsidR="001A16ED" w:rsidRPr="00C324A8" w14:paraId="0C0B43A3" w14:textId="77777777" w:rsidTr="00C70164">
        <w:trPr>
          <w:cantSplit/>
          <w:trHeight w:val="23"/>
          <w:jc w:val="center"/>
        </w:trPr>
        <w:tc>
          <w:tcPr>
            <w:tcW w:w="10031" w:type="dxa"/>
            <w:gridSpan w:val="2"/>
          </w:tcPr>
          <w:p w14:paraId="6F3CD6D9" w14:textId="77777777" w:rsidR="001A16ED" w:rsidRPr="00D96B4B" w:rsidRDefault="001A16ED" w:rsidP="000B596F">
            <w:pPr>
              <w:tabs>
                <w:tab w:val="left" w:pos="993"/>
              </w:tabs>
              <w:rPr>
                <w:rFonts w:ascii="Verdana" w:hAnsi="Verdana"/>
                <w:b/>
                <w:szCs w:val="24"/>
              </w:rPr>
            </w:pPr>
          </w:p>
        </w:tc>
      </w:tr>
      <w:tr w:rsidR="001A16ED" w:rsidRPr="00C324A8" w14:paraId="3E1702F0" w14:textId="77777777" w:rsidTr="00C70164">
        <w:trPr>
          <w:cantSplit/>
          <w:trHeight w:val="23"/>
          <w:jc w:val="center"/>
        </w:trPr>
        <w:tc>
          <w:tcPr>
            <w:tcW w:w="10031" w:type="dxa"/>
            <w:gridSpan w:val="2"/>
          </w:tcPr>
          <w:p w14:paraId="272E80FC" w14:textId="77777777" w:rsidR="001A16ED" w:rsidRDefault="001A16ED" w:rsidP="000B596F">
            <w:pPr>
              <w:pStyle w:val="Source"/>
            </w:pPr>
            <w:r>
              <w:t>Ghana</w:t>
            </w:r>
          </w:p>
        </w:tc>
      </w:tr>
      <w:tr w:rsidR="001A16ED" w:rsidRPr="00C324A8" w14:paraId="7371B333" w14:textId="77777777" w:rsidTr="00C70164">
        <w:trPr>
          <w:cantSplit/>
          <w:trHeight w:val="23"/>
          <w:jc w:val="center"/>
        </w:trPr>
        <w:tc>
          <w:tcPr>
            <w:tcW w:w="10031" w:type="dxa"/>
            <w:gridSpan w:val="2"/>
          </w:tcPr>
          <w:p w14:paraId="13D87E4B" w14:textId="77777777" w:rsidR="001A16ED" w:rsidRDefault="001A16ED" w:rsidP="000B596F">
            <w:pPr>
              <w:pStyle w:val="Title1"/>
            </w:pPr>
            <w:r>
              <w:t>Proposals for the work of the Conference</w:t>
            </w:r>
          </w:p>
        </w:tc>
      </w:tr>
      <w:tr w:rsidR="001A16ED" w:rsidRPr="00C324A8" w14:paraId="201D2858" w14:textId="77777777" w:rsidTr="00C70164">
        <w:trPr>
          <w:cantSplit/>
          <w:trHeight w:val="23"/>
          <w:jc w:val="center"/>
        </w:trPr>
        <w:tc>
          <w:tcPr>
            <w:tcW w:w="10031" w:type="dxa"/>
            <w:gridSpan w:val="2"/>
          </w:tcPr>
          <w:p w14:paraId="6BF48EF4" w14:textId="77777777" w:rsidR="001A16ED" w:rsidRDefault="001A16ED" w:rsidP="000B596F">
            <w:pPr>
              <w:pStyle w:val="Title2"/>
            </w:pPr>
            <w:r>
              <w:t>Draft new resolution [GHA-1]: Protection of civilian telecommunication/ICT infrastructure in situations of armed conflict</w:t>
            </w:r>
          </w:p>
        </w:tc>
      </w:tr>
      <w:tr w:rsidR="001A16ED" w:rsidRPr="00C324A8" w14:paraId="6310AA26" w14:textId="77777777" w:rsidTr="00C70164">
        <w:trPr>
          <w:cantSplit/>
          <w:trHeight w:val="23"/>
          <w:jc w:val="center"/>
        </w:trPr>
        <w:tc>
          <w:tcPr>
            <w:tcW w:w="10031" w:type="dxa"/>
            <w:gridSpan w:val="2"/>
          </w:tcPr>
          <w:p w14:paraId="19A17BA2" w14:textId="77777777" w:rsidR="001A16ED" w:rsidRDefault="001A16ED" w:rsidP="000B596F">
            <w:pPr>
              <w:pStyle w:val="Agendaitem"/>
            </w:pPr>
          </w:p>
        </w:tc>
      </w:tr>
    </w:tbl>
    <w:bookmarkEnd w:id="6"/>
    <w:bookmarkEnd w:id="7"/>
    <w:p w14:paraId="389A06B6" w14:textId="77777777" w:rsidR="00243405" w:rsidRPr="00243405" w:rsidRDefault="00243405" w:rsidP="00243405">
      <w:pPr>
        <w:jc w:val="both"/>
        <w:rPr>
          <w:b/>
          <w:bCs/>
          <w:color w:val="244061" w:themeColor="accent1" w:themeShade="80"/>
        </w:rPr>
      </w:pPr>
      <w:r w:rsidRPr="00243405">
        <w:rPr>
          <w:b/>
          <w:bCs/>
          <w:color w:val="244061" w:themeColor="accent1" w:themeShade="80"/>
        </w:rPr>
        <w:t>Purpose</w:t>
      </w:r>
    </w:p>
    <w:p w14:paraId="08005381" w14:textId="77777777" w:rsidR="00243405" w:rsidRDefault="00243405" w:rsidP="00243405">
      <w:pPr>
        <w:jc w:val="both"/>
      </w:pPr>
      <w:r>
        <w:t xml:space="preserve">This contribution invites the Plenipotentiary Conference to establish, as a standing principle of the Union, that civilian telecommunication/ICT infrastructure constitutes critical civilian infrastructure entitled to protection in situations of armed conflict, in accordance with applicable international law. The contribution builds upon the resolution adopted by consensus by the ITU Council in 2026 on the impact of attacks on civilian telecommunications/ICT </w:t>
      </w:r>
      <w:proofErr w:type="gramStart"/>
      <w:r>
        <w:t>infrastructure, and</w:t>
      </w:r>
      <w:proofErr w:type="gramEnd"/>
      <w:r>
        <w:t xml:space="preserve"> proposes that the Plenipotentiary Conference give this matter permanent and universal expression through a new Resolution.</w:t>
      </w:r>
    </w:p>
    <w:p w14:paraId="0F90381C" w14:textId="77777777" w:rsidR="00243405" w:rsidRDefault="00243405" w:rsidP="00243405">
      <w:pPr>
        <w:jc w:val="both"/>
      </w:pPr>
      <w:r>
        <w:t>The Republic of Ghana advances the balanced position it articulated during the Council's consideration of this matter: that the civilian networks which today carry the services of hospitals, schools, emergency responders and humanitarian operations warrant protection during conflict, and that this protection should be affirmed as a principle of general application, without singling out any Member State and without the Union entering upon questions reserved to international humanitarian law.</w:t>
      </w:r>
    </w:p>
    <w:p w14:paraId="2AC53F26" w14:textId="77777777" w:rsidR="00243405" w:rsidRPr="00243405" w:rsidRDefault="00243405" w:rsidP="00243405">
      <w:pPr>
        <w:spacing w:before="240"/>
        <w:jc w:val="both"/>
        <w:rPr>
          <w:b/>
          <w:bCs/>
          <w:color w:val="244061" w:themeColor="accent1" w:themeShade="80"/>
        </w:rPr>
      </w:pPr>
      <w:r w:rsidRPr="00243405">
        <w:rPr>
          <w:b/>
          <w:bCs/>
          <w:color w:val="244061" w:themeColor="accent1" w:themeShade="80"/>
        </w:rPr>
        <w:t>Background</w:t>
      </w:r>
    </w:p>
    <w:p w14:paraId="6C145863" w14:textId="77777777" w:rsidR="00243405" w:rsidRDefault="00243405" w:rsidP="00243405">
      <w:pPr>
        <w:jc w:val="both"/>
      </w:pPr>
      <w:r>
        <w:t>Telecommunications and information and communication technologies have become indispensable to the functioning of modern societies and economies. Modern civilian networks no longer carry communications alone: the same infrastructure simultaneously underpins healthcare delivery, emergency and early-warning services, humanitarian coordination, water and energy systems, financial services, transport, public administration and education. Damage to a single network element therefore cascades across the many essential services upon which the civilian population depends.</w:t>
      </w:r>
    </w:p>
    <w:p w14:paraId="638FC805" w14:textId="77777777" w:rsidR="00243405" w:rsidRDefault="00243405" w:rsidP="00243405">
      <w:pPr>
        <w:keepNext/>
        <w:keepLines/>
        <w:jc w:val="both"/>
      </w:pPr>
      <w:r>
        <w:lastRenderedPageBreak/>
        <w:t>Because telecommunication networks are interconnected across borders, the deliberate targeting of infrastructure in one State can impede humanitarian assistance, disrupt emergency services, isolate civilian populations, interrupt financial and public services, and produce significant transboundary effects on the connectivity of other Member States and on regional and global networks. Recent conflicts and hostile incidents have demonstrated the vulnerability of this infrastructure to kinetic attack, cyberattack, sabotage, and the destruction of submarine cables, data centres and satellite facilities.</w:t>
      </w:r>
    </w:p>
    <w:p w14:paraId="115C6BC5" w14:textId="1DF963FA" w:rsidR="001A16ED" w:rsidRPr="00243405" w:rsidRDefault="00243405" w:rsidP="00243405">
      <w:pPr>
        <w:spacing w:before="240"/>
        <w:jc w:val="both"/>
        <w:rPr>
          <w:b/>
          <w:bCs/>
          <w:color w:val="244061" w:themeColor="accent1" w:themeShade="80"/>
        </w:rPr>
      </w:pPr>
      <w:r w:rsidRPr="00243405">
        <w:rPr>
          <w:b/>
          <w:bCs/>
          <w:color w:val="244061" w:themeColor="accent1" w:themeShade="80"/>
        </w:rPr>
        <w:t>Precedent within the Union</w:t>
      </w:r>
    </w:p>
    <w:p w14:paraId="5A4CF3B8" w14:textId="77777777" w:rsidR="00243405" w:rsidRDefault="00243405" w:rsidP="00243405">
      <w:pPr>
        <w:jc w:val="both"/>
      </w:pPr>
      <w:r>
        <w:t>The Union has repeatedly acted to protect and restore telecommunication infrastructure affected by conflict. The ITU Council adopted Resolution 1408 (2022) on assistance and support to Ukraine for rebuilding its telecommunication sector, establishing a dedicated Task Force and a Special Fund in Trust and commissioning an assessment of the damage sustained. The Plenipotentiary Conference maintains standing instruments of assistance for conflict-affected members, including Resolution 125 (Rev. Bucharest, 2022) on assistance and support to Palestine. At its 2026 session, the ITU Council adopted by consensus a resolution on the impact of attacks on civilian telecommunications/ICT infrastructure and its implications for regional and global connectivity — the first occasion on which the Union addressed, in a formal instrument, the protection of such infrastructure from deliberate attack. The present proposal consolidates this developing practice into a single, enduring and universal principle, so that the Union need not address the matter afresh, conflict by conflict.</w:t>
      </w:r>
    </w:p>
    <w:p w14:paraId="552ED314" w14:textId="77777777" w:rsidR="00243405" w:rsidRPr="00243405" w:rsidRDefault="00243405" w:rsidP="00243405">
      <w:pPr>
        <w:spacing w:before="240"/>
        <w:jc w:val="both"/>
        <w:rPr>
          <w:b/>
          <w:bCs/>
          <w:color w:val="244061" w:themeColor="accent1" w:themeShade="80"/>
        </w:rPr>
      </w:pPr>
      <w:r w:rsidRPr="00243405">
        <w:rPr>
          <w:b/>
          <w:bCs/>
          <w:color w:val="244061" w:themeColor="accent1" w:themeShade="80"/>
        </w:rPr>
        <w:t>The central question: dual-use infrastructure</w:t>
      </w:r>
    </w:p>
    <w:p w14:paraId="00647C10" w14:textId="77777777" w:rsidR="00243405" w:rsidRDefault="00243405" w:rsidP="00243405">
      <w:pPr>
        <w:jc w:val="both"/>
      </w:pPr>
      <w:r>
        <w:t>A durable principle of the Union must address the question that arises in every serious discussion of this subject: what protection is owed to civilian telecommunication infrastructure where that same infrastructure is used for military purposes — for example, to command or launch uncrewed aerial systems, to conduct electronic warfare, or otherwise to make an effective contribution to military action?</w:t>
      </w:r>
    </w:p>
    <w:p w14:paraId="29F82477" w14:textId="77777777" w:rsidR="00243405" w:rsidRDefault="00243405" w:rsidP="00243405">
      <w:pPr>
        <w:jc w:val="both"/>
      </w:pPr>
      <w:r>
        <w:t xml:space="preserve">The Republic of Ghana does not propose that the Union adjudicate this question, which is governed by international humanitarian law and lies beyond the Union's mandate. Ghana's position is that the Union should affirm the protective principle as the general rule — civilian telecommunication/ICT infrastructure is presumed to be a civilian object entitled to protection — while providing expressly that the Resolution neither creates, modifies nor interprets the conditions under which an object may lose that protection under international law. So framed, the Resolution safeguards the civilian function of the network without purporting to shield infrastructure genuinely employed for military ends, and without the Union taking any position on the facts of any </w:t>
      </w:r>
      <w:proofErr w:type="gramStart"/>
      <w:r>
        <w:t>particular situation</w:t>
      </w:r>
      <w:proofErr w:type="gramEnd"/>
      <w:r>
        <w:t xml:space="preserve">. This formulation allows Member States holding differing views on the law of targeting to support a common </w:t>
      </w:r>
      <w:proofErr w:type="gramStart"/>
      <w:r>
        <w:t>principle, and</w:t>
      </w:r>
      <w:proofErr w:type="gramEnd"/>
      <w:r>
        <w:t xml:space="preserve"> thereby preserves the consensus on which the Council outcome rested.</w:t>
      </w:r>
    </w:p>
    <w:p w14:paraId="2F9BBAFB" w14:textId="77777777" w:rsidR="00243405" w:rsidRPr="00243405" w:rsidRDefault="00243405" w:rsidP="00243405">
      <w:pPr>
        <w:spacing w:before="240"/>
        <w:jc w:val="both"/>
        <w:rPr>
          <w:b/>
          <w:bCs/>
          <w:color w:val="244061" w:themeColor="accent1" w:themeShade="80"/>
        </w:rPr>
      </w:pPr>
      <w:r w:rsidRPr="00243405">
        <w:rPr>
          <w:b/>
          <w:bCs/>
          <w:color w:val="244061" w:themeColor="accent1" w:themeShade="80"/>
        </w:rPr>
        <w:t>Proposal</w:t>
      </w:r>
    </w:p>
    <w:p w14:paraId="725393B3" w14:textId="0460F791" w:rsidR="00243405" w:rsidRDefault="00243405" w:rsidP="00243405">
      <w:pPr>
        <w:jc w:val="both"/>
      </w:pPr>
      <w:r>
        <w:t>The Republic of Ghana proposes the adoption of the following new Resolution. The proposed new text is marked ADD in accordance with the working methods of the Conference.</w:t>
      </w:r>
    </w:p>
    <w:p w14:paraId="219F10A0" w14:textId="77777777" w:rsidR="0008540E" w:rsidRPr="0008540E" w:rsidRDefault="001A16ED" w:rsidP="00243405">
      <w:pPr>
        <w:spacing w:before="0"/>
      </w:pPr>
      <w:r>
        <w:br w:type="page"/>
      </w:r>
    </w:p>
    <w:p w14:paraId="6E4D9C78" w14:textId="77777777" w:rsidR="007F585D" w:rsidRDefault="00CD3B17">
      <w:pPr>
        <w:pStyle w:val="Proposal"/>
      </w:pPr>
      <w:r>
        <w:lastRenderedPageBreak/>
        <w:t>ADD</w:t>
      </w:r>
      <w:r>
        <w:tab/>
        <w:t>GHA/35/1</w:t>
      </w:r>
    </w:p>
    <w:p w14:paraId="32789956" w14:textId="3AF4F74A" w:rsidR="0008540E" w:rsidRDefault="00CD3B17" w:rsidP="00361174">
      <w:pPr>
        <w:pStyle w:val="VolumeTitle"/>
        <w:rPr>
          <w:b w:val="0"/>
          <w:bCs w:val="0"/>
        </w:rPr>
      </w:pPr>
      <w:r w:rsidRPr="00243405">
        <w:rPr>
          <w:b w:val="0"/>
          <w:bCs w:val="0"/>
        </w:rPr>
        <w:t>Draft New Resolution</w:t>
      </w:r>
      <w:r w:rsidR="00243405">
        <w:rPr>
          <w:b w:val="0"/>
          <w:bCs w:val="0"/>
        </w:rPr>
        <w:t xml:space="preserve"> [GHA-1]</w:t>
      </w:r>
    </w:p>
    <w:p w14:paraId="6DB00F70" w14:textId="5561B42C" w:rsidR="00243405" w:rsidRPr="00243405" w:rsidRDefault="00243405" w:rsidP="00243405">
      <w:pPr>
        <w:pStyle w:val="Restitle"/>
        <w:rPr>
          <w:rFonts w:asciiTheme="minorHAnsi" w:hAnsiTheme="minorHAnsi" w:cstheme="minorHAnsi"/>
          <w:lang w:val="en-US" w:eastAsia="zh-CN"/>
        </w:rPr>
      </w:pPr>
      <w:r w:rsidRPr="00243405">
        <w:rPr>
          <w:rFonts w:asciiTheme="minorHAnsi" w:hAnsiTheme="minorHAnsi" w:cstheme="minorHAnsi"/>
          <w:lang w:val="en-US" w:eastAsia="zh-CN"/>
        </w:rPr>
        <w:t xml:space="preserve">Protection of civilian </w:t>
      </w:r>
      <w:proofErr w:type="gramStart"/>
      <w:r w:rsidRPr="00243405">
        <w:rPr>
          <w:rFonts w:asciiTheme="minorHAnsi" w:hAnsiTheme="minorHAnsi" w:cstheme="minorHAnsi"/>
          <w:lang w:val="en-US" w:eastAsia="zh-CN"/>
        </w:rPr>
        <w:t>telecommunication</w:t>
      </w:r>
      <w:proofErr w:type="gramEnd"/>
      <w:r w:rsidRPr="00243405">
        <w:rPr>
          <w:rFonts w:asciiTheme="minorHAnsi" w:hAnsiTheme="minorHAnsi" w:cstheme="minorHAnsi"/>
          <w:lang w:val="en-US" w:eastAsia="zh-CN"/>
        </w:rPr>
        <w:t xml:space="preserve">/ICT infrastructure </w:t>
      </w:r>
      <w:r w:rsidRPr="00243405">
        <w:rPr>
          <w:rFonts w:asciiTheme="minorHAnsi" w:hAnsiTheme="minorHAnsi" w:cstheme="minorHAnsi"/>
          <w:lang w:val="en-US" w:eastAsia="zh-CN"/>
        </w:rPr>
        <w:br/>
        <w:t>in situations of armed conflict</w:t>
      </w:r>
    </w:p>
    <w:p w14:paraId="0DA7E71B" w14:textId="77777777" w:rsidR="00243405" w:rsidRPr="00243405" w:rsidRDefault="00243405" w:rsidP="00C53C0B">
      <w:pPr>
        <w:pStyle w:val="Normalaftertitle"/>
        <w:rPr>
          <w:lang w:val="en-US" w:eastAsia="zh-CN"/>
        </w:rPr>
      </w:pPr>
      <w:r w:rsidRPr="00243405">
        <w:rPr>
          <w:lang w:val="en-US" w:eastAsia="zh-CN"/>
        </w:rPr>
        <w:t>The Plenipotentiary Conference of the International Telecommunication Union (Doha, 2026),</w:t>
      </w:r>
    </w:p>
    <w:p w14:paraId="7D59B213" w14:textId="77777777" w:rsidR="00243405" w:rsidRPr="00243405" w:rsidRDefault="00243405" w:rsidP="00C53C0B">
      <w:pPr>
        <w:pStyle w:val="Call"/>
        <w:rPr>
          <w:lang w:val="en-US" w:eastAsia="zh-CN"/>
        </w:rPr>
      </w:pPr>
      <w:r w:rsidRPr="00243405">
        <w:rPr>
          <w:lang w:val="en-US" w:eastAsia="zh-CN"/>
        </w:rPr>
        <w:t>recalling</w:t>
      </w:r>
    </w:p>
    <w:p w14:paraId="751176BD" w14:textId="77777777" w:rsidR="00243405" w:rsidRPr="009C7675" w:rsidRDefault="00243405" w:rsidP="00C53C0B">
      <w:pPr>
        <w:rPr>
          <w:lang w:val="en-US" w:eastAsia="zh-CN"/>
        </w:rPr>
      </w:pPr>
      <w:r w:rsidRPr="00C53C0B">
        <w:rPr>
          <w:i/>
          <w:iCs/>
          <w:lang w:val="en-US" w:eastAsia="zh-CN"/>
        </w:rPr>
        <w:t>a)</w:t>
      </w:r>
      <w:r w:rsidRPr="00243405">
        <w:rPr>
          <w:lang w:val="en-US" w:eastAsia="zh-CN"/>
        </w:rPr>
        <w:tab/>
        <w:t xml:space="preserve">the purposes of the Union set out in Article 1 of the Constitution of the International </w:t>
      </w:r>
      <w:r w:rsidRPr="009C7675">
        <w:rPr>
          <w:lang w:val="en-US" w:eastAsia="zh-CN"/>
        </w:rPr>
        <w:t xml:space="preserve">Telecommunication Union, including </w:t>
      </w:r>
      <w:proofErr w:type="gramStart"/>
      <w:r w:rsidRPr="009C7675">
        <w:rPr>
          <w:lang w:val="en-US" w:eastAsia="zh-CN"/>
        </w:rPr>
        <w:t>to promote</w:t>
      </w:r>
      <w:proofErr w:type="gramEnd"/>
      <w:r w:rsidRPr="009C7675">
        <w:rPr>
          <w:lang w:val="en-US" w:eastAsia="zh-CN"/>
        </w:rPr>
        <w:t xml:space="preserve"> the extension of the benefits of telecommunications to all the world's inhabitants and to facilitate peaceful relations through telecommunications;</w:t>
      </w:r>
    </w:p>
    <w:p w14:paraId="3A0529F8" w14:textId="608EE404" w:rsidR="00243405" w:rsidRPr="009C7675" w:rsidRDefault="00243405" w:rsidP="00C53C0B">
      <w:pPr>
        <w:rPr>
          <w:lang w:val="en-US" w:eastAsia="zh-CN"/>
        </w:rPr>
      </w:pPr>
      <w:r w:rsidRPr="009C7675">
        <w:rPr>
          <w:i/>
          <w:iCs/>
          <w:lang w:val="en-US" w:eastAsia="zh-CN"/>
        </w:rPr>
        <w:t>b)</w:t>
      </w:r>
      <w:r w:rsidRPr="009C7675">
        <w:rPr>
          <w:lang w:val="en-US" w:eastAsia="zh-CN"/>
        </w:rPr>
        <w:tab/>
      </w:r>
      <w:r w:rsidR="00C53C0B" w:rsidRPr="009C7675">
        <w:rPr>
          <w:lang w:val="en-US" w:eastAsia="zh-CN"/>
        </w:rPr>
        <w:t>Resolution 1436 (2026) of</w:t>
      </w:r>
      <w:r w:rsidRPr="009C7675">
        <w:rPr>
          <w:lang w:val="en-US" w:eastAsia="zh-CN"/>
        </w:rPr>
        <w:t xml:space="preserve"> the ITU Council</w:t>
      </w:r>
      <w:r w:rsidR="00C53C0B" w:rsidRPr="009C7675">
        <w:rPr>
          <w:lang w:val="en-US" w:eastAsia="zh-CN"/>
        </w:rPr>
        <w:t xml:space="preserve">, </w:t>
      </w:r>
      <w:r w:rsidRPr="009C7675">
        <w:rPr>
          <w:lang w:val="en-US" w:eastAsia="zh-CN"/>
        </w:rPr>
        <w:t xml:space="preserve">on </w:t>
      </w:r>
      <w:r w:rsidR="00C53C0B" w:rsidRPr="009C7675">
        <w:rPr>
          <w:lang w:val="en-US" w:eastAsia="zh-CN"/>
        </w:rPr>
        <w:t>the Impact on civilian Telecommunications/ICT infrastructure in Bahrain, Kuwait, the United Arab Emirates and Jordan, and its implications for regional and global connectivity;</w:t>
      </w:r>
    </w:p>
    <w:p w14:paraId="7327EBED" w14:textId="77777777" w:rsidR="00243405" w:rsidRPr="009C7675" w:rsidRDefault="00243405" w:rsidP="00C53C0B">
      <w:pPr>
        <w:rPr>
          <w:lang w:val="en-US" w:eastAsia="zh-CN"/>
        </w:rPr>
      </w:pPr>
      <w:r w:rsidRPr="009C7675">
        <w:rPr>
          <w:i/>
          <w:iCs/>
          <w:lang w:val="en-US" w:eastAsia="zh-CN"/>
        </w:rPr>
        <w:t>c)</w:t>
      </w:r>
      <w:r w:rsidRPr="009C7675">
        <w:rPr>
          <w:lang w:val="en-US" w:eastAsia="zh-CN"/>
        </w:rPr>
        <w:tab/>
        <w:t>Resolution 125 (Rev. Bucharest, 2022) of the Plenipotentiary Conference, on assistance and support to Palestine for infrastructure development and capacity building in the telecommunication and information technology sector;</w:t>
      </w:r>
    </w:p>
    <w:p w14:paraId="5D92E552" w14:textId="77777777" w:rsidR="00243405" w:rsidRPr="009C7675" w:rsidRDefault="00243405" w:rsidP="00C53C0B">
      <w:pPr>
        <w:rPr>
          <w:lang w:val="en-US" w:eastAsia="zh-CN"/>
        </w:rPr>
      </w:pPr>
      <w:r w:rsidRPr="009C7675">
        <w:rPr>
          <w:i/>
          <w:iCs/>
          <w:lang w:val="en-US" w:eastAsia="zh-CN"/>
        </w:rPr>
        <w:t>d)</w:t>
      </w:r>
      <w:r w:rsidRPr="009C7675">
        <w:rPr>
          <w:lang w:val="en-US" w:eastAsia="zh-CN"/>
        </w:rPr>
        <w:tab/>
        <w:t>Resolution 130 (Rev. Bucharest, 2022) of the Plenipotentiary Conference, on strengthening the role of ITU in building confidence and security in the use of information and communication technologies;</w:t>
      </w:r>
    </w:p>
    <w:p w14:paraId="67746F4D" w14:textId="77777777" w:rsidR="00243405" w:rsidRPr="009C7675" w:rsidRDefault="00243405" w:rsidP="00C53C0B">
      <w:pPr>
        <w:rPr>
          <w:lang w:val="en-US" w:eastAsia="zh-CN"/>
        </w:rPr>
      </w:pPr>
      <w:r w:rsidRPr="009C7675">
        <w:rPr>
          <w:i/>
          <w:iCs/>
          <w:lang w:val="en-US" w:eastAsia="zh-CN"/>
        </w:rPr>
        <w:t>e)</w:t>
      </w:r>
      <w:r w:rsidRPr="009C7675">
        <w:rPr>
          <w:lang w:val="en-US" w:eastAsia="zh-CN"/>
        </w:rPr>
        <w:tab/>
        <w:t>Resolution 136 (Rev. Bucharest, 2022) of the Plenipotentiary Conference, on the use of telecommunications/ICTs for humanitarian assistance and for monitoring and management in emergency and disaster situations;</w:t>
      </w:r>
    </w:p>
    <w:p w14:paraId="78DEC81E" w14:textId="77777777" w:rsidR="00243405" w:rsidRPr="009C7675" w:rsidRDefault="00243405" w:rsidP="00C53C0B">
      <w:pPr>
        <w:rPr>
          <w:lang w:val="en-US" w:eastAsia="zh-CN"/>
        </w:rPr>
      </w:pPr>
      <w:r w:rsidRPr="009C7675">
        <w:rPr>
          <w:i/>
          <w:iCs/>
          <w:lang w:val="en-US" w:eastAsia="zh-CN"/>
        </w:rPr>
        <w:t>f)</w:t>
      </w:r>
      <w:r w:rsidRPr="009C7675">
        <w:rPr>
          <w:lang w:val="en-US" w:eastAsia="zh-CN"/>
        </w:rPr>
        <w:tab/>
        <w:t>Resolution 34 (Rev. Baku, 2025) of the World Telecommunication Development Conference, on the role of telecommunications/ICTs in disaster preparedness, early warning, rescue, mitigation, relief and response;</w:t>
      </w:r>
    </w:p>
    <w:p w14:paraId="15B01D5D" w14:textId="7B292D4C" w:rsidR="00243405" w:rsidRPr="00243405" w:rsidRDefault="00243405" w:rsidP="00C53C0B">
      <w:pPr>
        <w:rPr>
          <w:lang w:val="en-US" w:eastAsia="zh-CN"/>
        </w:rPr>
      </w:pPr>
      <w:r w:rsidRPr="009C7675">
        <w:rPr>
          <w:i/>
          <w:iCs/>
          <w:lang w:val="en-US" w:eastAsia="zh-CN"/>
        </w:rPr>
        <w:t>g)</w:t>
      </w:r>
      <w:r w:rsidRPr="009C7675">
        <w:rPr>
          <w:lang w:val="en-US" w:eastAsia="zh-CN"/>
        </w:rPr>
        <w:tab/>
        <w:t>Resolution 1408 (</w:t>
      </w:r>
      <w:r w:rsidR="00C53C0B" w:rsidRPr="009C7675">
        <w:rPr>
          <w:lang w:eastAsia="zh-CN"/>
        </w:rPr>
        <w:t>Modified 2023</w:t>
      </w:r>
      <w:r w:rsidRPr="009C7675">
        <w:rPr>
          <w:lang w:val="en-US" w:eastAsia="zh-CN"/>
        </w:rPr>
        <w:t>) of the</w:t>
      </w:r>
      <w:r w:rsidRPr="00243405">
        <w:rPr>
          <w:lang w:val="en-US" w:eastAsia="zh-CN"/>
        </w:rPr>
        <w:t xml:space="preserve"> ITU Council, on assistance and support to Ukraine for rebuilding its telecommunication sector;</w:t>
      </w:r>
    </w:p>
    <w:p w14:paraId="20633302" w14:textId="77777777" w:rsidR="00243405" w:rsidRPr="00243405" w:rsidRDefault="00243405" w:rsidP="00C53C0B">
      <w:pPr>
        <w:rPr>
          <w:lang w:val="en-US" w:eastAsia="zh-CN"/>
        </w:rPr>
      </w:pPr>
      <w:r w:rsidRPr="00C53C0B">
        <w:rPr>
          <w:i/>
          <w:iCs/>
          <w:lang w:val="en-US" w:eastAsia="zh-CN"/>
        </w:rPr>
        <w:t>h)</w:t>
      </w:r>
      <w:r w:rsidRPr="00243405">
        <w:rPr>
          <w:lang w:val="en-US" w:eastAsia="zh-CN"/>
        </w:rPr>
        <w:tab/>
        <w:t>the Charter of the United Nations and the applicable rules and principles of international law,</w:t>
      </w:r>
    </w:p>
    <w:p w14:paraId="18A88C60" w14:textId="77777777" w:rsidR="00243405" w:rsidRPr="00243405" w:rsidRDefault="00243405" w:rsidP="00C53C0B">
      <w:pPr>
        <w:pStyle w:val="Call"/>
        <w:rPr>
          <w:lang w:val="en-US" w:eastAsia="zh-CN"/>
        </w:rPr>
      </w:pPr>
      <w:r w:rsidRPr="00243405">
        <w:rPr>
          <w:lang w:val="en-US" w:eastAsia="zh-CN"/>
        </w:rPr>
        <w:t>recognizing</w:t>
      </w:r>
    </w:p>
    <w:p w14:paraId="151DFEA4" w14:textId="77777777" w:rsidR="00243405" w:rsidRPr="00243405" w:rsidRDefault="00243405" w:rsidP="00C53C0B">
      <w:pPr>
        <w:rPr>
          <w:lang w:val="en-US" w:eastAsia="zh-CN"/>
        </w:rPr>
      </w:pPr>
      <w:r w:rsidRPr="00C53C0B">
        <w:rPr>
          <w:i/>
          <w:iCs/>
          <w:lang w:val="en-US" w:eastAsia="zh-CN"/>
        </w:rPr>
        <w:t>a)</w:t>
      </w:r>
      <w:r w:rsidRPr="00243405">
        <w:rPr>
          <w:lang w:val="en-US" w:eastAsia="zh-CN"/>
        </w:rPr>
        <w:tab/>
        <w:t>that civilian telecommunication/ICT infrastructure today carries the essential services of hospitals, schools, emergency and early-warning systems, humanitarian operations, and water, energy, transport and financial services, and is therefore indispensable to the protection of life and to the welfare of the civilian population;</w:t>
      </w:r>
    </w:p>
    <w:p w14:paraId="3ABEA329" w14:textId="77777777" w:rsidR="00243405" w:rsidRPr="00243405" w:rsidRDefault="00243405" w:rsidP="00C53C0B">
      <w:pPr>
        <w:rPr>
          <w:lang w:val="en-US" w:eastAsia="zh-CN"/>
        </w:rPr>
      </w:pPr>
      <w:r w:rsidRPr="00C53C0B">
        <w:rPr>
          <w:i/>
          <w:iCs/>
          <w:lang w:val="en-US" w:eastAsia="zh-CN"/>
        </w:rPr>
        <w:t>b)</w:t>
      </w:r>
      <w:r w:rsidRPr="00243405">
        <w:rPr>
          <w:lang w:val="en-US" w:eastAsia="zh-CN"/>
        </w:rPr>
        <w:tab/>
        <w:t>that such infrastructure increasingly constitutes critical civilian infrastructure, the disruption of which directly affects the civilian population that depends upon it;</w:t>
      </w:r>
    </w:p>
    <w:p w14:paraId="3E861D9B" w14:textId="77777777" w:rsidR="00243405" w:rsidRPr="00243405" w:rsidRDefault="00243405" w:rsidP="00C53C0B">
      <w:pPr>
        <w:rPr>
          <w:lang w:val="en-US" w:eastAsia="zh-CN"/>
        </w:rPr>
      </w:pPr>
      <w:r w:rsidRPr="00C53C0B">
        <w:rPr>
          <w:i/>
          <w:iCs/>
          <w:lang w:val="en-US" w:eastAsia="zh-CN"/>
        </w:rPr>
        <w:t>c)</w:t>
      </w:r>
      <w:r w:rsidRPr="00243405">
        <w:rPr>
          <w:lang w:val="en-US" w:eastAsia="zh-CN"/>
        </w:rPr>
        <w:tab/>
        <w:t xml:space="preserve">that submarine cables, satellite systems, data </w:t>
      </w:r>
      <w:proofErr w:type="spellStart"/>
      <w:r w:rsidRPr="00243405">
        <w:rPr>
          <w:lang w:val="en-US" w:eastAsia="zh-CN"/>
        </w:rPr>
        <w:t>centres</w:t>
      </w:r>
      <w:proofErr w:type="spellEnd"/>
      <w:r w:rsidRPr="00243405">
        <w:rPr>
          <w:lang w:val="en-US" w:eastAsia="zh-CN"/>
        </w:rPr>
        <w:t>, Internet exchange points and terrestrial transmission systems are essential and interconnected components of global digital infrastructure;</w:t>
      </w:r>
    </w:p>
    <w:p w14:paraId="3A2AA89D" w14:textId="77777777" w:rsidR="00243405" w:rsidRPr="00243405" w:rsidRDefault="00243405" w:rsidP="00C53C0B">
      <w:pPr>
        <w:rPr>
          <w:lang w:val="en-US" w:eastAsia="zh-CN"/>
        </w:rPr>
      </w:pPr>
      <w:r w:rsidRPr="00C53C0B">
        <w:rPr>
          <w:i/>
          <w:iCs/>
          <w:lang w:val="en-US" w:eastAsia="zh-CN"/>
        </w:rPr>
        <w:lastRenderedPageBreak/>
        <w:t>d)</w:t>
      </w:r>
      <w:r w:rsidRPr="00243405">
        <w:rPr>
          <w:lang w:val="en-US" w:eastAsia="zh-CN"/>
        </w:rPr>
        <w:tab/>
        <w:t>that attacks against telecommunication infrastructure may affect not only the territory in which the infrastructure is located but may also have regional and global implications for connectivity,</w:t>
      </w:r>
    </w:p>
    <w:p w14:paraId="119358B1" w14:textId="77777777" w:rsidR="00243405" w:rsidRPr="00243405" w:rsidRDefault="00243405" w:rsidP="00C53C0B">
      <w:pPr>
        <w:pStyle w:val="Call"/>
        <w:rPr>
          <w:lang w:val="en-US" w:eastAsia="zh-CN"/>
        </w:rPr>
      </w:pPr>
      <w:r w:rsidRPr="00243405">
        <w:rPr>
          <w:lang w:val="en-US" w:eastAsia="zh-CN"/>
        </w:rPr>
        <w:t>considering</w:t>
      </w:r>
    </w:p>
    <w:p w14:paraId="5CBE46FB" w14:textId="77777777" w:rsidR="00243405" w:rsidRPr="00243405" w:rsidRDefault="00243405" w:rsidP="00C53C0B">
      <w:pPr>
        <w:rPr>
          <w:lang w:val="en-US" w:eastAsia="zh-CN"/>
        </w:rPr>
      </w:pPr>
      <w:r w:rsidRPr="00C53C0B">
        <w:rPr>
          <w:i/>
          <w:iCs/>
          <w:lang w:val="en-US" w:eastAsia="zh-CN"/>
        </w:rPr>
        <w:t>a)</w:t>
      </w:r>
      <w:r w:rsidRPr="00243405">
        <w:rPr>
          <w:lang w:val="en-US" w:eastAsia="zh-CN"/>
        </w:rPr>
        <w:tab/>
        <w:t>that deliberate attacks against civilian telecommunication/ICT infrastructure may severely disrupt the availability of communication services to civilian populations and hinder humanitarian and emergency-response operations;</w:t>
      </w:r>
    </w:p>
    <w:p w14:paraId="0AB5EC5F" w14:textId="77777777" w:rsidR="00243405" w:rsidRPr="00243405" w:rsidRDefault="00243405" w:rsidP="00C53C0B">
      <w:pPr>
        <w:rPr>
          <w:lang w:val="en-US" w:eastAsia="zh-CN"/>
        </w:rPr>
      </w:pPr>
      <w:r w:rsidRPr="00C53C0B">
        <w:rPr>
          <w:i/>
          <w:iCs/>
          <w:lang w:val="en-US" w:eastAsia="zh-CN"/>
        </w:rPr>
        <w:t>b)</w:t>
      </w:r>
      <w:r w:rsidRPr="00243405">
        <w:rPr>
          <w:lang w:val="en-US" w:eastAsia="zh-CN"/>
        </w:rPr>
        <w:tab/>
        <w:t xml:space="preserve">that the protection and resilience of civilian telecommunication infrastructure are matters of common interest to all Member States, irrespective of their position </w:t>
      </w:r>
      <w:proofErr w:type="gramStart"/>
      <w:r w:rsidRPr="00243405">
        <w:rPr>
          <w:lang w:val="en-US" w:eastAsia="zh-CN"/>
        </w:rPr>
        <w:t>on</w:t>
      </w:r>
      <w:proofErr w:type="gramEnd"/>
      <w:r w:rsidRPr="00243405">
        <w:rPr>
          <w:lang w:val="en-US" w:eastAsia="zh-CN"/>
        </w:rPr>
        <w:t xml:space="preserve"> any </w:t>
      </w:r>
      <w:proofErr w:type="gramStart"/>
      <w:r w:rsidRPr="00243405">
        <w:rPr>
          <w:lang w:val="en-US" w:eastAsia="zh-CN"/>
        </w:rPr>
        <w:t>particular situation</w:t>
      </w:r>
      <w:proofErr w:type="gramEnd"/>
      <w:r w:rsidRPr="00243405">
        <w:rPr>
          <w:lang w:val="en-US" w:eastAsia="zh-CN"/>
        </w:rPr>
        <w:t>;</w:t>
      </w:r>
    </w:p>
    <w:p w14:paraId="00399C2F" w14:textId="77777777" w:rsidR="00243405" w:rsidRPr="00243405" w:rsidRDefault="00243405" w:rsidP="00C53C0B">
      <w:pPr>
        <w:rPr>
          <w:lang w:val="en-US" w:eastAsia="zh-CN"/>
        </w:rPr>
      </w:pPr>
      <w:r w:rsidRPr="00C53C0B">
        <w:rPr>
          <w:i/>
          <w:iCs/>
          <w:lang w:val="en-US" w:eastAsia="zh-CN"/>
        </w:rPr>
        <w:t>c)</w:t>
      </w:r>
      <w:r w:rsidRPr="00243405">
        <w:rPr>
          <w:lang w:val="en-US" w:eastAsia="zh-CN"/>
        </w:rPr>
        <w:tab/>
        <w:t>that the ITU Council addressed this matter for the first time in 2026 and that it warrants broader, permanent and universal consideration by the Plenipotentiary Conference,</w:t>
      </w:r>
    </w:p>
    <w:p w14:paraId="3D2955DF" w14:textId="77777777" w:rsidR="00243405" w:rsidRPr="00243405" w:rsidRDefault="00243405" w:rsidP="00C53C0B">
      <w:pPr>
        <w:pStyle w:val="Call"/>
        <w:rPr>
          <w:lang w:val="en-US" w:eastAsia="zh-CN"/>
        </w:rPr>
      </w:pPr>
      <w:r w:rsidRPr="00243405">
        <w:rPr>
          <w:lang w:val="en-US" w:eastAsia="zh-CN"/>
        </w:rPr>
        <w:t>conscious</w:t>
      </w:r>
    </w:p>
    <w:p w14:paraId="75D01896" w14:textId="64CE4771" w:rsidR="00243405" w:rsidRPr="00243405" w:rsidRDefault="00243405" w:rsidP="00243405">
      <w:pPr>
        <w:rPr>
          <w:rFonts w:asciiTheme="minorHAnsi" w:hAnsiTheme="minorHAnsi" w:cstheme="minorHAnsi"/>
          <w:lang w:val="en-US" w:eastAsia="zh-CN"/>
        </w:rPr>
      </w:pPr>
      <w:proofErr w:type="gramStart"/>
      <w:r w:rsidRPr="00243405">
        <w:rPr>
          <w:rFonts w:asciiTheme="minorHAnsi" w:hAnsiTheme="minorHAnsi" w:cstheme="minorHAnsi"/>
          <w:lang w:val="en-US" w:eastAsia="zh-CN"/>
        </w:rPr>
        <w:t>that questions</w:t>
      </w:r>
      <w:proofErr w:type="gramEnd"/>
      <w:r w:rsidRPr="00243405">
        <w:rPr>
          <w:rFonts w:asciiTheme="minorHAnsi" w:hAnsiTheme="minorHAnsi" w:cstheme="minorHAnsi"/>
          <w:lang w:val="en-US" w:eastAsia="zh-CN"/>
        </w:rPr>
        <w:t xml:space="preserve"> concerning the conduct of hostilities, including the conditions under which an object may or may not be made the subject of attack, are governed by international humanitarian law and fall outside the mandate of the Union,</w:t>
      </w:r>
    </w:p>
    <w:p w14:paraId="4B4C3325" w14:textId="77777777" w:rsidR="00243405" w:rsidRPr="00243405" w:rsidRDefault="00243405" w:rsidP="00C53C0B">
      <w:pPr>
        <w:pStyle w:val="Call"/>
        <w:rPr>
          <w:lang w:val="en-US" w:eastAsia="zh-CN"/>
        </w:rPr>
      </w:pPr>
      <w:r w:rsidRPr="00243405">
        <w:rPr>
          <w:lang w:val="en-US" w:eastAsia="zh-CN"/>
        </w:rPr>
        <w:t>noting</w:t>
      </w:r>
    </w:p>
    <w:p w14:paraId="4552E7A3" w14:textId="77777777" w:rsidR="00243405" w:rsidRPr="00243405" w:rsidRDefault="00243405" w:rsidP="00C53C0B">
      <w:pPr>
        <w:rPr>
          <w:lang w:val="en-US" w:eastAsia="zh-CN"/>
        </w:rPr>
      </w:pPr>
      <w:r w:rsidRPr="00C53C0B">
        <w:rPr>
          <w:i/>
          <w:iCs/>
          <w:lang w:val="en-US" w:eastAsia="zh-CN"/>
        </w:rPr>
        <w:t>a)</w:t>
      </w:r>
      <w:r w:rsidRPr="00243405">
        <w:rPr>
          <w:lang w:val="en-US" w:eastAsia="zh-CN"/>
        </w:rPr>
        <w:tab/>
        <w:t>the work of the ITU and its three Sectors in promoting resilient and secure telecommunication infrastructure;</w:t>
      </w:r>
    </w:p>
    <w:p w14:paraId="188D1FD9" w14:textId="77777777" w:rsidR="00243405" w:rsidRPr="00243405" w:rsidRDefault="00243405" w:rsidP="00C53C0B">
      <w:pPr>
        <w:rPr>
          <w:lang w:val="en-US" w:eastAsia="zh-CN"/>
        </w:rPr>
      </w:pPr>
      <w:r w:rsidRPr="00C53C0B">
        <w:rPr>
          <w:i/>
          <w:iCs/>
          <w:lang w:val="en-US" w:eastAsia="zh-CN"/>
        </w:rPr>
        <w:t>b)</w:t>
      </w:r>
      <w:r w:rsidRPr="00243405">
        <w:rPr>
          <w:lang w:val="en-US" w:eastAsia="zh-CN"/>
        </w:rPr>
        <w:tab/>
        <w:t>the work of the International Advisory Body on Submarine Cable Resilience, established jointly by ITU and the International Cable Protection Committee, and the outcomes of the World Telecommunication/ICT Policy Forum (2026) on the resilience of telecommunications/ICTs;</w:t>
      </w:r>
    </w:p>
    <w:p w14:paraId="790B942E" w14:textId="77777777" w:rsidR="00243405" w:rsidRPr="00243405" w:rsidRDefault="00243405" w:rsidP="00C53C0B">
      <w:pPr>
        <w:rPr>
          <w:lang w:val="en-US" w:eastAsia="zh-CN"/>
        </w:rPr>
      </w:pPr>
      <w:r w:rsidRPr="00C53C0B">
        <w:rPr>
          <w:i/>
          <w:iCs/>
          <w:lang w:val="en-US" w:eastAsia="zh-CN"/>
        </w:rPr>
        <w:t>c)</w:t>
      </w:r>
      <w:r w:rsidRPr="00243405">
        <w:rPr>
          <w:lang w:val="en-US" w:eastAsia="zh-CN"/>
        </w:rPr>
        <w:tab/>
        <w:t>the growing importance of international cooperation in safeguarding critical digital infrastructure,</w:t>
      </w:r>
    </w:p>
    <w:p w14:paraId="4C40AC6F" w14:textId="77777777" w:rsidR="00243405" w:rsidRPr="00243405" w:rsidRDefault="00243405" w:rsidP="00C53C0B">
      <w:pPr>
        <w:pStyle w:val="Call"/>
        <w:rPr>
          <w:lang w:val="en-US" w:eastAsia="zh-CN"/>
        </w:rPr>
      </w:pPr>
      <w:r w:rsidRPr="00243405">
        <w:rPr>
          <w:lang w:val="en-US" w:eastAsia="zh-CN"/>
        </w:rPr>
        <w:t>resolves</w:t>
      </w:r>
    </w:p>
    <w:p w14:paraId="682404C0" w14:textId="77777777" w:rsidR="00243405" w:rsidRPr="00243405" w:rsidRDefault="00243405" w:rsidP="00C53C0B">
      <w:pPr>
        <w:rPr>
          <w:lang w:val="en-US" w:eastAsia="zh-CN"/>
        </w:rPr>
      </w:pPr>
      <w:r w:rsidRPr="00243405">
        <w:rPr>
          <w:lang w:val="en-US" w:eastAsia="zh-CN"/>
        </w:rPr>
        <w:t>1</w:t>
      </w:r>
      <w:r w:rsidRPr="00243405">
        <w:rPr>
          <w:lang w:val="en-US" w:eastAsia="zh-CN"/>
        </w:rPr>
        <w:tab/>
        <w:t>to affirm, as a principle of the Union, that civilian telecommunication/ICT infrastructure constitutes critical civilian infrastructure and is presumed to be a civilian object entitled to protection in situations of armed conflict, in accordance with applicable international law;</w:t>
      </w:r>
    </w:p>
    <w:p w14:paraId="48D71F34" w14:textId="77777777" w:rsidR="00243405" w:rsidRPr="00243405" w:rsidRDefault="00243405" w:rsidP="00C53C0B">
      <w:pPr>
        <w:rPr>
          <w:lang w:val="en-US" w:eastAsia="zh-CN"/>
        </w:rPr>
      </w:pPr>
      <w:r w:rsidRPr="00243405">
        <w:rPr>
          <w:lang w:val="en-US" w:eastAsia="zh-CN"/>
        </w:rPr>
        <w:t>2</w:t>
      </w:r>
      <w:r w:rsidRPr="00243405">
        <w:rPr>
          <w:lang w:val="en-US" w:eastAsia="zh-CN"/>
        </w:rPr>
        <w:tab/>
        <w:t>to express grave concern at deliberate attacks against civilian telecommunication/ICT infrastructure that disrupt essential services to civilian populations;</w:t>
      </w:r>
    </w:p>
    <w:p w14:paraId="7FD4E57A" w14:textId="77777777" w:rsidR="00243405" w:rsidRPr="00243405" w:rsidRDefault="00243405" w:rsidP="00C53C0B">
      <w:pPr>
        <w:rPr>
          <w:lang w:val="en-US" w:eastAsia="zh-CN"/>
        </w:rPr>
      </w:pPr>
      <w:r w:rsidRPr="00243405">
        <w:rPr>
          <w:lang w:val="en-US" w:eastAsia="zh-CN"/>
        </w:rPr>
        <w:t>3</w:t>
      </w:r>
      <w:r w:rsidRPr="00243405">
        <w:rPr>
          <w:lang w:val="en-US" w:eastAsia="zh-CN"/>
        </w:rPr>
        <w:tab/>
        <w:t>to encourage Member States to take all appropriate measures, consistent with applicable international law, to protect and preserve civilian telecommunication/ICT infrastructure and the essential civilian services it supports;</w:t>
      </w:r>
    </w:p>
    <w:p w14:paraId="2574867D" w14:textId="77777777" w:rsidR="00243405" w:rsidRPr="00243405" w:rsidRDefault="00243405" w:rsidP="00C53C0B">
      <w:pPr>
        <w:rPr>
          <w:lang w:val="en-US" w:eastAsia="zh-CN"/>
        </w:rPr>
      </w:pPr>
      <w:r w:rsidRPr="00243405">
        <w:rPr>
          <w:lang w:val="en-US" w:eastAsia="zh-CN"/>
        </w:rPr>
        <w:t>4</w:t>
      </w:r>
      <w:r w:rsidRPr="00243405">
        <w:rPr>
          <w:lang w:val="en-US" w:eastAsia="zh-CN"/>
        </w:rPr>
        <w:tab/>
        <w:t>to promote the resilience, restoration and rapid recovery of telecommunication infrastructure affected by conflict;</w:t>
      </w:r>
    </w:p>
    <w:p w14:paraId="025824FB" w14:textId="77777777" w:rsidR="00243405" w:rsidRPr="00243405" w:rsidRDefault="00243405" w:rsidP="00C53C0B">
      <w:pPr>
        <w:rPr>
          <w:lang w:val="en-US" w:eastAsia="zh-CN"/>
        </w:rPr>
      </w:pPr>
      <w:r w:rsidRPr="00243405">
        <w:rPr>
          <w:lang w:val="en-US" w:eastAsia="zh-CN"/>
        </w:rPr>
        <w:t>5</w:t>
      </w:r>
      <w:r w:rsidRPr="00243405">
        <w:rPr>
          <w:lang w:val="en-US" w:eastAsia="zh-CN"/>
        </w:rPr>
        <w:tab/>
        <w:t>to strengthen international cooperation on the protection and resilience of critical telecommunication infrastructure,</w:t>
      </w:r>
    </w:p>
    <w:p w14:paraId="0A8F742C" w14:textId="77777777" w:rsidR="00243405" w:rsidRPr="00243405" w:rsidRDefault="00243405" w:rsidP="00C53C0B">
      <w:pPr>
        <w:pStyle w:val="Call"/>
        <w:rPr>
          <w:lang w:val="en-US" w:eastAsia="zh-CN"/>
        </w:rPr>
      </w:pPr>
      <w:r w:rsidRPr="00243405">
        <w:rPr>
          <w:lang w:val="en-US" w:eastAsia="zh-CN"/>
        </w:rPr>
        <w:t>resolves further</w:t>
      </w:r>
    </w:p>
    <w:p w14:paraId="3C687E4C" w14:textId="77777777" w:rsidR="00243405" w:rsidRPr="00243405" w:rsidRDefault="00243405" w:rsidP="00C53C0B">
      <w:pPr>
        <w:rPr>
          <w:lang w:val="en-US" w:eastAsia="zh-CN"/>
        </w:rPr>
      </w:pPr>
      <w:r w:rsidRPr="00243405">
        <w:rPr>
          <w:lang w:val="en-US" w:eastAsia="zh-CN"/>
        </w:rPr>
        <w:t>1</w:t>
      </w:r>
      <w:r w:rsidRPr="00243405">
        <w:rPr>
          <w:lang w:val="en-US" w:eastAsia="zh-CN"/>
        </w:rPr>
        <w:tab/>
        <w:t xml:space="preserve">that nothing in this Resolution shall be construed as creating, modifying or interpreting the rights or obligations of Member States under international humanitarian law or other rules of </w:t>
      </w:r>
      <w:r w:rsidRPr="00243405">
        <w:rPr>
          <w:lang w:val="en-US" w:eastAsia="zh-CN"/>
        </w:rPr>
        <w:lastRenderedPageBreak/>
        <w:t>international law, including the conditions under which an object may lose the protection to which it would otherwise be entitled;</w:t>
      </w:r>
    </w:p>
    <w:p w14:paraId="0FC210EE" w14:textId="77777777" w:rsidR="00243405" w:rsidRPr="00243405" w:rsidRDefault="00243405" w:rsidP="00C53C0B">
      <w:pPr>
        <w:rPr>
          <w:lang w:val="en-US" w:eastAsia="zh-CN"/>
        </w:rPr>
      </w:pPr>
      <w:r w:rsidRPr="00243405">
        <w:rPr>
          <w:lang w:val="en-US" w:eastAsia="zh-CN"/>
        </w:rPr>
        <w:t>2</w:t>
      </w:r>
      <w:r w:rsidRPr="00243405">
        <w:rPr>
          <w:lang w:val="en-US" w:eastAsia="zh-CN"/>
        </w:rPr>
        <w:tab/>
        <w:t xml:space="preserve">that this Resolution shall not be understood to take any position on the facts or the lawfulness of the conduct of any Member State or party in any </w:t>
      </w:r>
      <w:proofErr w:type="gramStart"/>
      <w:r w:rsidRPr="00243405">
        <w:rPr>
          <w:lang w:val="en-US" w:eastAsia="zh-CN"/>
        </w:rPr>
        <w:t>particular situation</w:t>
      </w:r>
      <w:proofErr w:type="gramEnd"/>
      <w:r w:rsidRPr="00243405">
        <w:rPr>
          <w:lang w:val="en-US" w:eastAsia="zh-CN"/>
        </w:rPr>
        <w:t>,</w:t>
      </w:r>
    </w:p>
    <w:p w14:paraId="23103129" w14:textId="77777777" w:rsidR="00243405" w:rsidRPr="00243405" w:rsidRDefault="00243405" w:rsidP="00C53C0B">
      <w:pPr>
        <w:pStyle w:val="Call"/>
        <w:rPr>
          <w:lang w:val="en-US" w:eastAsia="zh-CN"/>
        </w:rPr>
      </w:pPr>
      <w:r w:rsidRPr="00243405">
        <w:rPr>
          <w:lang w:val="en-US" w:eastAsia="zh-CN"/>
        </w:rPr>
        <w:t>instructs the Secretary-General</w:t>
      </w:r>
    </w:p>
    <w:p w14:paraId="3F3ABC4C" w14:textId="77777777" w:rsidR="00243405" w:rsidRPr="00243405" w:rsidRDefault="00243405" w:rsidP="00110D09">
      <w:pPr>
        <w:rPr>
          <w:lang w:val="en-US" w:eastAsia="zh-CN"/>
        </w:rPr>
      </w:pPr>
      <w:r w:rsidRPr="00243405">
        <w:rPr>
          <w:lang w:val="en-US" w:eastAsia="zh-CN"/>
        </w:rPr>
        <w:t>1</w:t>
      </w:r>
      <w:r w:rsidRPr="00243405">
        <w:rPr>
          <w:lang w:val="en-US" w:eastAsia="zh-CN"/>
        </w:rPr>
        <w:tab/>
        <w:t>to coordinate activities across the three Sectors of the Union relating to the protection and resilience of civilian telecommunication infrastructure;</w:t>
      </w:r>
    </w:p>
    <w:p w14:paraId="4B56979C" w14:textId="77777777" w:rsidR="00243405" w:rsidRPr="00243405" w:rsidRDefault="00243405" w:rsidP="00110D09">
      <w:pPr>
        <w:rPr>
          <w:lang w:val="en-US" w:eastAsia="zh-CN"/>
        </w:rPr>
      </w:pPr>
      <w:r w:rsidRPr="00243405">
        <w:rPr>
          <w:lang w:val="en-US" w:eastAsia="zh-CN"/>
        </w:rPr>
        <w:t>2</w:t>
      </w:r>
      <w:r w:rsidRPr="00243405">
        <w:rPr>
          <w:lang w:val="en-US" w:eastAsia="zh-CN"/>
        </w:rPr>
        <w:tab/>
        <w:t xml:space="preserve">to prepare periodic reports </w:t>
      </w:r>
      <w:proofErr w:type="gramStart"/>
      <w:r w:rsidRPr="00243405">
        <w:rPr>
          <w:lang w:val="en-US" w:eastAsia="zh-CN"/>
        </w:rPr>
        <w:t>to</w:t>
      </w:r>
      <w:proofErr w:type="gramEnd"/>
      <w:r w:rsidRPr="00243405">
        <w:rPr>
          <w:lang w:val="en-US" w:eastAsia="zh-CN"/>
        </w:rPr>
        <w:t xml:space="preserve"> the Council on the impact of conflicts and hostile incidents on global telecommunication infrastructure and connectivity;</w:t>
      </w:r>
    </w:p>
    <w:p w14:paraId="54031A01" w14:textId="77777777" w:rsidR="00243405" w:rsidRPr="00243405" w:rsidRDefault="00243405" w:rsidP="00110D09">
      <w:pPr>
        <w:rPr>
          <w:lang w:val="en-US" w:eastAsia="zh-CN"/>
        </w:rPr>
      </w:pPr>
      <w:r w:rsidRPr="00243405">
        <w:rPr>
          <w:lang w:val="en-US" w:eastAsia="zh-CN"/>
        </w:rPr>
        <w:t>3</w:t>
      </w:r>
      <w:r w:rsidRPr="00243405">
        <w:rPr>
          <w:lang w:val="en-US" w:eastAsia="zh-CN"/>
        </w:rPr>
        <w:tab/>
        <w:t>to cooperate, as appropriate and within the mandate of the Union, with relevant international organizations and the entities of the United Nations system on the protection and restoration of critical communication infrastructure,</w:t>
      </w:r>
    </w:p>
    <w:p w14:paraId="16098C81" w14:textId="77777777" w:rsidR="00243405" w:rsidRPr="00243405" w:rsidRDefault="00243405" w:rsidP="00C53C0B">
      <w:pPr>
        <w:pStyle w:val="Call"/>
        <w:rPr>
          <w:lang w:val="en-US" w:eastAsia="zh-CN"/>
        </w:rPr>
      </w:pPr>
      <w:r w:rsidRPr="00243405">
        <w:rPr>
          <w:lang w:val="en-US" w:eastAsia="zh-CN"/>
        </w:rPr>
        <w:t>instructs the Directors of the Bureaux</w:t>
      </w:r>
    </w:p>
    <w:p w14:paraId="075FF92C" w14:textId="77777777" w:rsidR="00243405" w:rsidRPr="00243405" w:rsidRDefault="00243405" w:rsidP="00110D09">
      <w:pPr>
        <w:rPr>
          <w:lang w:val="en-US" w:eastAsia="zh-CN"/>
        </w:rPr>
      </w:pPr>
      <w:r w:rsidRPr="00243405">
        <w:rPr>
          <w:lang w:val="en-US" w:eastAsia="zh-CN"/>
        </w:rPr>
        <w:t>1</w:t>
      </w:r>
      <w:r w:rsidRPr="00243405">
        <w:rPr>
          <w:lang w:val="en-US" w:eastAsia="zh-CN"/>
        </w:rPr>
        <w:tab/>
        <w:t>to develop guidelines and best practices for the resilience, protection and restoration of telecommunication infrastructure affected by conflict;</w:t>
      </w:r>
    </w:p>
    <w:p w14:paraId="07E6CB54" w14:textId="77777777" w:rsidR="00243405" w:rsidRPr="00243405" w:rsidRDefault="00243405" w:rsidP="00110D09">
      <w:pPr>
        <w:rPr>
          <w:lang w:val="en-US" w:eastAsia="zh-CN"/>
        </w:rPr>
      </w:pPr>
      <w:r w:rsidRPr="00243405">
        <w:rPr>
          <w:lang w:val="en-US" w:eastAsia="zh-CN"/>
        </w:rPr>
        <w:t>2</w:t>
      </w:r>
      <w:r w:rsidRPr="00243405">
        <w:rPr>
          <w:lang w:val="en-US" w:eastAsia="zh-CN"/>
        </w:rPr>
        <w:tab/>
        <w:t>to assist affected Member States, upon request, in restoring communication services;</w:t>
      </w:r>
    </w:p>
    <w:p w14:paraId="3C130DCA" w14:textId="77777777" w:rsidR="00243405" w:rsidRPr="00243405" w:rsidRDefault="00243405" w:rsidP="00110D09">
      <w:pPr>
        <w:rPr>
          <w:lang w:val="en-US" w:eastAsia="zh-CN"/>
        </w:rPr>
      </w:pPr>
      <w:r w:rsidRPr="00243405">
        <w:rPr>
          <w:lang w:val="en-US" w:eastAsia="zh-CN"/>
        </w:rPr>
        <w:t>3</w:t>
      </w:r>
      <w:r w:rsidRPr="00243405">
        <w:rPr>
          <w:lang w:val="en-US" w:eastAsia="zh-CN"/>
        </w:rPr>
        <w:tab/>
        <w:t>to support capacity building on the resilience of telecommunication infrastructure and to encourage the sharing of information and lessons learned,</w:t>
      </w:r>
    </w:p>
    <w:p w14:paraId="4204C1AB" w14:textId="77777777" w:rsidR="00243405" w:rsidRPr="00243405" w:rsidRDefault="00243405" w:rsidP="00C53C0B">
      <w:pPr>
        <w:pStyle w:val="Call"/>
        <w:rPr>
          <w:lang w:val="en-US" w:eastAsia="zh-CN"/>
        </w:rPr>
      </w:pPr>
      <w:r w:rsidRPr="00243405">
        <w:rPr>
          <w:lang w:val="en-US" w:eastAsia="zh-CN"/>
        </w:rPr>
        <w:t>invites Member States</w:t>
      </w:r>
    </w:p>
    <w:p w14:paraId="4B869B4E" w14:textId="77777777" w:rsidR="00243405" w:rsidRPr="00243405" w:rsidRDefault="00243405" w:rsidP="00110D09">
      <w:pPr>
        <w:rPr>
          <w:lang w:val="en-US" w:eastAsia="zh-CN"/>
        </w:rPr>
      </w:pPr>
      <w:r w:rsidRPr="00243405">
        <w:rPr>
          <w:lang w:val="en-US" w:eastAsia="zh-CN"/>
        </w:rPr>
        <w:t>1</w:t>
      </w:r>
      <w:r w:rsidRPr="00243405">
        <w:rPr>
          <w:lang w:val="en-US" w:eastAsia="zh-CN"/>
        </w:rPr>
        <w:tab/>
        <w:t>to recognize civilian telecommunication/ICT infrastructure as critical civilian infrastructure in their national laws and policies;</w:t>
      </w:r>
    </w:p>
    <w:p w14:paraId="0600E58B" w14:textId="77777777" w:rsidR="00243405" w:rsidRPr="00243405" w:rsidRDefault="00243405" w:rsidP="00110D09">
      <w:pPr>
        <w:rPr>
          <w:lang w:val="en-US" w:eastAsia="zh-CN"/>
        </w:rPr>
      </w:pPr>
      <w:r w:rsidRPr="00243405">
        <w:rPr>
          <w:lang w:val="en-US" w:eastAsia="zh-CN"/>
        </w:rPr>
        <w:t>2</w:t>
      </w:r>
      <w:r w:rsidRPr="00243405">
        <w:rPr>
          <w:lang w:val="en-US" w:eastAsia="zh-CN"/>
        </w:rPr>
        <w:tab/>
        <w:t>to develop measures to improve the resilience of telecommunication infrastructure and to cooperate in protecting submarine cable systems and other critical digital infrastructure;</w:t>
      </w:r>
    </w:p>
    <w:p w14:paraId="6B72AFAE" w14:textId="77777777" w:rsidR="00243405" w:rsidRPr="00243405" w:rsidRDefault="00243405" w:rsidP="00110D09">
      <w:pPr>
        <w:rPr>
          <w:lang w:val="en-US" w:eastAsia="zh-CN"/>
        </w:rPr>
      </w:pPr>
      <w:r w:rsidRPr="00243405">
        <w:rPr>
          <w:lang w:val="en-US" w:eastAsia="zh-CN"/>
        </w:rPr>
        <w:t>3</w:t>
      </w:r>
      <w:r w:rsidRPr="00243405">
        <w:rPr>
          <w:lang w:val="en-US" w:eastAsia="zh-CN"/>
        </w:rPr>
        <w:tab/>
        <w:t>to facilitate, where appropriate, the restoration of communication services in affected areas;</w:t>
      </w:r>
    </w:p>
    <w:p w14:paraId="29CA8A2B" w14:textId="77777777" w:rsidR="00243405" w:rsidRPr="00243405" w:rsidRDefault="00243405" w:rsidP="00110D09">
      <w:pPr>
        <w:rPr>
          <w:lang w:val="en-US" w:eastAsia="zh-CN"/>
        </w:rPr>
      </w:pPr>
      <w:r w:rsidRPr="00243405">
        <w:rPr>
          <w:lang w:val="en-US" w:eastAsia="zh-CN"/>
        </w:rPr>
        <w:t>4</w:t>
      </w:r>
      <w:r w:rsidRPr="00243405">
        <w:rPr>
          <w:lang w:val="en-US" w:eastAsia="zh-CN"/>
        </w:rPr>
        <w:tab/>
        <w:t>to share best practices and national experiences with the Union,</w:t>
      </w:r>
    </w:p>
    <w:p w14:paraId="5A235316" w14:textId="77777777" w:rsidR="00243405" w:rsidRPr="00243405" w:rsidRDefault="00243405" w:rsidP="00110D09">
      <w:pPr>
        <w:pStyle w:val="Call"/>
        <w:rPr>
          <w:lang w:val="en-US" w:eastAsia="zh-CN"/>
        </w:rPr>
      </w:pPr>
      <w:r w:rsidRPr="00243405">
        <w:rPr>
          <w:lang w:val="en-US" w:eastAsia="zh-CN"/>
        </w:rPr>
        <w:t>invites Sector Members, Associates and Academia</w:t>
      </w:r>
    </w:p>
    <w:p w14:paraId="18374711" w14:textId="77777777" w:rsidR="00243405" w:rsidRPr="00243405" w:rsidRDefault="00243405" w:rsidP="00110D09">
      <w:pPr>
        <w:rPr>
          <w:lang w:val="en-US" w:eastAsia="zh-CN"/>
        </w:rPr>
      </w:pPr>
      <w:r w:rsidRPr="00243405">
        <w:rPr>
          <w:lang w:val="en-US" w:eastAsia="zh-CN"/>
        </w:rPr>
        <w:t>1</w:t>
      </w:r>
      <w:r w:rsidRPr="00243405">
        <w:rPr>
          <w:lang w:val="en-US" w:eastAsia="zh-CN"/>
        </w:rPr>
        <w:tab/>
        <w:t>to contribute technical expertise and best practices and to support research on the resilience of telecommunication infrastructure;</w:t>
      </w:r>
    </w:p>
    <w:p w14:paraId="54E9989E" w14:textId="1BAE0303" w:rsidR="00243405" w:rsidRPr="00243405" w:rsidRDefault="00243405" w:rsidP="00110D09">
      <w:pPr>
        <w:rPr>
          <w:lang w:val="en-US" w:eastAsia="zh-CN"/>
        </w:rPr>
      </w:pPr>
      <w:r w:rsidRPr="00243405">
        <w:rPr>
          <w:lang w:val="en-US" w:eastAsia="zh-CN"/>
        </w:rPr>
        <w:t>2</w:t>
      </w:r>
      <w:r w:rsidRPr="00243405">
        <w:rPr>
          <w:lang w:val="en-US" w:eastAsia="zh-CN"/>
        </w:rPr>
        <w:tab/>
        <w:t>to cooperate with Member States and the Union in enhancing the protection and resilience of critical communication infrastructure.</w:t>
      </w:r>
    </w:p>
    <w:p w14:paraId="579F47E4" w14:textId="30F1ACD1" w:rsidR="007F585D" w:rsidRDefault="00CD3B17" w:rsidP="00BE4207">
      <w:pPr>
        <w:pStyle w:val="Reasons"/>
        <w:spacing w:before="240"/>
      </w:pPr>
      <w:r>
        <w:rPr>
          <w:b/>
        </w:rPr>
        <w:t>Reasons:</w:t>
      </w:r>
      <w:r>
        <w:tab/>
      </w:r>
      <w:r w:rsidR="00110D09">
        <w:t>Civilian telecommunication/ICT infrastructure today carries the essential services of hospitals, schools, emergency responders and humanitarian operations, and its disruption directly harms civilian populations and produces transboundary effects on regional and global connectivity. The ITU Council addressed this matter for the first time in 2026; the Plenipotentiary Conference, as the supreme organ of the Union, is the appropriate body to give it enduring and universal expression. This proposal consolidates the Union's developing practice — including Resolution 1408 (2022) on Ukraine and Resolution 125 (Rev. Bucharest, 2022) on Palestine — into a single standing principle, so that the Union need not address the matter afresh, conflict by conflict.</w:t>
      </w:r>
      <w:r w:rsidR="00BE4207">
        <w:br/>
      </w:r>
      <w:r w:rsidR="00BE4207">
        <w:lastRenderedPageBreak/>
        <w:br/>
      </w:r>
      <w:r w:rsidR="00110D09">
        <w:t>The proposal is deliberately framed to preserve consensus. It affirms the protection of civilian telecommunication/ICT infrastructure as the general rule, while providing expressly (in resolves further) that it neither creates, modifies nor interprets the conditions under which infrastructure used for military purposes may lose that protection — questions that are governed by international humanitarian law and lie outside the mandate of the Union. It complements, and does not duplicate, Resolution 130 (confidence and security in the use of ICTs), Resolution 136 and WTDC Resolution 34 (humanitarian assistance and disaster situations) and the outcomes of the World Telecommunication/ICT Policy Forum (2026) on the resilience of telecommunications/ICTs, none of which establishes protection during armed conflict as a standing principle of the Plenipotentiary Conference.</w:t>
      </w:r>
      <w:r w:rsidR="00BE4207">
        <w:br/>
      </w:r>
      <w:r w:rsidR="00BE4207">
        <w:br/>
      </w:r>
      <w:r w:rsidR="00110D09">
        <w:t>The activities instructed by this Resolution are to be undertaken within the resources allocated in the financial plan and budget of the Union; any activity beyond existing resources would be subject to the availability of funds, including through voluntary contributions and partnerships.</w:t>
      </w:r>
    </w:p>
    <w:p w14:paraId="0F54C243" w14:textId="43C2B8EE" w:rsidR="00110D09" w:rsidRDefault="00110D09" w:rsidP="00110D09">
      <w:pPr>
        <w:spacing w:before="600"/>
        <w:jc w:val="center"/>
      </w:pPr>
      <w:r>
        <w:t>_________________</w:t>
      </w:r>
    </w:p>
    <w:sectPr w:rsidR="00110D09">
      <w:headerReference w:type="default" r:id="rId10"/>
      <w:footerReference w:type="first" r:id="rId11"/>
      <w:type w:val="continuous"/>
      <w:pgSz w:w="11913" w:h="16834" w:code="9"/>
      <w:pgMar w:top="1418" w:right="1134" w:bottom="1418" w:left="1134"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F0064" w14:textId="77777777" w:rsidR="00BF294A" w:rsidRDefault="00BF294A">
      <w:r>
        <w:separator/>
      </w:r>
    </w:p>
  </w:endnote>
  <w:endnote w:type="continuationSeparator" w:id="0">
    <w:p w14:paraId="3DE01F4C" w14:textId="77777777" w:rsidR="00BF294A" w:rsidRDefault="00BF2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6864" w14:textId="77777777" w:rsidR="00A516BB" w:rsidRPr="003F2E54" w:rsidRDefault="00AB2D04" w:rsidP="003F2E54">
    <w:pPr>
      <w:pStyle w:val="firstfooter0"/>
      <w:spacing w:before="0" w:beforeAutospacing="0" w:after="0" w:afterAutospacing="0"/>
      <w:jc w:val="center"/>
      <w:rPr>
        <w:rFonts w:asciiTheme="minorHAnsi" w:hAnsiTheme="minorHAnsi"/>
        <w:sz w:val="18"/>
        <w:szCs w:val="18"/>
        <w:lang w:val="en-GB"/>
      </w:rPr>
    </w:pPr>
    <w:r>
      <w:rPr>
        <w:rFonts w:ascii="Symbol" w:hAnsi="Symbol"/>
        <w:sz w:val="22"/>
        <w:szCs w:val="20"/>
        <w:lang w:val="en-GB"/>
      </w:rPr>
      <w:t></w:t>
    </w:r>
    <w:r>
      <w:rPr>
        <w:sz w:val="20"/>
        <w:szCs w:val="20"/>
        <w:lang w:val="en-GB"/>
      </w:rPr>
      <w:t xml:space="preserve"> </w:t>
    </w:r>
    <w:hyperlink r:id="rId1" w:history="1">
      <w:r w:rsidRPr="00EF3B7A">
        <w:rPr>
          <w:rStyle w:val="Hyperlink"/>
          <w:color w:val="00A3E0"/>
          <w:sz w:val="22"/>
          <w:szCs w:val="22"/>
          <w:lang w:val="en-GB"/>
        </w:rPr>
        <w:t>www.itu.int/plenipotentiary/</w:t>
      </w:r>
    </w:hyperlink>
    <w:r>
      <w:rPr>
        <w:sz w:val="20"/>
        <w:szCs w:val="20"/>
        <w:lang w:val="en-GB"/>
      </w:rPr>
      <w:t xml:space="preserve"> </w:t>
    </w:r>
    <w:r>
      <w:rPr>
        <w:rFonts w:ascii="Symbol" w:hAnsi="Symbol"/>
        <w:sz w:val="22"/>
        <w:szCs w:val="20"/>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37280" w14:textId="77777777" w:rsidR="00BF294A" w:rsidRDefault="00BF294A">
      <w:r>
        <w:t>____________________</w:t>
      </w:r>
    </w:p>
  </w:footnote>
  <w:footnote w:type="continuationSeparator" w:id="0">
    <w:p w14:paraId="7A9D4D7F" w14:textId="77777777" w:rsidR="00BF294A" w:rsidRDefault="00BF2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07CFD" w14:textId="77777777" w:rsidR="000507C1" w:rsidRDefault="000507C1" w:rsidP="00CE1B90">
    <w:pPr>
      <w:pStyle w:val="Header"/>
    </w:pPr>
    <w:r>
      <w:fldChar w:fldCharType="begin"/>
    </w:r>
    <w:r>
      <w:instrText xml:space="preserve"> PAGE   \* MERGEFORMAT </w:instrText>
    </w:r>
    <w:r>
      <w:fldChar w:fldCharType="separate"/>
    </w:r>
    <w:r w:rsidR="006F794B">
      <w:rPr>
        <w:noProof/>
      </w:rPr>
      <w:t>2</w:t>
    </w:r>
    <w:r>
      <w:fldChar w:fldCharType="end"/>
    </w:r>
  </w:p>
  <w:p w14:paraId="03D7B321" w14:textId="77777777" w:rsidR="00CE1B90" w:rsidRDefault="00CE1B90" w:rsidP="004F7925">
    <w:pPr>
      <w:pStyle w:val="Header"/>
    </w:pPr>
    <w:r>
      <w:t>PP</w:t>
    </w:r>
    <w:r w:rsidR="000235EC">
      <w:t>2</w:t>
    </w:r>
    <w:r w:rsidR="00EF3B7A">
      <w:t>6</w:t>
    </w:r>
    <w:r>
      <w:t>/35-E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7A"/>
    <w:rsid w:val="00000AF8"/>
    <w:rsid w:val="00001935"/>
    <w:rsid w:val="000048E4"/>
    <w:rsid w:val="00004F8B"/>
    <w:rsid w:val="00010B2A"/>
    <w:rsid w:val="00011208"/>
    <w:rsid w:val="000143FA"/>
    <w:rsid w:val="00014808"/>
    <w:rsid w:val="00015E97"/>
    <w:rsid w:val="000235EC"/>
    <w:rsid w:val="00041924"/>
    <w:rsid w:val="000507C1"/>
    <w:rsid w:val="00053B97"/>
    <w:rsid w:val="00082EB9"/>
    <w:rsid w:val="000842DF"/>
    <w:rsid w:val="0008540E"/>
    <w:rsid w:val="00094B4F"/>
    <w:rsid w:val="000A1015"/>
    <w:rsid w:val="000B03F9"/>
    <w:rsid w:val="000B0A77"/>
    <w:rsid w:val="000B0D6C"/>
    <w:rsid w:val="000B596F"/>
    <w:rsid w:val="000B5BB9"/>
    <w:rsid w:val="000B7152"/>
    <w:rsid w:val="000C4701"/>
    <w:rsid w:val="000E4C7A"/>
    <w:rsid w:val="000E5E15"/>
    <w:rsid w:val="000F5A9A"/>
    <w:rsid w:val="000F73D1"/>
    <w:rsid w:val="001001C5"/>
    <w:rsid w:val="00105EFE"/>
    <w:rsid w:val="00106777"/>
    <w:rsid w:val="00110D09"/>
    <w:rsid w:val="0011489E"/>
    <w:rsid w:val="00114BA3"/>
    <w:rsid w:val="00115DEC"/>
    <w:rsid w:val="0012014C"/>
    <w:rsid w:val="00123F09"/>
    <w:rsid w:val="00127FA6"/>
    <w:rsid w:val="00136175"/>
    <w:rsid w:val="00140FF0"/>
    <w:rsid w:val="00142F28"/>
    <w:rsid w:val="00146057"/>
    <w:rsid w:val="00161C12"/>
    <w:rsid w:val="00161CDA"/>
    <w:rsid w:val="0016633C"/>
    <w:rsid w:val="00171990"/>
    <w:rsid w:val="001755F4"/>
    <w:rsid w:val="00195B70"/>
    <w:rsid w:val="001A0EEB"/>
    <w:rsid w:val="001A16ED"/>
    <w:rsid w:val="001B18AB"/>
    <w:rsid w:val="001B70D1"/>
    <w:rsid w:val="001C2D51"/>
    <w:rsid w:val="001C3804"/>
    <w:rsid w:val="001D3322"/>
    <w:rsid w:val="001E01A5"/>
    <w:rsid w:val="001E18AB"/>
    <w:rsid w:val="001E1C8F"/>
    <w:rsid w:val="001F0B24"/>
    <w:rsid w:val="001F4060"/>
    <w:rsid w:val="002115E0"/>
    <w:rsid w:val="00215F12"/>
    <w:rsid w:val="00232B31"/>
    <w:rsid w:val="00235A3B"/>
    <w:rsid w:val="00243405"/>
    <w:rsid w:val="00243BE4"/>
    <w:rsid w:val="00257188"/>
    <w:rsid w:val="002578B4"/>
    <w:rsid w:val="002646C6"/>
    <w:rsid w:val="00267D12"/>
    <w:rsid w:val="00281792"/>
    <w:rsid w:val="0028799E"/>
    <w:rsid w:val="002962A8"/>
    <w:rsid w:val="002A56C0"/>
    <w:rsid w:val="002E77F4"/>
    <w:rsid w:val="002F36B9"/>
    <w:rsid w:val="002F5FA2"/>
    <w:rsid w:val="003126B0"/>
    <w:rsid w:val="00314127"/>
    <w:rsid w:val="00314C12"/>
    <w:rsid w:val="003261C3"/>
    <w:rsid w:val="00333236"/>
    <w:rsid w:val="003453DA"/>
    <w:rsid w:val="00357754"/>
    <w:rsid w:val="003578E4"/>
    <w:rsid w:val="00361097"/>
    <w:rsid w:val="00373A0D"/>
    <w:rsid w:val="003740BC"/>
    <w:rsid w:val="00375076"/>
    <w:rsid w:val="00375BBA"/>
    <w:rsid w:val="003826EA"/>
    <w:rsid w:val="00395CE4"/>
    <w:rsid w:val="003A32AD"/>
    <w:rsid w:val="003A33F1"/>
    <w:rsid w:val="003A3938"/>
    <w:rsid w:val="003A4E67"/>
    <w:rsid w:val="003A5FFB"/>
    <w:rsid w:val="003A7FB6"/>
    <w:rsid w:val="003B3751"/>
    <w:rsid w:val="003F0763"/>
    <w:rsid w:val="003F2121"/>
    <w:rsid w:val="003F2E54"/>
    <w:rsid w:val="003F5771"/>
    <w:rsid w:val="004014B0"/>
    <w:rsid w:val="004059B0"/>
    <w:rsid w:val="00426AC1"/>
    <w:rsid w:val="004321DC"/>
    <w:rsid w:val="00435AA4"/>
    <w:rsid w:val="00435EA8"/>
    <w:rsid w:val="004360BB"/>
    <w:rsid w:val="004529ED"/>
    <w:rsid w:val="0045533C"/>
    <w:rsid w:val="004606DA"/>
    <w:rsid w:val="00463092"/>
    <w:rsid w:val="004676C0"/>
    <w:rsid w:val="00474E00"/>
    <w:rsid w:val="004835DB"/>
    <w:rsid w:val="00491D2D"/>
    <w:rsid w:val="00494797"/>
    <w:rsid w:val="004B0C10"/>
    <w:rsid w:val="004B167B"/>
    <w:rsid w:val="004C19D7"/>
    <w:rsid w:val="004C297B"/>
    <w:rsid w:val="004C73C9"/>
    <w:rsid w:val="004E01FA"/>
    <w:rsid w:val="004E6764"/>
    <w:rsid w:val="004F041D"/>
    <w:rsid w:val="004F1C55"/>
    <w:rsid w:val="004F7925"/>
    <w:rsid w:val="00504FE5"/>
    <w:rsid w:val="00507348"/>
    <w:rsid w:val="00522C97"/>
    <w:rsid w:val="005254C4"/>
    <w:rsid w:val="005356FD"/>
    <w:rsid w:val="00547D75"/>
    <w:rsid w:val="00551C8B"/>
    <w:rsid w:val="00554E24"/>
    <w:rsid w:val="00555A0F"/>
    <w:rsid w:val="00567130"/>
    <w:rsid w:val="0057034B"/>
    <w:rsid w:val="00581E8F"/>
    <w:rsid w:val="00586A98"/>
    <w:rsid w:val="00591C15"/>
    <w:rsid w:val="005927A4"/>
    <w:rsid w:val="00596B48"/>
    <w:rsid w:val="005B10E8"/>
    <w:rsid w:val="005B5026"/>
    <w:rsid w:val="005B661F"/>
    <w:rsid w:val="005C3315"/>
    <w:rsid w:val="005E1CC3"/>
    <w:rsid w:val="005F05C8"/>
    <w:rsid w:val="00604079"/>
    <w:rsid w:val="00617BE4"/>
    <w:rsid w:val="00620233"/>
    <w:rsid w:val="00627DF4"/>
    <w:rsid w:val="006404B0"/>
    <w:rsid w:val="0066499C"/>
    <w:rsid w:val="00676E68"/>
    <w:rsid w:val="006A7108"/>
    <w:rsid w:val="006B2035"/>
    <w:rsid w:val="006B40DA"/>
    <w:rsid w:val="006C5D5D"/>
    <w:rsid w:val="006E215D"/>
    <w:rsid w:val="006E57C8"/>
    <w:rsid w:val="006E70E1"/>
    <w:rsid w:val="006F565E"/>
    <w:rsid w:val="006F794B"/>
    <w:rsid w:val="00701ABB"/>
    <w:rsid w:val="00711035"/>
    <w:rsid w:val="007130ED"/>
    <w:rsid w:val="007140CF"/>
    <w:rsid w:val="0071582A"/>
    <w:rsid w:val="00722595"/>
    <w:rsid w:val="0073319E"/>
    <w:rsid w:val="00733C8A"/>
    <w:rsid w:val="00737F2E"/>
    <w:rsid w:val="00745A37"/>
    <w:rsid w:val="00750829"/>
    <w:rsid w:val="007538C9"/>
    <w:rsid w:val="00753F63"/>
    <w:rsid w:val="007542C4"/>
    <w:rsid w:val="00754C0B"/>
    <w:rsid w:val="00755067"/>
    <w:rsid w:val="007561B6"/>
    <w:rsid w:val="007648ED"/>
    <w:rsid w:val="007649DA"/>
    <w:rsid w:val="00765553"/>
    <w:rsid w:val="00770320"/>
    <w:rsid w:val="00777B8B"/>
    <w:rsid w:val="00794795"/>
    <w:rsid w:val="007949EA"/>
    <w:rsid w:val="00796849"/>
    <w:rsid w:val="00796DAE"/>
    <w:rsid w:val="007A59C3"/>
    <w:rsid w:val="007B0E06"/>
    <w:rsid w:val="007B30FC"/>
    <w:rsid w:val="007C3643"/>
    <w:rsid w:val="007C617F"/>
    <w:rsid w:val="007D5061"/>
    <w:rsid w:val="007D7003"/>
    <w:rsid w:val="007E00D2"/>
    <w:rsid w:val="007E2AD4"/>
    <w:rsid w:val="007E3469"/>
    <w:rsid w:val="007E7B63"/>
    <w:rsid w:val="007F585D"/>
    <w:rsid w:val="00810AD6"/>
    <w:rsid w:val="0082780C"/>
    <w:rsid w:val="008333C7"/>
    <w:rsid w:val="00833E0F"/>
    <w:rsid w:val="008404FD"/>
    <w:rsid w:val="00841AB4"/>
    <w:rsid w:val="00846DBA"/>
    <w:rsid w:val="00850AEF"/>
    <w:rsid w:val="00855DAB"/>
    <w:rsid w:val="00860C6A"/>
    <w:rsid w:val="00862891"/>
    <w:rsid w:val="00875048"/>
    <w:rsid w:val="00875BE1"/>
    <w:rsid w:val="00877715"/>
    <w:rsid w:val="00895CE3"/>
    <w:rsid w:val="0089603F"/>
    <w:rsid w:val="00897970"/>
    <w:rsid w:val="008B5A71"/>
    <w:rsid w:val="008D3BE2"/>
    <w:rsid w:val="008D4D98"/>
    <w:rsid w:val="008E2A7B"/>
    <w:rsid w:val="008E6E9B"/>
    <w:rsid w:val="008F2C56"/>
    <w:rsid w:val="008F3C99"/>
    <w:rsid w:val="00900D5B"/>
    <w:rsid w:val="009236FE"/>
    <w:rsid w:val="00940E00"/>
    <w:rsid w:val="00945D4B"/>
    <w:rsid w:val="0094741F"/>
    <w:rsid w:val="00950E0F"/>
    <w:rsid w:val="0096150D"/>
    <w:rsid w:val="009630FA"/>
    <w:rsid w:val="00967103"/>
    <w:rsid w:val="00967670"/>
    <w:rsid w:val="00970996"/>
    <w:rsid w:val="009800CC"/>
    <w:rsid w:val="009A078E"/>
    <w:rsid w:val="009A2B30"/>
    <w:rsid w:val="009A4211"/>
    <w:rsid w:val="009A47A2"/>
    <w:rsid w:val="009C7675"/>
    <w:rsid w:val="009E425E"/>
    <w:rsid w:val="009E4322"/>
    <w:rsid w:val="009F4384"/>
    <w:rsid w:val="009F442D"/>
    <w:rsid w:val="009F50DA"/>
    <w:rsid w:val="00A06D56"/>
    <w:rsid w:val="00A314A2"/>
    <w:rsid w:val="00A516BB"/>
    <w:rsid w:val="00A619C5"/>
    <w:rsid w:val="00A808E1"/>
    <w:rsid w:val="00A8262F"/>
    <w:rsid w:val="00A84B32"/>
    <w:rsid w:val="00A84B3A"/>
    <w:rsid w:val="00A87124"/>
    <w:rsid w:val="00A93B71"/>
    <w:rsid w:val="00AB0B32"/>
    <w:rsid w:val="00AB190D"/>
    <w:rsid w:val="00AB2D04"/>
    <w:rsid w:val="00AB5C39"/>
    <w:rsid w:val="00AB75A9"/>
    <w:rsid w:val="00AD1C5C"/>
    <w:rsid w:val="00AD566F"/>
    <w:rsid w:val="00AF0849"/>
    <w:rsid w:val="00B156F9"/>
    <w:rsid w:val="00B1733E"/>
    <w:rsid w:val="00B25A86"/>
    <w:rsid w:val="00B304B9"/>
    <w:rsid w:val="00B55E1A"/>
    <w:rsid w:val="00B57988"/>
    <w:rsid w:val="00B62032"/>
    <w:rsid w:val="00B65F8C"/>
    <w:rsid w:val="00B7263B"/>
    <w:rsid w:val="00B73F47"/>
    <w:rsid w:val="00B7638A"/>
    <w:rsid w:val="00B80DF9"/>
    <w:rsid w:val="00B840D8"/>
    <w:rsid w:val="00B96467"/>
    <w:rsid w:val="00BA154E"/>
    <w:rsid w:val="00BA37CE"/>
    <w:rsid w:val="00BA4692"/>
    <w:rsid w:val="00BC6FDB"/>
    <w:rsid w:val="00BC7DE8"/>
    <w:rsid w:val="00BE0966"/>
    <w:rsid w:val="00BE4207"/>
    <w:rsid w:val="00BF294A"/>
    <w:rsid w:val="00BF43BA"/>
    <w:rsid w:val="00BF5722"/>
    <w:rsid w:val="00BF6268"/>
    <w:rsid w:val="00BF720B"/>
    <w:rsid w:val="00C04511"/>
    <w:rsid w:val="00C112A3"/>
    <w:rsid w:val="00C16846"/>
    <w:rsid w:val="00C34851"/>
    <w:rsid w:val="00C42A5B"/>
    <w:rsid w:val="00C53C0B"/>
    <w:rsid w:val="00C5419D"/>
    <w:rsid w:val="00C56038"/>
    <w:rsid w:val="00C6729F"/>
    <w:rsid w:val="00C70164"/>
    <w:rsid w:val="00C72664"/>
    <w:rsid w:val="00C86F24"/>
    <w:rsid w:val="00CA38C9"/>
    <w:rsid w:val="00CB4984"/>
    <w:rsid w:val="00CB5DD7"/>
    <w:rsid w:val="00CB7795"/>
    <w:rsid w:val="00CB77D5"/>
    <w:rsid w:val="00CC14F0"/>
    <w:rsid w:val="00CD3B17"/>
    <w:rsid w:val="00CE1B90"/>
    <w:rsid w:val="00CE3B0F"/>
    <w:rsid w:val="00CE40BB"/>
    <w:rsid w:val="00CF1C71"/>
    <w:rsid w:val="00CF510F"/>
    <w:rsid w:val="00D07696"/>
    <w:rsid w:val="00D11956"/>
    <w:rsid w:val="00D15A98"/>
    <w:rsid w:val="00D500DC"/>
    <w:rsid w:val="00D54B39"/>
    <w:rsid w:val="00D64FF3"/>
    <w:rsid w:val="00D657A2"/>
    <w:rsid w:val="00D75620"/>
    <w:rsid w:val="00D760C8"/>
    <w:rsid w:val="00D83FFD"/>
    <w:rsid w:val="00D8451F"/>
    <w:rsid w:val="00D8617D"/>
    <w:rsid w:val="00D92563"/>
    <w:rsid w:val="00DC7C10"/>
    <w:rsid w:val="00DD26B1"/>
    <w:rsid w:val="00DD5177"/>
    <w:rsid w:val="00DE16B8"/>
    <w:rsid w:val="00DE20DF"/>
    <w:rsid w:val="00DE4CC2"/>
    <w:rsid w:val="00DF23FC"/>
    <w:rsid w:val="00DF39CD"/>
    <w:rsid w:val="00DF3BBE"/>
    <w:rsid w:val="00E0094D"/>
    <w:rsid w:val="00E10A17"/>
    <w:rsid w:val="00E13427"/>
    <w:rsid w:val="00E1374D"/>
    <w:rsid w:val="00E20134"/>
    <w:rsid w:val="00E24CB2"/>
    <w:rsid w:val="00E31D1C"/>
    <w:rsid w:val="00E32981"/>
    <w:rsid w:val="00E34312"/>
    <w:rsid w:val="00E3536D"/>
    <w:rsid w:val="00E44456"/>
    <w:rsid w:val="00E553B9"/>
    <w:rsid w:val="00E56E57"/>
    <w:rsid w:val="00E62EC4"/>
    <w:rsid w:val="00E6599B"/>
    <w:rsid w:val="00E726DE"/>
    <w:rsid w:val="00E844D5"/>
    <w:rsid w:val="00E86536"/>
    <w:rsid w:val="00E871C2"/>
    <w:rsid w:val="00EA1BAA"/>
    <w:rsid w:val="00ED401C"/>
    <w:rsid w:val="00EE333B"/>
    <w:rsid w:val="00EF2642"/>
    <w:rsid w:val="00EF3681"/>
    <w:rsid w:val="00EF3B7A"/>
    <w:rsid w:val="00EF4AAB"/>
    <w:rsid w:val="00F10790"/>
    <w:rsid w:val="00F10E7C"/>
    <w:rsid w:val="00F13C1E"/>
    <w:rsid w:val="00F16F17"/>
    <w:rsid w:val="00F20BC2"/>
    <w:rsid w:val="00F342E4"/>
    <w:rsid w:val="00F35330"/>
    <w:rsid w:val="00F41C91"/>
    <w:rsid w:val="00F433A4"/>
    <w:rsid w:val="00F4421A"/>
    <w:rsid w:val="00F44B1A"/>
    <w:rsid w:val="00F47316"/>
    <w:rsid w:val="00F55DA5"/>
    <w:rsid w:val="00F94BC2"/>
    <w:rsid w:val="00F95ABE"/>
    <w:rsid w:val="00F9756D"/>
    <w:rsid w:val="00FB5F12"/>
    <w:rsid w:val="00FC5117"/>
    <w:rsid w:val="00FD417F"/>
    <w:rsid w:val="00FD7255"/>
    <w:rsid w:val="00FD7B1D"/>
    <w:rsid w:val="00FE1E22"/>
    <w:rsid w:val="00FE7C68"/>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7B96FF"/>
  <w15:docId w15:val="{7DD42A87-9B8E-4656-8EB8-90642EA3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character" w:styleId="UnresolvedMention">
    <w:name w:val="Unresolved Mention"/>
    <w:basedOn w:val="DefaultParagraphFont"/>
    <w:uiPriority w:val="99"/>
    <w:semiHidden/>
    <w:unhideWhenUsed/>
    <w:rsid w:val="00D756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s://pp26.itu.in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fc59565e-0827-4b41-9436-ff1b85fc6d6f" targetNamespace="http://schemas.microsoft.com/office/2006/metadata/properties" ma:root="true" ma:fieldsID="d41af5c836d734370eb92e7ee5f83852" ns2:_="" ns3:_="">
    <xsd:import namespace="996b2e75-67fd-4955-a3b0-5ab9934cb50b"/>
    <xsd:import namespace="fc59565e-0827-4b41-9436-ff1b85fc6d6f"/>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fc59565e-0827-4b41-9436-ff1b85fc6d6f"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Author xmlns="fc59565e-0827-4b41-9436-ff1b85fc6d6f">DPM</DPM_x0020_Author>
    <DPM_x0020_File_x0020_name xmlns="fc59565e-0827-4b41-9436-ff1b85fc6d6f">S26-PP-C-0035!!MSW-E</DPM_x0020_File_x0020_name>
    <DPM_x0020_Version xmlns="fc59565e-0827-4b41-9436-ff1b85fc6d6f">DPM_2025.10.23.1</DPM_x0020_Version>
  </documentManagement>
</p:properties>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fc59565e-0827-4b41-9436-ff1b85fc6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fc59565e-0827-4b41-9436-ff1b85fc6d6f"/>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1984</Words>
  <Characters>12585</Characters>
  <Application>Microsoft Office Word</Application>
  <DocSecurity>0</DocSecurity>
  <Lines>213</Lines>
  <Paragraphs>86</Paragraphs>
  <ScaleCrop>false</ScaleCrop>
  <HeadingPairs>
    <vt:vector size="2" baseType="variant">
      <vt:variant>
        <vt:lpstr>Title</vt:lpstr>
      </vt:variant>
      <vt:variant>
        <vt:i4>1</vt:i4>
      </vt:variant>
    </vt:vector>
  </HeadingPairs>
  <TitlesOfParts>
    <vt:vector size="1" baseType="lpstr">
      <vt:lpstr>S26-PP-C-0035!!MSW-E</vt:lpstr>
    </vt:vector>
  </TitlesOfParts>
  <Manager/>
  <Company/>
  <LinksUpToDate>false</LinksUpToDate>
  <CharactersWithSpaces>14483</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S26-PP-C-0035!!MSW-E</dc:title>
  <dc:subject>ITU Plenipotentiary Conference (PP-26)</dc:subject>
  <dc:creator>Documents Proposals Manager (DPM)</dc:creator>
  <cp:keywords>DPM_v2025.11.27.2_prod</cp:keywords>
  <cp:lastModifiedBy>ITUGBS</cp:lastModifiedBy>
  <cp:revision>5</cp:revision>
  <dcterms:created xsi:type="dcterms:W3CDTF">2026-07-10T14:22:00Z</dcterms:created>
  <dcterms:modified xsi:type="dcterms:W3CDTF">2026-07-16T14:42:00Z</dcterms:modified>
  <cp:category>Conference document</cp:category>
</cp:coreProperties>
</file>