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BF32F2" w:rsidRPr="0002785D" w14:paraId="53E2F3C9" w14:textId="77777777" w:rsidTr="005A329F">
        <w:trPr>
          <w:cantSplit/>
          <w:jc w:val="center"/>
        </w:trPr>
        <w:tc>
          <w:tcPr>
            <w:tcW w:w="10031" w:type="dxa"/>
            <w:gridSpan w:val="2"/>
            <w:tcMar>
              <w:left w:w="0" w:type="dxa"/>
              <w:right w:w="0" w:type="dxa"/>
            </w:tcMar>
            <w:vAlign w:val="center"/>
          </w:tcPr>
          <w:p w14:paraId="703F9FD0" w14:textId="1C1F7963" w:rsidR="00BF32F2" w:rsidRPr="00BF32F2" w:rsidRDefault="00BF32F2" w:rsidP="00BF32F2">
            <w:pPr>
              <w:spacing w:before="0" w:line="240" w:lineRule="atLeast"/>
              <w:rPr>
                <w:rFonts w:cstheme="minorHAnsi"/>
              </w:rPr>
            </w:pPr>
            <w:bookmarkStart w:id="0" w:name="ditulogo"/>
            <w:bookmarkEnd w:id="0"/>
            <w:r>
              <w:rPr>
                <w:rFonts w:cstheme="minorHAnsi"/>
                <w:noProof/>
                <w:lang w:val="en-US"/>
              </w:rPr>
              <w:drawing>
                <wp:anchor distT="0" distB="0" distL="0" distR="0" simplePos="0" relativeHeight="251658240" behindDoc="1" locked="0" layoutInCell="1" allowOverlap="1" wp14:anchorId="7E8093DE" wp14:editId="4C22358B">
                  <wp:simplePos x="0" y="0"/>
                  <wp:positionH relativeFrom="column">
                    <wp:posOffset>-68580</wp:posOffset>
                  </wp:positionH>
                  <wp:positionV relativeFrom="paragraph">
                    <wp:posOffset>0</wp:posOffset>
                  </wp:positionV>
                  <wp:extent cx="6663600" cy="972000"/>
                  <wp:effectExtent l="0" t="0" r="0" b="0"/>
                  <wp:wrapTight wrapText="bothSides">
                    <wp:wrapPolygon edited="0">
                      <wp:start x="124" y="1694"/>
                      <wp:lineTo x="0" y="9318"/>
                      <wp:lineTo x="0" y="12282"/>
                      <wp:lineTo x="247" y="17365"/>
                      <wp:lineTo x="1050" y="18212"/>
                      <wp:lineTo x="2223" y="19059"/>
                      <wp:lineTo x="2532" y="19059"/>
                      <wp:lineTo x="3644" y="18212"/>
                      <wp:lineTo x="17045" y="16094"/>
                      <wp:lineTo x="19206" y="15247"/>
                      <wp:lineTo x="19144" y="7200"/>
                      <wp:lineTo x="16921" y="6353"/>
                      <wp:lineTo x="432" y="1694"/>
                      <wp:lineTo x="124" y="1694"/>
                    </wp:wrapPolygon>
                  </wp:wrapTight>
                  <wp:docPr id="133021193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11939" name="Picture 1" descr="A black background with a black squar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663600" cy="972000"/>
                          </a:xfrm>
                          <a:prstGeom prst="rect">
                            <a:avLst/>
                          </a:prstGeom>
                        </pic:spPr>
                      </pic:pic>
                    </a:graphicData>
                  </a:graphic>
                  <wp14:sizeRelH relativeFrom="margin">
                    <wp14:pctWidth>0</wp14:pctWidth>
                  </wp14:sizeRelH>
                  <wp14:sizeRelV relativeFrom="margin">
                    <wp14:pctHeight>0</wp14:pctHeight>
                  </wp14:sizeRelV>
                </wp:anchor>
              </w:drawing>
            </w:r>
          </w:p>
        </w:tc>
      </w:tr>
      <w:tr w:rsidR="00277985" w:rsidRPr="00930E84" w14:paraId="7936D6CB" w14:textId="77777777" w:rsidTr="005A329F">
        <w:trPr>
          <w:cantSplit/>
          <w:trHeight w:val="283"/>
          <w:jc w:val="center"/>
        </w:trPr>
        <w:tc>
          <w:tcPr>
            <w:tcW w:w="10031" w:type="dxa"/>
            <w:gridSpan w:val="2"/>
            <w:tcBorders>
              <w:bottom w:val="single" w:sz="12" w:space="0" w:color="71716F"/>
            </w:tcBorders>
          </w:tcPr>
          <w:p w14:paraId="11F82F2F" w14:textId="77777777" w:rsidR="00277985" w:rsidRPr="00DE3E41" w:rsidRDefault="00277985" w:rsidP="00BF32F2">
            <w:pPr>
              <w:spacing w:before="0" w:line="240" w:lineRule="atLeast"/>
              <w:rPr>
                <w:rFonts w:cstheme="minorHAnsi"/>
                <w:b/>
                <w:smallCaps/>
                <w:szCs w:val="24"/>
                <w:lang w:val="fr-CH"/>
              </w:rPr>
            </w:pPr>
            <w:bookmarkStart w:id="1" w:name="dhead"/>
          </w:p>
        </w:tc>
      </w:tr>
      <w:tr w:rsidR="00255FA1" w:rsidRPr="0002785D" w14:paraId="420A698C" w14:textId="77777777" w:rsidTr="005A329F">
        <w:trPr>
          <w:cantSplit/>
          <w:trHeight w:val="255"/>
          <w:jc w:val="center"/>
        </w:trPr>
        <w:tc>
          <w:tcPr>
            <w:tcW w:w="7229" w:type="dxa"/>
            <w:tcBorders>
              <w:top w:val="single" w:sz="12" w:space="0" w:color="71716F"/>
            </w:tcBorders>
          </w:tcPr>
          <w:p w14:paraId="47DB16D7" w14:textId="77777777" w:rsidR="00255FA1" w:rsidRPr="00525519" w:rsidRDefault="00255FA1" w:rsidP="00BF32F2">
            <w:pPr>
              <w:spacing w:before="0"/>
              <w:ind w:firstLine="720"/>
              <w:rPr>
                <w:rFonts w:cstheme="minorHAnsi"/>
                <w:b/>
                <w:smallCaps/>
                <w:szCs w:val="24"/>
                <w:lang w:val="es-ES"/>
              </w:rPr>
            </w:pPr>
          </w:p>
        </w:tc>
        <w:tc>
          <w:tcPr>
            <w:tcW w:w="2802" w:type="dxa"/>
            <w:tcBorders>
              <w:top w:val="single" w:sz="12" w:space="0" w:color="71716F"/>
            </w:tcBorders>
          </w:tcPr>
          <w:p w14:paraId="3B0821EE" w14:textId="77777777" w:rsidR="00255FA1" w:rsidRPr="00525519" w:rsidRDefault="00255FA1" w:rsidP="00BF32F2">
            <w:pPr>
              <w:spacing w:before="0"/>
              <w:rPr>
                <w:rFonts w:cstheme="minorHAnsi"/>
                <w:szCs w:val="24"/>
                <w:lang w:val="es-ES"/>
              </w:rPr>
            </w:pPr>
          </w:p>
        </w:tc>
      </w:tr>
      <w:bookmarkEnd w:id="1"/>
      <w:tr w:rsidR="00075113" w:rsidRPr="0002785D" w14:paraId="6E5D99D3" w14:textId="77777777" w:rsidTr="005A329F">
        <w:trPr>
          <w:cantSplit/>
          <w:jc w:val="center"/>
        </w:trPr>
        <w:tc>
          <w:tcPr>
            <w:tcW w:w="7229" w:type="dxa"/>
          </w:tcPr>
          <w:p w14:paraId="248001A5" w14:textId="3DA1C374" w:rsidR="00075113" w:rsidRPr="00525519" w:rsidRDefault="00075113" w:rsidP="00075113">
            <w:pPr>
              <w:pStyle w:val="Committee"/>
              <w:framePr w:hSpace="0" w:wrap="auto" w:hAnchor="text" w:yAlign="inline"/>
              <w:spacing w:after="0" w:line="240" w:lineRule="auto"/>
              <w:rPr>
                <w:lang w:val="es-ES"/>
              </w:rPr>
            </w:pPr>
            <w:r w:rsidRPr="00525519">
              <w:rPr>
                <w:lang w:val="es-ES"/>
              </w:rPr>
              <w:t>SESIÓN PLENARIA</w:t>
            </w:r>
          </w:p>
        </w:tc>
        <w:tc>
          <w:tcPr>
            <w:tcW w:w="2802" w:type="dxa"/>
          </w:tcPr>
          <w:p w14:paraId="5DCBCBFD" w14:textId="260A05B4" w:rsidR="00075113" w:rsidRPr="00525519" w:rsidRDefault="00075113" w:rsidP="00007FDE">
            <w:pPr>
              <w:spacing w:before="0"/>
              <w:rPr>
                <w:rFonts w:cstheme="minorHAnsi"/>
                <w:szCs w:val="24"/>
                <w:lang w:val="es-ES"/>
              </w:rPr>
            </w:pPr>
            <w:r w:rsidRPr="00525519">
              <w:rPr>
                <w:rFonts w:cstheme="minorHAnsi"/>
                <w:b/>
                <w:szCs w:val="24"/>
                <w:lang w:val="es-ES"/>
              </w:rPr>
              <w:t xml:space="preserve">Documento </w:t>
            </w:r>
            <w:r w:rsidR="00007FDE" w:rsidRPr="00525519">
              <w:rPr>
                <w:rFonts w:cstheme="minorHAnsi"/>
                <w:b/>
                <w:szCs w:val="24"/>
                <w:lang w:val="es-ES"/>
              </w:rPr>
              <w:t>33</w:t>
            </w:r>
            <w:r w:rsidRPr="00525519">
              <w:rPr>
                <w:rFonts w:cstheme="minorHAnsi"/>
                <w:b/>
                <w:szCs w:val="24"/>
                <w:lang w:val="es-ES"/>
              </w:rPr>
              <w:t>-S</w:t>
            </w:r>
          </w:p>
        </w:tc>
      </w:tr>
      <w:tr w:rsidR="00075113" w:rsidRPr="0002785D" w14:paraId="483D078B" w14:textId="77777777" w:rsidTr="005A329F">
        <w:trPr>
          <w:cantSplit/>
          <w:jc w:val="center"/>
        </w:trPr>
        <w:tc>
          <w:tcPr>
            <w:tcW w:w="7229" w:type="dxa"/>
          </w:tcPr>
          <w:p w14:paraId="17E32998" w14:textId="36F0CCB2" w:rsidR="00075113" w:rsidRPr="00525519" w:rsidRDefault="00075113" w:rsidP="00075113">
            <w:pPr>
              <w:spacing w:before="0"/>
              <w:rPr>
                <w:rFonts w:cstheme="minorHAnsi"/>
                <w:b/>
                <w:szCs w:val="24"/>
                <w:lang w:val="es-ES"/>
              </w:rPr>
            </w:pPr>
          </w:p>
        </w:tc>
        <w:tc>
          <w:tcPr>
            <w:tcW w:w="2802" w:type="dxa"/>
          </w:tcPr>
          <w:p w14:paraId="00BF5C1A" w14:textId="06249BC8" w:rsidR="00075113" w:rsidRPr="00525519" w:rsidRDefault="00556A7C" w:rsidP="00075113">
            <w:pPr>
              <w:spacing w:before="0"/>
              <w:rPr>
                <w:rFonts w:cstheme="minorHAnsi"/>
                <w:b/>
                <w:szCs w:val="24"/>
                <w:lang w:val="es-ES"/>
              </w:rPr>
            </w:pPr>
            <w:r w:rsidRPr="00525519">
              <w:rPr>
                <w:rFonts w:cstheme="minorHAnsi"/>
                <w:b/>
                <w:szCs w:val="24"/>
                <w:lang w:val="es-ES"/>
              </w:rPr>
              <w:t>5 de agosto</w:t>
            </w:r>
            <w:r w:rsidR="00746287" w:rsidRPr="00525519">
              <w:rPr>
                <w:rFonts w:cstheme="minorHAnsi"/>
                <w:b/>
                <w:szCs w:val="24"/>
                <w:lang w:val="es-ES"/>
              </w:rPr>
              <w:t xml:space="preserve"> de 2026</w:t>
            </w:r>
          </w:p>
        </w:tc>
      </w:tr>
      <w:tr w:rsidR="00075113" w:rsidRPr="0002785D" w14:paraId="7EE17784" w14:textId="77777777" w:rsidTr="005A329F">
        <w:trPr>
          <w:cantSplit/>
          <w:jc w:val="center"/>
        </w:trPr>
        <w:tc>
          <w:tcPr>
            <w:tcW w:w="7229" w:type="dxa"/>
          </w:tcPr>
          <w:p w14:paraId="68573EE1" w14:textId="77777777" w:rsidR="00075113" w:rsidRPr="00525519" w:rsidRDefault="00075113" w:rsidP="00075113">
            <w:pPr>
              <w:spacing w:before="0"/>
              <w:rPr>
                <w:rFonts w:cstheme="minorHAnsi"/>
                <w:b/>
                <w:smallCaps/>
                <w:szCs w:val="24"/>
                <w:lang w:val="es-ES"/>
              </w:rPr>
            </w:pPr>
          </w:p>
        </w:tc>
        <w:tc>
          <w:tcPr>
            <w:tcW w:w="2802" w:type="dxa"/>
          </w:tcPr>
          <w:p w14:paraId="76142BCE" w14:textId="03B29E45" w:rsidR="00075113" w:rsidRPr="00525519" w:rsidRDefault="00075113" w:rsidP="00075113">
            <w:pPr>
              <w:spacing w:before="0"/>
              <w:rPr>
                <w:rFonts w:cstheme="minorHAnsi"/>
                <w:b/>
                <w:szCs w:val="24"/>
                <w:lang w:val="es-ES"/>
              </w:rPr>
            </w:pPr>
            <w:r w:rsidRPr="00525519">
              <w:rPr>
                <w:rFonts w:cstheme="minorHAnsi"/>
                <w:b/>
                <w:szCs w:val="24"/>
                <w:lang w:val="es-ES"/>
              </w:rPr>
              <w:t>Original: inglés</w:t>
            </w:r>
          </w:p>
        </w:tc>
      </w:tr>
      <w:tr w:rsidR="00075113" w:rsidRPr="0002785D" w14:paraId="3075E850" w14:textId="77777777" w:rsidTr="005A329F">
        <w:trPr>
          <w:cantSplit/>
          <w:jc w:val="center"/>
        </w:trPr>
        <w:tc>
          <w:tcPr>
            <w:tcW w:w="10031" w:type="dxa"/>
            <w:gridSpan w:val="2"/>
          </w:tcPr>
          <w:p w14:paraId="2AB3028F" w14:textId="77777777" w:rsidR="00075113" w:rsidRPr="00525519" w:rsidRDefault="00075113" w:rsidP="00075113">
            <w:pPr>
              <w:spacing w:before="0" w:line="240" w:lineRule="atLeast"/>
              <w:rPr>
                <w:rFonts w:cstheme="minorHAnsi"/>
                <w:b/>
                <w:szCs w:val="24"/>
                <w:lang w:val="es-ES"/>
              </w:rPr>
            </w:pPr>
          </w:p>
        </w:tc>
      </w:tr>
      <w:tr w:rsidR="00075113" w:rsidRPr="0002785D" w14:paraId="53FF73A6" w14:textId="77777777" w:rsidTr="005A329F">
        <w:trPr>
          <w:cantSplit/>
          <w:jc w:val="center"/>
        </w:trPr>
        <w:tc>
          <w:tcPr>
            <w:tcW w:w="10031" w:type="dxa"/>
            <w:gridSpan w:val="2"/>
          </w:tcPr>
          <w:p w14:paraId="365E2007" w14:textId="572DC60D" w:rsidR="00075113" w:rsidRPr="00525519" w:rsidRDefault="00746287" w:rsidP="00E45605">
            <w:pPr>
              <w:pStyle w:val="Source"/>
              <w:rPr>
                <w:lang w:val="es-ES"/>
              </w:rPr>
            </w:pPr>
            <w:bookmarkStart w:id="2" w:name="dsource" w:colFirst="0" w:colLast="0"/>
            <w:r w:rsidRPr="00525519">
              <w:rPr>
                <w:lang w:val="es-ES"/>
              </w:rPr>
              <w:t>Informe de la Secretaria General</w:t>
            </w:r>
          </w:p>
        </w:tc>
      </w:tr>
      <w:tr w:rsidR="00075113" w:rsidRPr="0002785D" w14:paraId="6C060127" w14:textId="77777777" w:rsidTr="005A329F">
        <w:trPr>
          <w:cantSplit/>
          <w:jc w:val="center"/>
        </w:trPr>
        <w:tc>
          <w:tcPr>
            <w:tcW w:w="10031" w:type="dxa"/>
            <w:gridSpan w:val="2"/>
          </w:tcPr>
          <w:p w14:paraId="0A048F9C" w14:textId="5619442C" w:rsidR="00075113" w:rsidRPr="00E45605" w:rsidRDefault="008E03B3" w:rsidP="00E45605">
            <w:pPr>
              <w:pStyle w:val="Title1"/>
            </w:pPr>
            <w:bookmarkStart w:id="3" w:name="dtitle1" w:colFirst="0" w:colLast="0"/>
            <w:bookmarkEnd w:id="2"/>
            <w:r w:rsidRPr="00E45605">
              <w:rPr>
                <w:caps w:val="0"/>
              </w:rPr>
              <w:t xml:space="preserve">PLANES ESTRATÉGICO Y FINANCIERO </w:t>
            </w:r>
            <w:r>
              <w:rPr>
                <w:caps w:val="0"/>
              </w:rPr>
              <w:t xml:space="preserve">DE LA UIT </w:t>
            </w:r>
            <w:r w:rsidRPr="00E45605">
              <w:rPr>
                <w:caps w:val="0"/>
              </w:rPr>
              <w:t xml:space="preserve">PARA </w:t>
            </w:r>
            <w:r>
              <w:rPr>
                <w:caps w:val="0"/>
              </w:rPr>
              <w:t xml:space="preserve">EL PERÍODO </w:t>
            </w:r>
            <w:r w:rsidRPr="00E45605">
              <w:rPr>
                <w:caps w:val="0"/>
              </w:rPr>
              <w:t>2028-2031</w:t>
            </w:r>
          </w:p>
        </w:tc>
      </w:tr>
      <w:tr w:rsidR="00075113" w:rsidRPr="0002785D" w14:paraId="3730209C" w14:textId="77777777" w:rsidTr="005A329F">
        <w:trPr>
          <w:cantSplit/>
          <w:jc w:val="center"/>
        </w:trPr>
        <w:tc>
          <w:tcPr>
            <w:tcW w:w="10031" w:type="dxa"/>
            <w:gridSpan w:val="2"/>
          </w:tcPr>
          <w:p w14:paraId="3D6718D3" w14:textId="1B75552E" w:rsidR="00075113" w:rsidRPr="0033076E" w:rsidRDefault="00075113" w:rsidP="00075113">
            <w:pPr>
              <w:pStyle w:val="Title2"/>
              <w:rPr>
                <w:lang w:val="es-ES"/>
              </w:rPr>
            </w:pPr>
            <w:bookmarkStart w:id="4" w:name="dtitle2" w:colFirst="0" w:colLast="0"/>
            <w:bookmarkEnd w:id="3"/>
          </w:p>
        </w:tc>
      </w:tr>
      <w:tr w:rsidR="00075113" w14:paraId="1029F4FC" w14:textId="77777777" w:rsidTr="005A329F">
        <w:trPr>
          <w:cantSplit/>
          <w:jc w:val="center"/>
        </w:trPr>
        <w:tc>
          <w:tcPr>
            <w:tcW w:w="10031" w:type="dxa"/>
            <w:gridSpan w:val="2"/>
          </w:tcPr>
          <w:p w14:paraId="4C5FBEDD" w14:textId="061137F3" w:rsidR="00075113" w:rsidRDefault="00075113" w:rsidP="00075113">
            <w:pPr>
              <w:pStyle w:val="Agendaitem"/>
            </w:pPr>
            <w:bookmarkStart w:id="5" w:name="dtitle3" w:colFirst="0" w:colLast="0"/>
            <w:bookmarkEnd w:id="4"/>
          </w:p>
        </w:tc>
      </w:tr>
      <w:bookmarkEnd w:id="5"/>
    </w:tbl>
    <w:p w14:paraId="581D022E" w14:textId="77777777" w:rsidR="00746287" w:rsidRPr="0090489C" w:rsidRDefault="00746287" w:rsidP="00E45605"/>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746287" w:rsidRPr="00E76022" w14:paraId="1D55C042" w14:textId="77777777" w:rsidTr="007A7B01">
        <w:trPr>
          <w:cantSplit/>
        </w:trPr>
        <w:tc>
          <w:tcPr>
            <w:tcW w:w="8080" w:type="dxa"/>
            <w:tcBorders>
              <w:top w:val="single" w:sz="12" w:space="0" w:color="auto"/>
              <w:left w:val="single" w:sz="12" w:space="0" w:color="auto"/>
              <w:bottom w:val="single" w:sz="12" w:space="0" w:color="auto"/>
              <w:right w:val="single" w:sz="12" w:space="0" w:color="auto"/>
            </w:tcBorders>
          </w:tcPr>
          <w:p w14:paraId="6BE9941F" w14:textId="77777777" w:rsidR="00746287" w:rsidRPr="0090489C" w:rsidRDefault="00746287" w:rsidP="00402942">
            <w:pPr>
              <w:pStyle w:val="Headingb"/>
              <w:rPr>
                <w:rFonts w:asciiTheme="minorHAnsi" w:hAnsiTheme="minorHAnsi" w:cstheme="minorHAnsi"/>
              </w:rPr>
            </w:pPr>
            <w:bookmarkStart w:id="6" w:name="_Toc305764050"/>
            <w:r w:rsidRPr="0090489C">
              <w:t>Resumen</w:t>
            </w:r>
            <w:bookmarkEnd w:id="6"/>
          </w:p>
          <w:p w14:paraId="7AE45B4D" w14:textId="77777777" w:rsidR="00746287" w:rsidRPr="0090489C" w:rsidRDefault="00746287" w:rsidP="005F4C1B">
            <w:pPr>
              <w:jc w:val="both"/>
            </w:pPr>
            <w:r w:rsidRPr="0090489C">
              <w:t>En el presente informe se presentan, para su consideración por la Conferencia de Plenipotenciarios de 2026, los resultados de los trabajos de la Secretaría encaminados a perfeccionar determinadas metas propuestas y sus correspondientes indicadores, en respuesta a la solicitud formulada por el Consejo en su reunión de 2026.</w:t>
            </w:r>
          </w:p>
          <w:p w14:paraId="258F847F" w14:textId="77777777" w:rsidR="00746287" w:rsidRPr="0090489C" w:rsidRDefault="00746287" w:rsidP="00402942">
            <w:pPr>
              <w:pStyle w:val="Headingb"/>
              <w:rPr>
                <w:rFonts w:asciiTheme="minorHAnsi" w:hAnsiTheme="minorHAnsi" w:cstheme="minorHAnsi"/>
                <w:bCs/>
                <w:szCs w:val="24"/>
              </w:rPr>
            </w:pPr>
            <w:bookmarkStart w:id="7" w:name="_Toc305764051"/>
            <w:r w:rsidRPr="0090489C">
              <w:rPr>
                <w:bCs/>
                <w:color w:val="000000"/>
                <w:szCs w:val="24"/>
              </w:rPr>
              <w:t xml:space="preserve">Acción </w:t>
            </w:r>
            <w:r w:rsidRPr="00402942">
              <w:t>solicitada</w:t>
            </w:r>
            <w:bookmarkEnd w:id="7"/>
          </w:p>
          <w:p w14:paraId="0DDAC8CB" w14:textId="354ABB90" w:rsidR="00746287" w:rsidRPr="0090489C" w:rsidRDefault="00746287" w:rsidP="005F4C1B">
            <w:pPr>
              <w:spacing w:after="120"/>
              <w:jc w:val="both"/>
            </w:pPr>
            <w:r w:rsidRPr="0090489C">
              <w:t xml:space="preserve">Se invita a </w:t>
            </w:r>
            <w:r w:rsidRPr="00402942">
              <w:t>la</w:t>
            </w:r>
            <w:r w:rsidRPr="0090489C">
              <w:t xml:space="preserve"> Conferencia de Plenipotenciarios a </w:t>
            </w:r>
            <w:r w:rsidRPr="00EE52C0">
              <w:rPr>
                <w:b/>
                <w:bCs/>
              </w:rPr>
              <w:t>tomar en consideración</w:t>
            </w:r>
            <w:r w:rsidRPr="0090489C">
              <w:t xml:space="preserve"> el presente informe, junto con el Documento</w:t>
            </w:r>
            <w:r w:rsidR="00556A7C">
              <w:t xml:space="preserve"> </w:t>
            </w:r>
            <w:hyperlink r:id="rId8" w:history="1">
              <w:r w:rsidR="00556A7C" w:rsidRPr="00525519">
                <w:rPr>
                  <w:rStyle w:val="Hyperlink"/>
                </w:rPr>
                <w:t>32</w:t>
              </w:r>
            </w:hyperlink>
            <w:r w:rsidRPr="0090489C">
              <w:t>.</w:t>
            </w:r>
            <w:hyperlink r:id="rId9" w:history="1"/>
          </w:p>
        </w:tc>
      </w:tr>
    </w:tbl>
    <w:p w14:paraId="19C084DC" w14:textId="77777777" w:rsidR="00746287" w:rsidRPr="0090489C" w:rsidRDefault="00746287" w:rsidP="00746287">
      <w:r w:rsidRPr="0090489C">
        <w:br w:type="page"/>
      </w:r>
    </w:p>
    <w:p w14:paraId="09B5A5EC" w14:textId="77777777" w:rsidR="00746287" w:rsidRPr="0090489C" w:rsidRDefault="00746287" w:rsidP="003F7F3E">
      <w:pPr>
        <w:jc w:val="both"/>
      </w:pPr>
      <w:r w:rsidRPr="0090489C">
        <w:lastRenderedPageBreak/>
        <w:t>El presente informe se somete a la consideración de la Conferencia de Plenipotenciarios de 2026 (PP-26), en respuesta a la solicitud formulada por el Consejo en su reunión de 2026 para que la Secretaría siga considerando y perfeccionando las metas propuestas seleccionadas y sus indicadores asociados, como se detalla a continuación:</w:t>
      </w:r>
    </w:p>
    <w:p w14:paraId="18AAF27A" w14:textId="7FB6A63D" w:rsidR="00746287" w:rsidRPr="003F7F3E" w:rsidRDefault="00746287" w:rsidP="003F7F3E">
      <w:pPr>
        <w:pStyle w:val="enumlev1"/>
        <w:jc w:val="both"/>
        <w:rPr>
          <w:spacing w:val="-2"/>
        </w:rPr>
      </w:pPr>
      <w:r w:rsidRPr="003F7F3E">
        <w:rPr>
          <w:spacing w:val="-2"/>
        </w:rPr>
        <w:t>–</w:t>
      </w:r>
      <w:r w:rsidRPr="003F7F3E">
        <w:rPr>
          <w:spacing w:val="-2"/>
        </w:rPr>
        <w:tab/>
        <w:t>Meta 1.5 (Redes resilientes): coordinarse con la</w:t>
      </w:r>
      <w:r w:rsidR="00460EA3" w:rsidRPr="003F7F3E">
        <w:rPr>
          <w:spacing w:val="-2"/>
        </w:rPr>
        <w:t xml:space="preserve"> </w:t>
      </w:r>
      <w:r w:rsidRPr="003F7F3E">
        <w:rPr>
          <w:spacing w:val="-2"/>
        </w:rPr>
        <w:t>Secretaría General y las Oficinas pertinentes para seguir estudiando la mejora y la posible inclusión de las actividades de la UIT relacionadas con los cables submarinos, sobre la base de estadísticas pertinentes para justificar esa inclusión.</w:t>
      </w:r>
    </w:p>
    <w:p w14:paraId="7124FE72" w14:textId="3C8B9E91" w:rsidR="00746287" w:rsidRPr="0090489C" w:rsidRDefault="00746287" w:rsidP="003F7F3E">
      <w:pPr>
        <w:pStyle w:val="enumlev1"/>
        <w:jc w:val="both"/>
      </w:pPr>
      <w:r w:rsidRPr="0090489C">
        <w:t>–</w:t>
      </w:r>
      <w:r w:rsidRPr="0090489C">
        <w:tab/>
        <w:t xml:space="preserve">Meta 1.6 (Supresión de la interferencia perjudicial): colaborar estrechamente con el Director de la Oficina de Radiocomunicaciones </w:t>
      </w:r>
      <w:r w:rsidR="00556A7C">
        <w:t xml:space="preserve">(BR) </w:t>
      </w:r>
      <w:r w:rsidRPr="0090489C">
        <w:t>para identificar mejores indicadores que reflejen con mayor precisión la forma en que la UIT aborda las cuestiones relacionadas con la interferencia perjudicial.</w:t>
      </w:r>
    </w:p>
    <w:p w14:paraId="33424A3C" w14:textId="3372906F" w:rsidR="00746287" w:rsidRPr="0090489C" w:rsidRDefault="00746287" w:rsidP="003F7F3E">
      <w:pPr>
        <w:pStyle w:val="enumlev1"/>
        <w:jc w:val="both"/>
      </w:pPr>
      <w:r w:rsidRPr="0090489C">
        <w:t>–</w:t>
      </w:r>
      <w:r w:rsidRPr="0090489C">
        <w:tab/>
        <w:t>Meta 1.7 (Repercusión de las normas de interoperabilidad): colaborar estrechamente con el</w:t>
      </w:r>
      <w:r>
        <w:t> </w:t>
      </w:r>
      <w:r w:rsidRPr="0090489C">
        <w:t>Director de la Oficina de Normalización de las Telecomunicaciones para identificar indicadores más adecuados a tal efecto.</w:t>
      </w:r>
    </w:p>
    <w:p w14:paraId="1126AC27" w14:textId="7AE331C7" w:rsidR="00746287" w:rsidRPr="0090489C" w:rsidRDefault="00746287" w:rsidP="003F7F3E">
      <w:pPr>
        <w:jc w:val="both"/>
      </w:pPr>
      <w:r w:rsidRPr="0090489C">
        <w:t xml:space="preserve">Tras las consultas internas mantenidas con las Oficinas pertinentes, en el presente informe se presentan las mejoras </w:t>
      </w:r>
      <w:r w:rsidRPr="003F7F3E">
        <w:t>propuestas por la Secretaría para su consideración por la PP-26, junto con los resultados del Grupo de Trabajo del Consejo sobre los Planes Estratégico y Financiero para 2028</w:t>
      </w:r>
      <w:r w:rsidR="003F7F3E">
        <w:noBreakHyphen/>
      </w:r>
      <w:r w:rsidRPr="003F7F3E">
        <w:t>2031 (véase el Documento</w:t>
      </w:r>
      <w:r w:rsidR="00C26EE6" w:rsidRPr="003F7F3E">
        <w:t> </w:t>
      </w:r>
      <w:hyperlink r:id="rId10" w:history="1">
        <w:r w:rsidR="00556A7C" w:rsidRPr="003F7F3E">
          <w:rPr>
            <w:rStyle w:val="Hyperlink"/>
          </w:rPr>
          <w:t>32</w:t>
        </w:r>
      </w:hyperlink>
      <w:r w:rsidRPr="003F7F3E">
        <w:t>).</w:t>
      </w:r>
      <w:hyperlink r:id="rId11" w:history="1"/>
    </w:p>
    <w:p w14:paraId="13A70B2B" w14:textId="6FC670E1" w:rsidR="00746287" w:rsidRPr="0090489C" w:rsidRDefault="00746287" w:rsidP="003F7F3E">
      <w:pPr>
        <w:jc w:val="both"/>
      </w:pPr>
      <w:r w:rsidRPr="0090489C">
        <w:t xml:space="preserve">Al examinar las </w:t>
      </w:r>
      <w:r w:rsidR="00385079" w:rsidRPr="0090489C">
        <w:t xml:space="preserve">Metas </w:t>
      </w:r>
      <w:r w:rsidRPr="0090489C">
        <w:t>propuestas 1.5 y 1.6, la Secretaría consideró que las esferas de trabajo pertinentes quedarían reflejadas más adecuadamente a nivel de resultados dentro del marco de resultados. Este enfoque captaría mejor la naturaleza del trabajo de la UIT y facilitaría su seguimiento eficaz mediante indicadores SMART.</w:t>
      </w:r>
    </w:p>
    <w:p w14:paraId="0A64308A" w14:textId="1601A52C" w:rsidR="00746287" w:rsidRPr="0090489C" w:rsidRDefault="00746287" w:rsidP="003F7F3E">
      <w:pPr>
        <w:jc w:val="both"/>
      </w:pPr>
      <w:r w:rsidRPr="0090489C">
        <w:t xml:space="preserve">Con respecto a la </w:t>
      </w:r>
      <w:r w:rsidR="00385079" w:rsidRPr="0090489C">
        <w:t>Meta</w:t>
      </w:r>
      <w:r w:rsidR="00385079">
        <w:t> </w:t>
      </w:r>
      <w:r w:rsidRPr="0090489C">
        <w:t xml:space="preserve">1.5, los indicadores tradicionales, como la calidad de servicio y la calidad percibida, no reflejan plenamente la resiliencia de la red. La resiliencia también requiere prestar atención a la redundancia, la diversidad, la supervivencia, la capacidad de restauración, la ciberseguridad y la preparación para las perturbaciones físicas y cibernéticas. Por consiguiente, el informe presenta indicadores adicionales que complementan las esferas ya abarcadas en el marco de resultados propuesto, como la ciberseguridad y la preparación, y las telecomunicaciones incipientes. Esto es cada vez más importante, ya que los servicios públicos digitales, las plataformas en la nube, los sistemas de supervisión y los flujos de datos transfronterizos dependen de una conectividad continua y fiable. De acuerdo con las orientaciones del Consejo, la resiliencia de los cables submarinos también debería reconocerse explícitamente como parte de la infraestructura esencial de conectividad internacional. Esto incluye políticas </w:t>
      </w:r>
      <w:r w:rsidR="00556A7C">
        <w:t xml:space="preserve">y directrices </w:t>
      </w:r>
      <w:r w:rsidRPr="0090489C">
        <w:t xml:space="preserve">nacionales de protección, mecanismos de coordinación </w:t>
      </w:r>
      <w:r w:rsidR="00556A7C">
        <w:t xml:space="preserve">de respuesta </w:t>
      </w:r>
      <w:r w:rsidRPr="0090489C">
        <w:t xml:space="preserve">para reparaciones y restablecimiento, </w:t>
      </w:r>
      <w:r w:rsidR="00556A7C">
        <w:t>normas UIT adoptadas</w:t>
      </w:r>
      <w:r w:rsidR="00556A7C" w:rsidRPr="0090489C">
        <w:t xml:space="preserve"> </w:t>
      </w:r>
      <w:r w:rsidRPr="0090489C">
        <w:t xml:space="preserve">para garantizar la diversidad de rutas y </w:t>
      </w:r>
      <w:r w:rsidR="00556A7C">
        <w:t xml:space="preserve">estrategias para </w:t>
      </w:r>
      <w:r w:rsidRPr="0090489C">
        <w:t>reducir los únicos puntos de fallo en la conectividad internacional, y la adopción progresiva de tecnologías incipientes, incluida la supervisión de la red y los mecanismos automatizados de resiliencia para las infraestructuras de telecomunicaciones críticas, entre ell</w:t>
      </w:r>
      <w:r w:rsidR="009533D4">
        <w:t>o</w:t>
      </w:r>
      <w:r w:rsidRPr="0090489C">
        <w:t>s los sistemas de cable submarino, para facilitar la detección temprana de fallos, el mantenimiento predictivo y el restablecimiento rápido de los servicios.</w:t>
      </w:r>
    </w:p>
    <w:p w14:paraId="40A6CF49" w14:textId="77777777" w:rsidR="00746287" w:rsidRPr="0090489C" w:rsidRDefault="00746287" w:rsidP="003F7F3E">
      <w:pPr>
        <w:jc w:val="both"/>
      </w:pPr>
      <w:r w:rsidRPr="0090489C">
        <w:t>El informe se basa en la labor establecida de la UIT en materia de normalización, desarrollo y apoyo político. Las referencias pertinentes pueden ser Recomendaciones del UIT-T sobre fiabilidad y resiliencia, trabajos del UIT-D sobre telecomunicaciones de emergencia e iniciativas de resiliencia de red, que pueden seguirse mediante el Rastreador de Reglamentación de las TIC de la UIT y las encuestas del UIT-D, además de informes basados en casos concretos.</w:t>
      </w:r>
    </w:p>
    <w:p w14:paraId="566C79BF" w14:textId="171DAD1E" w:rsidR="00746287" w:rsidRPr="0090489C" w:rsidRDefault="00746287" w:rsidP="003F7F3E">
      <w:pPr>
        <w:spacing w:after="120"/>
        <w:jc w:val="both"/>
      </w:pPr>
      <w:r w:rsidRPr="0090489C">
        <w:lastRenderedPageBreak/>
        <w:t>Sobre esta base, la Secretaría desearía presentar tres nuevos resultados en el marco de la prioridad "Infraestructura y servicios de telecomunicaciones/TIC inclusivos y seguros":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105"/>
        <w:gridCol w:w="3841"/>
      </w:tblGrid>
      <w:tr w:rsidR="00746287" w:rsidRPr="0090489C" w14:paraId="54F4FBB1" w14:textId="77777777" w:rsidTr="0066021C">
        <w:trPr>
          <w:cantSplit/>
          <w:jc w:val="center"/>
        </w:trPr>
        <w:tc>
          <w:tcPr>
            <w:tcW w:w="1395" w:type="pct"/>
          </w:tcPr>
          <w:p w14:paraId="1A877D5D" w14:textId="2BE7BDE3" w:rsidR="00746287" w:rsidRPr="0066021C" w:rsidRDefault="00746287" w:rsidP="0066021C">
            <w:pPr>
              <w:pStyle w:val="Tablehead"/>
            </w:pPr>
            <w:r w:rsidRPr="0066021C">
              <w:t>Prioridad</w:t>
            </w:r>
          </w:p>
        </w:tc>
        <w:tc>
          <w:tcPr>
            <w:tcW w:w="1611" w:type="pct"/>
          </w:tcPr>
          <w:p w14:paraId="5AE11E9E" w14:textId="778E5F37" w:rsidR="00746287" w:rsidRPr="0066021C" w:rsidRDefault="00746287" w:rsidP="0066021C">
            <w:pPr>
              <w:pStyle w:val="Tablehead"/>
            </w:pPr>
            <w:r w:rsidRPr="0066021C">
              <w:t>Resultado</w:t>
            </w:r>
          </w:p>
        </w:tc>
        <w:tc>
          <w:tcPr>
            <w:tcW w:w="1993" w:type="pct"/>
          </w:tcPr>
          <w:p w14:paraId="09607855" w14:textId="77777777" w:rsidR="00746287" w:rsidRPr="0066021C" w:rsidRDefault="00746287" w:rsidP="0066021C">
            <w:pPr>
              <w:pStyle w:val="Tablehead"/>
            </w:pPr>
            <w:r w:rsidRPr="0066021C">
              <w:t>Indicador a nivel de resultados</w:t>
            </w:r>
          </w:p>
        </w:tc>
      </w:tr>
      <w:tr w:rsidR="00746287" w:rsidRPr="0090489C" w14:paraId="736E90A1" w14:textId="77777777" w:rsidTr="0066021C">
        <w:trPr>
          <w:cantSplit/>
          <w:jc w:val="center"/>
        </w:trPr>
        <w:tc>
          <w:tcPr>
            <w:tcW w:w="1395" w:type="pct"/>
            <w:vMerge w:val="restart"/>
          </w:tcPr>
          <w:p w14:paraId="55689296" w14:textId="746C7F82" w:rsidR="00746287" w:rsidRPr="0066021C" w:rsidRDefault="00746287" w:rsidP="0066021C">
            <w:pPr>
              <w:pStyle w:val="Tabletext"/>
            </w:pPr>
            <w:r w:rsidRPr="0066021C">
              <w:t>Infraestructura y servicios de telecomunicaciones/TIC inclusivos y seguros</w:t>
            </w:r>
          </w:p>
        </w:tc>
        <w:tc>
          <w:tcPr>
            <w:tcW w:w="1611" w:type="pct"/>
          </w:tcPr>
          <w:p w14:paraId="27CC63CE" w14:textId="7959365E" w:rsidR="00746287" w:rsidRPr="0066021C" w:rsidRDefault="00746287" w:rsidP="00904D4A">
            <w:pPr>
              <w:pStyle w:val="Tabletext"/>
              <w:tabs>
                <w:tab w:val="left" w:pos="315"/>
              </w:tabs>
              <w:ind w:left="319" w:hanging="319"/>
            </w:pPr>
            <w:r w:rsidRPr="0066021C">
              <w:t>–</w:t>
            </w:r>
            <w:r w:rsidRPr="0066021C">
              <w:tab/>
              <w:t>Reglamentación de la diversidad y la redundancia de red</w:t>
            </w:r>
          </w:p>
        </w:tc>
        <w:tc>
          <w:tcPr>
            <w:tcW w:w="1993" w:type="pct"/>
          </w:tcPr>
          <w:p w14:paraId="671D8B1C" w14:textId="4E217902" w:rsidR="00746287" w:rsidRPr="0066021C" w:rsidRDefault="00746287" w:rsidP="00904D4A">
            <w:pPr>
              <w:pStyle w:val="Tabletext"/>
              <w:tabs>
                <w:tab w:val="left" w:pos="315"/>
              </w:tabs>
              <w:ind w:left="319" w:hanging="319"/>
            </w:pPr>
            <w:r w:rsidRPr="0066021C">
              <w:t>–</w:t>
            </w:r>
            <w:r w:rsidRPr="0066021C">
              <w:tab/>
              <w:t>Estados Miembros que exigen a los operadores que implementen la redundancia y la diversidad de rutas para las infraestructuras esenciales, incluida la conectividad internacional</w:t>
            </w:r>
          </w:p>
        </w:tc>
      </w:tr>
      <w:tr w:rsidR="00746287" w:rsidRPr="0090489C" w14:paraId="60CA6395" w14:textId="77777777" w:rsidTr="0066021C">
        <w:trPr>
          <w:cantSplit/>
          <w:jc w:val="center"/>
        </w:trPr>
        <w:tc>
          <w:tcPr>
            <w:tcW w:w="1395" w:type="pct"/>
            <w:vMerge/>
          </w:tcPr>
          <w:p w14:paraId="73AF5A0F" w14:textId="77777777" w:rsidR="00746287" w:rsidRPr="0066021C" w:rsidRDefault="00746287" w:rsidP="0066021C">
            <w:pPr>
              <w:pStyle w:val="Tabletext"/>
            </w:pPr>
          </w:p>
        </w:tc>
        <w:tc>
          <w:tcPr>
            <w:tcW w:w="1611" w:type="pct"/>
          </w:tcPr>
          <w:p w14:paraId="291EEF1B" w14:textId="71CA4F83" w:rsidR="00746287" w:rsidRPr="0066021C" w:rsidRDefault="00746287" w:rsidP="00904D4A">
            <w:pPr>
              <w:pStyle w:val="Tabletext"/>
              <w:tabs>
                <w:tab w:val="left" w:pos="315"/>
              </w:tabs>
              <w:ind w:left="319" w:hanging="319"/>
            </w:pPr>
            <w:r w:rsidRPr="0066021C">
              <w:t>–</w:t>
            </w:r>
            <w:r w:rsidRPr="0066021C">
              <w:tab/>
              <w:t>Capacidad de respuesta y supervisión de interrupciones</w:t>
            </w:r>
          </w:p>
        </w:tc>
        <w:tc>
          <w:tcPr>
            <w:tcW w:w="1993" w:type="pct"/>
          </w:tcPr>
          <w:p w14:paraId="22C7A9D0" w14:textId="752C205C" w:rsidR="00746287" w:rsidRPr="0066021C" w:rsidRDefault="00746287" w:rsidP="00904D4A">
            <w:pPr>
              <w:pStyle w:val="Tabletext"/>
              <w:tabs>
                <w:tab w:val="left" w:pos="315"/>
              </w:tabs>
              <w:ind w:left="319" w:hanging="319"/>
            </w:pPr>
            <w:r w:rsidRPr="0066021C">
              <w:t>–</w:t>
            </w:r>
            <w:r w:rsidRPr="0066021C">
              <w:tab/>
              <w:t>Estados Miembros con mecanismos para supervisar, informar y responder a las interrupciones importantes de la red que afectan a servicios esenciales</w:t>
            </w:r>
          </w:p>
        </w:tc>
      </w:tr>
      <w:tr w:rsidR="00746287" w:rsidRPr="0090489C" w14:paraId="63980F48" w14:textId="77777777" w:rsidTr="0066021C">
        <w:trPr>
          <w:cantSplit/>
          <w:jc w:val="center"/>
        </w:trPr>
        <w:tc>
          <w:tcPr>
            <w:tcW w:w="1395" w:type="pct"/>
            <w:vMerge/>
          </w:tcPr>
          <w:p w14:paraId="4F5B2EDC" w14:textId="77777777" w:rsidR="00746287" w:rsidRPr="0066021C" w:rsidRDefault="00746287" w:rsidP="0066021C">
            <w:pPr>
              <w:pStyle w:val="Tabletext"/>
            </w:pPr>
          </w:p>
        </w:tc>
        <w:tc>
          <w:tcPr>
            <w:tcW w:w="1611" w:type="pct"/>
          </w:tcPr>
          <w:p w14:paraId="78217EB1" w14:textId="4A4C7250" w:rsidR="00746287" w:rsidRPr="0066021C" w:rsidRDefault="00746287" w:rsidP="00904D4A">
            <w:pPr>
              <w:pStyle w:val="Tabletext"/>
              <w:tabs>
                <w:tab w:val="left" w:pos="315"/>
              </w:tabs>
              <w:ind w:left="319" w:hanging="319"/>
            </w:pPr>
            <w:r w:rsidRPr="0066021C">
              <w:t>–</w:t>
            </w:r>
            <w:r w:rsidRPr="0066021C">
              <w:tab/>
              <w:t>Medidas de resiliencia de cables submarinos</w:t>
            </w:r>
          </w:p>
        </w:tc>
        <w:tc>
          <w:tcPr>
            <w:tcW w:w="1993" w:type="pct"/>
          </w:tcPr>
          <w:p w14:paraId="38064529" w14:textId="582A5629" w:rsidR="00746287" w:rsidRPr="0066021C" w:rsidRDefault="00746287" w:rsidP="00904D4A">
            <w:pPr>
              <w:pStyle w:val="Tabletext"/>
              <w:tabs>
                <w:tab w:val="left" w:pos="315"/>
              </w:tabs>
              <w:ind w:left="319" w:hanging="319"/>
            </w:pPr>
            <w:r w:rsidRPr="0066021C">
              <w:t>–</w:t>
            </w:r>
            <w:r w:rsidRPr="0066021C">
              <w:tab/>
              <w:t xml:space="preserve">Estados Miembros que aplican políticas o mecanismos de coordinación para la </w:t>
            </w:r>
            <w:r w:rsidR="00A15A27">
              <w:t xml:space="preserve">resiliencia </w:t>
            </w:r>
            <w:r w:rsidRPr="0066021C">
              <w:t>de los cables submarinos</w:t>
            </w:r>
            <w:r w:rsidR="00A15A27">
              <w:t xml:space="preserve"> (es decir, la </w:t>
            </w:r>
            <w:r w:rsidR="00A15A27" w:rsidRPr="0066021C">
              <w:t>protección</w:t>
            </w:r>
            <w:r w:rsidRPr="0066021C">
              <w:t>, la diversidad de rutas y la preparación para el restablecimiento, incluidas las capacidades de supervisión y resiliencia automatizadas para la detección de fallos, el mantenimiento predictivo y la restauración del servicio</w:t>
            </w:r>
            <w:r w:rsidR="00A15A27">
              <w:t>)</w:t>
            </w:r>
          </w:p>
        </w:tc>
      </w:tr>
    </w:tbl>
    <w:p w14:paraId="396B0975" w14:textId="77777777" w:rsidR="003F7F3E" w:rsidRPr="00EE52C0" w:rsidRDefault="003F7F3E" w:rsidP="003F7F3E">
      <w:pPr>
        <w:pStyle w:val="Tablefin"/>
        <w:rPr>
          <w:lang w:val="es-ES"/>
        </w:rPr>
      </w:pPr>
    </w:p>
    <w:p w14:paraId="1F743824" w14:textId="0D98C931" w:rsidR="00746287" w:rsidRPr="0090489C" w:rsidRDefault="00746287" w:rsidP="003F7F3E">
      <w:pPr>
        <w:jc w:val="both"/>
      </w:pPr>
      <w:r w:rsidRPr="0090489C">
        <w:t xml:space="preserve">En cuanto a la </w:t>
      </w:r>
      <w:r w:rsidR="00385079" w:rsidRPr="0090489C">
        <w:t>Meta</w:t>
      </w:r>
      <w:r w:rsidR="00385079">
        <w:t> </w:t>
      </w:r>
      <w:r w:rsidRPr="0090489C">
        <w:t xml:space="preserve">1.6, la Secretaría recomienda </w:t>
      </w:r>
      <w:r w:rsidR="00556A7C">
        <w:t xml:space="preserve">no </w:t>
      </w:r>
      <w:r w:rsidRPr="0090489C">
        <w:t>mantener</w:t>
      </w:r>
      <w:r w:rsidR="00556A7C">
        <w:t>la como una meta diferente y, en lugar de ello, considerar</w:t>
      </w:r>
      <w:r w:rsidRPr="0090489C">
        <w:t xml:space="preserve"> "Espectro de frecuencias radioeléctricas exento de interferencias perjudiciales" como </w:t>
      </w:r>
      <w:r w:rsidR="00556A7C">
        <w:t xml:space="preserve">otro </w:t>
      </w:r>
      <w:r w:rsidRPr="0090489C">
        <w:t>resultado de la prioridad relativa a la "Utilización del espectro para los servicios espaciales y terrenales", como se refleja actualmente en el Plan Estratégico 2024-2027.</w:t>
      </w:r>
    </w:p>
    <w:p w14:paraId="489A890E" w14:textId="06ED1AFF" w:rsidR="00746287" w:rsidRPr="0090489C" w:rsidRDefault="00746287" w:rsidP="005C26CF">
      <w:pPr>
        <w:jc w:val="both"/>
      </w:pPr>
      <w:r w:rsidRPr="0090489C">
        <w:t>Este resultado propuesto aborda una dimensión distinta y complementaria de la utilización del espectro. Aunque el actual Resultado 1 (</w:t>
      </w:r>
      <w:r w:rsidRPr="005C26CF">
        <w:rPr>
          <w:i/>
          <w:iCs/>
        </w:rPr>
        <w:t>Utilización eficaz, económica, racional y equitativa de los recursos del espectro de radiofrecuencias y de los recursos de órbita</w:t>
      </w:r>
      <w:r w:rsidRPr="0090489C">
        <w:t>) recoge los principios de eficacia, economía, racionalidad y equidad, el Resultado 2 propuesto introduciría el criterio de ausencia de interferencia perjudicial, lo que garantizaría que la utilización del espectro no solo se optimizase</w:t>
      </w:r>
      <w:r w:rsidR="001C7519">
        <w:t>,</w:t>
      </w:r>
      <w:r w:rsidRPr="0090489C">
        <w:t xml:space="preserve"> sino también que fuese fiable. La protección contra la interferencia perjudicial sigue siendo un objetivo fundamental, permanente y transversal de la labor y los productos del Sector de Radiocomunicaciones (UIT-R).</w:t>
      </w:r>
    </w:p>
    <w:p w14:paraId="6B88BEF7" w14:textId="09DA83E8" w:rsidR="00746287" w:rsidRPr="0090489C" w:rsidRDefault="00556A7C" w:rsidP="00904D4A">
      <w:pPr>
        <w:jc w:val="both"/>
      </w:pPr>
      <w:r>
        <w:t>Como</w:t>
      </w:r>
      <w:r w:rsidR="00746287" w:rsidRPr="0090489C">
        <w:t xml:space="preserve"> el número de casos de interferencia perjudicial comunicados y resueltos corresponde a una métrica de procedimiento operacional de la BR y no a indicadores estratégicos de rendimiento</w:t>
      </w:r>
      <w:r>
        <w:t>, casos así se considerarán como indicadores de resultado del Resultado 2</w:t>
      </w:r>
      <w:r w:rsidR="00904D4A">
        <w:t>.</w:t>
      </w:r>
    </w:p>
    <w:p w14:paraId="0CA4D0AF" w14:textId="13514F2B" w:rsidR="00746287" w:rsidRPr="0090489C" w:rsidRDefault="00746287" w:rsidP="0066021C">
      <w:pPr>
        <w:keepNext/>
        <w:keepLines/>
        <w:spacing w:after="120"/>
      </w:pPr>
      <w:r w:rsidRPr="0090489C">
        <w:lastRenderedPageBreak/>
        <w:t>La enmienda propuesta, que se somete a la consideración de la PP-26, es la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3898"/>
        <w:gridCol w:w="3898"/>
      </w:tblGrid>
      <w:tr w:rsidR="00746287" w:rsidRPr="0090489C" w14:paraId="60A96D1C" w14:textId="77777777" w:rsidTr="007A7B01">
        <w:trPr>
          <w:trHeight w:val="97"/>
        </w:trPr>
        <w:tc>
          <w:tcPr>
            <w:tcW w:w="954" w:type="pct"/>
          </w:tcPr>
          <w:p w14:paraId="29E66E5E" w14:textId="77777777" w:rsidR="00746287" w:rsidRPr="0066021C" w:rsidRDefault="00746287" w:rsidP="0066021C">
            <w:pPr>
              <w:pStyle w:val="Tablehead"/>
            </w:pPr>
            <w:r w:rsidRPr="0066021C">
              <w:t xml:space="preserve">Prioridad </w:t>
            </w:r>
          </w:p>
        </w:tc>
        <w:tc>
          <w:tcPr>
            <w:tcW w:w="2023" w:type="pct"/>
          </w:tcPr>
          <w:p w14:paraId="0824C6BF" w14:textId="77777777" w:rsidR="00746287" w:rsidRPr="0066021C" w:rsidRDefault="00746287" w:rsidP="0066021C">
            <w:pPr>
              <w:pStyle w:val="Tablehead"/>
            </w:pPr>
            <w:r w:rsidRPr="0066021C">
              <w:t xml:space="preserve">Resultado </w:t>
            </w:r>
          </w:p>
        </w:tc>
        <w:tc>
          <w:tcPr>
            <w:tcW w:w="2023" w:type="pct"/>
          </w:tcPr>
          <w:p w14:paraId="05E94284" w14:textId="77777777" w:rsidR="00746287" w:rsidRPr="0066021C" w:rsidRDefault="00746287" w:rsidP="0066021C">
            <w:pPr>
              <w:pStyle w:val="Tablehead"/>
            </w:pPr>
            <w:r w:rsidRPr="0066021C">
              <w:t xml:space="preserve">Indicador a nivel de resultados </w:t>
            </w:r>
          </w:p>
        </w:tc>
      </w:tr>
      <w:tr w:rsidR="00746287" w:rsidRPr="0090489C" w14:paraId="48A8CB0B" w14:textId="77777777" w:rsidTr="007A7B01">
        <w:trPr>
          <w:trHeight w:val="97"/>
        </w:trPr>
        <w:tc>
          <w:tcPr>
            <w:tcW w:w="954" w:type="pct"/>
          </w:tcPr>
          <w:p w14:paraId="5ECBBCFD" w14:textId="77777777" w:rsidR="00746287" w:rsidRPr="0066021C" w:rsidRDefault="00746287" w:rsidP="007A7B01">
            <w:pPr>
              <w:pStyle w:val="Tabletext"/>
              <w:rPr>
                <w:b/>
                <w:bCs/>
              </w:rPr>
            </w:pPr>
            <w:r w:rsidRPr="0066021C">
              <w:rPr>
                <w:b/>
                <w:bCs/>
              </w:rPr>
              <w:t>Utilización del espectro para servicios espaciales y terrenales</w:t>
            </w:r>
          </w:p>
        </w:tc>
        <w:tc>
          <w:tcPr>
            <w:tcW w:w="2023" w:type="pct"/>
          </w:tcPr>
          <w:p w14:paraId="491E0C61" w14:textId="6E87B5FF" w:rsidR="00746287" w:rsidRPr="00385079" w:rsidRDefault="00746287" w:rsidP="00385079">
            <w:pPr>
              <w:pStyle w:val="Tabletext"/>
              <w:tabs>
                <w:tab w:val="left" w:pos="319"/>
              </w:tabs>
              <w:ind w:left="319" w:hanging="319"/>
            </w:pPr>
            <w:r w:rsidRPr="00385079">
              <w:t>–</w:t>
            </w:r>
            <w:r w:rsidRPr="00385079">
              <w:tab/>
              <w:t>Espectro de radiofrecuencias libre de interferencias perjudiciales</w:t>
            </w:r>
          </w:p>
        </w:tc>
        <w:tc>
          <w:tcPr>
            <w:tcW w:w="2023" w:type="pct"/>
          </w:tcPr>
          <w:p w14:paraId="20CDB03E" w14:textId="273FC6B6" w:rsidR="00746287" w:rsidRPr="00385079" w:rsidRDefault="00746287" w:rsidP="00385079">
            <w:pPr>
              <w:pStyle w:val="Tabletext"/>
              <w:tabs>
                <w:tab w:val="left" w:pos="315"/>
              </w:tabs>
              <w:ind w:left="319" w:hanging="319"/>
            </w:pPr>
            <w:r w:rsidRPr="00385079">
              <w:t>–</w:t>
            </w:r>
            <w:r w:rsidRPr="00385079">
              <w:tab/>
              <w:t>Número de casos de interferencia perjudicial (a asignaciones de frecuencias de servicios espaciales) comunicados a la</w:t>
            </w:r>
            <w:r w:rsidR="00385079" w:rsidRPr="00385079">
              <w:t> </w:t>
            </w:r>
            <w:r w:rsidRPr="00385079">
              <w:t>BR en un año del periodo sobre el que se informa</w:t>
            </w:r>
          </w:p>
          <w:p w14:paraId="0DEF0D8C" w14:textId="45680B27" w:rsidR="00746287" w:rsidRPr="00385079" w:rsidRDefault="00746287" w:rsidP="00385079">
            <w:pPr>
              <w:pStyle w:val="Tabletext"/>
              <w:tabs>
                <w:tab w:val="left" w:pos="315"/>
              </w:tabs>
              <w:ind w:left="319" w:hanging="319"/>
            </w:pPr>
            <w:r w:rsidRPr="00385079">
              <w:t>–</w:t>
            </w:r>
            <w:r w:rsidRPr="00385079">
              <w:tab/>
              <w:t xml:space="preserve">Número de casos de interferencia perjudicial (a </w:t>
            </w:r>
            <w:r w:rsidRPr="0066021C">
              <w:t>asignaciones</w:t>
            </w:r>
            <w:r w:rsidRPr="00385079">
              <w:t xml:space="preserve"> de frecuencias de servicios espaciales) comunicados a la</w:t>
            </w:r>
            <w:r w:rsidR="004B0E3F">
              <w:t> </w:t>
            </w:r>
            <w:r w:rsidRPr="00385079">
              <w:t>BR que están pendientes de resolución</w:t>
            </w:r>
          </w:p>
          <w:p w14:paraId="26E7713A" w14:textId="727EAE54" w:rsidR="00746287" w:rsidRPr="00385079" w:rsidRDefault="00746287" w:rsidP="00385079">
            <w:pPr>
              <w:pStyle w:val="Tabletext"/>
              <w:tabs>
                <w:tab w:val="left" w:pos="315"/>
              </w:tabs>
              <w:ind w:left="319" w:hanging="319"/>
            </w:pPr>
            <w:r w:rsidRPr="00385079">
              <w:t>–</w:t>
            </w:r>
            <w:r w:rsidRPr="00385079">
              <w:tab/>
              <w:t>Número de casos de interferencia perjudicial (a asignaciones de frecuencias de servicios terrenales) comunicados a la</w:t>
            </w:r>
            <w:r w:rsidR="004B0E3F">
              <w:t> </w:t>
            </w:r>
            <w:r w:rsidRPr="00385079">
              <w:t>BR en un año del periodo sobre el que se informa</w:t>
            </w:r>
          </w:p>
          <w:p w14:paraId="17EF8ED9" w14:textId="7C4D3A00" w:rsidR="00746287" w:rsidRPr="00385079" w:rsidRDefault="00746287" w:rsidP="00385079">
            <w:pPr>
              <w:pStyle w:val="Tabletext"/>
              <w:tabs>
                <w:tab w:val="left" w:pos="315"/>
              </w:tabs>
              <w:ind w:left="319" w:hanging="319"/>
            </w:pPr>
            <w:r w:rsidRPr="00385079">
              <w:t>–</w:t>
            </w:r>
            <w:r w:rsidRPr="00385079">
              <w:tab/>
              <w:t>Número de casos de interferencia perjudicial (a asignaciones de frecuencias de servicios terrenales) comunicados a la</w:t>
            </w:r>
            <w:r w:rsidR="004B0E3F">
              <w:t> </w:t>
            </w:r>
            <w:r w:rsidRPr="00385079">
              <w:t>BR que están pendientes de resolución</w:t>
            </w:r>
          </w:p>
          <w:p w14:paraId="5C47C6F7" w14:textId="239B2E51" w:rsidR="00746287" w:rsidRPr="00385079" w:rsidRDefault="00746287" w:rsidP="004B0E3F">
            <w:pPr>
              <w:pStyle w:val="Tabletext"/>
              <w:tabs>
                <w:tab w:val="left" w:pos="315"/>
              </w:tabs>
              <w:ind w:left="319" w:hanging="319"/>
            </w:pPr>
            <w:r w:rsidRPr="00385079">
              <w:t>–</w:t>
            </w:r>
            <w:r w:rsidRPr="00385079">
              <w:tab/>
              <w:t>Número de casos en los que la</w:t>
            </w:r>
            <w:r w:rsidR="004B0E3F">
              <w:t> </w:t>
            </w:r>
            <w:r w:rsidRPr="00385079">
              <w:t>BR ha tomado medidas apropiadas con el procedimiento pertinente (por ejemplo, de conformidad con los números</w:t>
            </w:r>
            <w:r w:rsidR="00385079" w:rsidRPr="00385079">
              <w:t> </w:t>
            </w:r>
            <w:r w:rsidRPr="00385079">
              <w:t>15.41, 15.42, etc. del RR)</w:t>
            </w:r>
          </w:p>
        </w:tc>
      </w:tr>
    </w:tbl>
    <w:p w14:paraId="55EF1C67" w14:textId="77777777" w:rsidR="00904D4A" w:rsidRPr="00EE52C0" w:rsidRDefault="00904D4A" w:rsidP="00904D4A">
      <w:pPr>
        <w:pStyle w:val="Tablefin"/>
        <w:rPr>
          <w:lang w:val="es-ES"/>
        </w:rPr>
      </w:pPr>
    </w:p>
    <w:p w14:paraId="38A84746" w14:textId="1F031FFE" w:rsidR="00746287" w:rsidRPr="0090489C" w:rsidRDefault="00746287" w:rsidP="00904D4A">
      <w:pPr>
        <w:jc w:val="both"/>
      </w:pPr>
      <w:r w:rsidRPr="0090489C">
        <w:t>Para la Meta</w:t>
      </w:r>
      <w:r w:rsidR="00385079">
        <w:t> </w:t>
      </w:r>
      <w:r w:rsidRPr="0090489C">
        <w:t>1.7, la interoperabilidad de normas es una prioridad propuesta que pretende reflejar la repercusión de la labor de la UIT en el sector de las TIC y en la economía en general. Sobre esa base, la Secretaría desearía presentar, como punto de partida, un indicador que se ajustase lo mejor posible al nivel de repercusión.</w:t>
      </w:r>
    </w:p>
    <w:p w14:paraId="2AC31409" w14:textId="72F5FFD0" w:rsidR="00746287" w:rsidRPr="0090489C" w:rsidRDefault="00746287" w:rsidP="00904D4A">
      <w:pPr>
        <w:jc w:val="both"/>
      </w:pPr>
      <w:r w:rsidRPr="0090489C">
        <w:t>La gran mayoría de vídeos por Internet en todo el mundo funciona con compresión normalizada por la</w:t>
      </w:r>
      <w:r w:rsidR="00385079">
        <w:t> </w:t>
      </w:r>
      <w:r w:rsidRPr="0090489C">
        <w:t>UIT. Expresado en porcentaje, este indicador puede evolucionar con el tiempo, reflejar la competencia real de otros códecs y proporcionar una forma representativa de mostrar que la mayor parte de vídeos del mundo funcionan con normas que la UIT ayuda a establecer.</w:t>
      </w:r>
    </w:p>
    <w:p w14:paraId="18E45B50" w14:textId="77777777" w:rsidR="00746287" w:rsidRPr="0090489C" w:rsidRDefault="00746287" w:rsidP="00904D4A">
      <w:pPr>
        <w:jc w:val="both"/>
      </w:pPr>
      <w:r w:rsidRPr="0090489C">
        <w:t>Con el tiempo, la metodología de casos de éxito que está desarrollando el Grupo Asesor de Normalización de las Telecomunicaciones (GANT) debería ayudar a identificar nuevos indicadores que reflejen la influencia de la UIT, apoyando al mismo tiempo una visión compuesta de la repercusión de la interoperabilidad de las normas en lugar de un conjunto de indicadores separados vinculados a normas específicas.</w:t>
      </w:r>
    </w:p>
    <w:p w14:paraId="26FE486D" w14:textId="688158B7" w:rsidR="00746287" w:rsidRPr="0090489C" w:rsidRDefault="00746287" w:rsidP="0066021C">
      <w:pPr>
        <w:keepNext/>
        <w:keepLines/>
        <w:spacing w:after="120"/>
      </w:pPr>
      <w:r w:rsidRPr="0090489C">
        <w:lastRenderedPageBreak/>
        <w:t>El indicador de meta propuest</w:t>
      </w:r>
      <w:r w:rsidR="00460EA3">
        <w:t>o</w:t>
      </w:r>
      <w:r w:rsidRPr="0090489C">
        <w:t xml:space="preserve"> es el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6"/>
        <w:gridCol w:w="4679"/>
      </w:tblGrid>
      <w:tr w:rsidR="00746287" w:rsidRPr="0090489C" w14:paraId="552BD3A3" w14:textId="77777777" w:rsidTr="0066021C">
        <w:trPr>
          <w:trHeight w:val="98"/>
        </w:trPr>
        <w:tc>
          <w:tcPr>
            <w:tcW w:w="2572" w:type="pct"/>
          </w:tcPr>
          <w:p w14:paraId="042D33ED" w14:textId="2AE563F9" w:rsidR="00746287" w:rsidRPr="0090489C" w:rsidRDefault="00746287" w:rsidP="0066021C">
            <w:pPr>
              <w:pStyle w:val="Tablehead"/>
            </w:pPr>
            <w:r w:rsidRPr="0066021C">
              <w:t>Meta</w:t>
            </w:r>
          </w:p>
        </w:tc>
        <w:tc>
          <w:tcPr>
            <w:tcW w:w="2428" w:type="pct"/>
          </w:tcPr>
          <w:p w14:paraId="552DB2A9" w14:textId="77777777" w:rsidR="00746287" w:rsidRPr="0090489C" w:rsidRDefault="00746287" w:rsidP="0066021C">
            <w:pPr>
              <w:pStyle w:val="Tablehead"/>
              <w:rPr>
                <w:rFonts w:cs="Calibri"/>
                <w:szCs w:val="22"/>
              </w:rPr>
            </w:pPr>
            <w:r w:rsidRPr="0090489C">
              <w:rPr>
                <w:bCs/>
                <w:color w:val="000000"/>
              </w:rPr>
              <w:t xml:space="preserve">Indicador de </w:t>
            </w:r>
            <w:r w:rsidRPr="0066021C">
              <w:t>meta</w:t>
            </w:r>
            <w:r w:rsidRPr="0090489C">
              <w:rPr>
                <w:color w:val="000000"/>
              </w:rPr>
              <w:t xml:space="preserve"> </w:t>
            </w:r>
          </w:p>
        </w:tc>
      </w:tr>
      <w:tr w:rsidR="00746287" w:rsidRPr="0090489C" w14:paraId="5854460A" w14:textId="77777777" w:rsidTr="0066021C">
        <w:trPr>
          <w:trHeight w:val="98"/>
        </w:trPr>
        <w:tc>
          <w:tcPr>
            <w:tcW w:w="2572" w:type="pct"/>
          </w:tcPr>
          <w:p w14:paraId="0D62F0AE" w14:textId="73008F82" w:rsidR="00746287" w:rsidRPr="00385079" w:rsidRDefault="00746287" w:rsidP="00385079">
            <w:pPr>
              <w:pStyle w:val="Tabletext"/>
            </w:pPr>
            <w:r w:rsidRPr="00385079">
              <w:t>1.7</w:t>
            </w:r>
            <w:r w:rsidR="00385079">
              <w:t xml:space="preserve">: </w:t>
            </w:r>
            <w:r w:rsidRPr="00385079">
              <w:t>Repercusión de las normas de interoperabilidad</w:t>
            </w:r>
          </w:p>
        </w:tc>
        <w:tc>
          <w:tcPr>
            <w:tcW w:w="2428" w:type="pct"/>
          </w:tcPr>
          <w:p w14:paraId="27B7FC3C" w14:textId="3D39013A" w:rsidR="00746287" w:rsidRPr="0090489C" w:rsidRDefault="00746287" w:rsidP="00385079">
            <w:pPr>
              <w:pStyle w:val="Tabletext"/>
              <w:tabs>
                <w:tab w:val="left" w:pos="315"/>
              </w:tabs>
              <w:ind w:left="319" w:hanging="319"/>
            </w:pPr>
            <w:r w:rsidRPr="00385079">
              <w:t>–</w:t>
            </w:r>
            <w:r w:rsidRPr="00385079">
              <w:tab/>
              <w:t>Proporción del tráfico mundial de vídeos transportado por códecs normalizados por la</w:t>
            </w:r>
            <w:r w:rsidR="0066021C" w:rsidRPr="00385079">
              <w:t> </w:t>
            </w:r>
            <w:r w:rsidRPr="00385079">
              <w:t>UIT (%)</w:t>
            </w:r>
          </w:p>
        </w:tc>
      </w:tr>
    </w:tbl>
    <w:p w14:paraId="0D3A2407" w14:textId="77777777" w:rsidR="00904D4A" w:rsidRPr="00EE52C0" w:rsidRDefault="00904D4A" w:rsidP="00904D4A">
      <w:pPr>
        <w:pStyle w:val="Tablefin"/>
        <w:rPr>
          <w:lang w:val="es-ES"/>
        </w:rPr>
      </w:pPr>
    </w:p>
    <w:p w14:paraId="2A43C5B1" w14:textId="5121800C" w:rsidR="00746287" w:rsidRPr="0090489C" w:rsidRDefault="00556A7C" w:rsidP="00904D4A">
      <w:pPr>
        <w:spacing w:after="120"/>
        <w:jc w:val="both"/>
      </w:pPr>
      <w:r>
        <w:t>Durante las consultas realizadas, la Secretaría también identificó</w:t>
      </w:r>
      <w:r w:rsidR="00746287" w:rsidRPr="0090489C">
        <w:t xml:space="preserve"> </w:t>
      </w:r>
      <w:r w:rsidR="00A15A27">
        <w:t>el siguiente</w:t>
      </w:r>
      <w:r w:rsidR="00A15A27" w:rsidRPr="0090489C">
        <w:t xml:space="preserve"> </w:t>
      </w:r>
      <w:r w:rsidR="00746287" w:rsidRPr="0090489C">
        <w:t>indicador de resultados prospectivo recientemente identificado para su consideración por la PP-26. El mismo sistema de numeración que en su día permitió la telefonía universal está ampliando actualmente la conectividad al permitir que los satélites se conecten directamente con los teléfonos más allá del alcance de las redes terrenales. En este contexto, el indicador de resultados propuesto es el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3401"/>
        <w:gridCol w:w="3686"/>
      </w:tblGrid>
      <w:tr w:rsidR="00746287" w:rsidRPr="0090489C" w14:paraId="3EEBD627" w14:textId="77777777" w:rsidTr="0066021C">
        <w:trPr>
          <w:trHeight w:val="97"/>
        </w:trPr>
        <w:tc>
          <w:tcPr>
            <w:tcW w:w="1322" w:type="pct"/>
          </w:tcPr>
          <w:p w14:paraId="0503ED06" w14:textId="2CFA2062" w:rsidR="00746287" w:rsidRPr="0090489C" w:rsidRDefault="00746287" w:rsidP="0066021C">
            <w:pPr>
              <w:pStyle w:val="Tablehead"/>
            </w:pPr>
            <w:r w:rsidRPr="0066021C">
              <w:t>Prioridad</w:t>
            </w:r>
          </w:p>
        </w:tc>
        <w:tc>
          <w:tcPr>
            <w:tcW w:w="1765" w:type="pct"/>
          </w:tcPr>
          <w:p w14:paraId="02A8AADE" w14:textId="12B920C1" w:rsidR="00746287" w:rsidRPr="0090489C" w:rsidRDefault="00746287" w:rsidP="0066021C">
            <w:pPr>
              <w:pStyle w:val="Tablehead"/>
            </w:pPr>
            <w:r w:rsidRPr="0066021C">
              <w:t>Resultado</w:t>
            </w:r>
          </w:p>
        </w:tc>
        <w:tc>
          <w:tcPr>
            <w:tcW w:w="1913" w:type="pct"/>
          </w:tcPr>
          <w:p w14:paraId="1BAFB628" w14:textId="77777777" w:rsidR="00746287" w:rsidRPr="0090489C" w:rsidRDefault="00746287" w:rsidP="0066021C">
            <w:pPr>
              <w:pStyle w:val="Tablehead"/>
            </w:pPr>
            <w:r w:rsidRPr="0066021C">
              <w:t>Indicador a nivel de resultados</w:t>
            </w:r>
          </w:p>
        </w:tc>
      </w:tr>
      <w:tr w:rsidR="00746287" w:rsidRPr="0090489C" w14:paraId="24D8D895" w14:textId="77777777" w:rsidTr="0066021C">
        <w:trPr>
          <w:trHeight w:val="97"/>
        </w:trPr>
        <w:tc>
          <w:tcPr>
            <w:tcW w:w="1322" w:type="pct"/>
          </w:tcPr>
          <w:p w14:paraId="78837ACB" w14:textId="77777777" w:rsidR="00746287" w:rsidRPr="0066021C" w:rsidRDefault="00746287" w:rsidP="0066021C">
            <w:pPr>
              <w:pStyle w:val="Tabletext"/>
              <w:rPr>
                <w:b/>
                <w:bCs/>
              </w:rPr>
            </w:pPr>
            <w:r w:rsidRPr="0066021C">
              <w:rPr>
                <w:b/>
                <w:bCs/>
              </w:rPr>
              <w:t>Interoperabilidad e innovación en telecomunicaciones/TIC mundiales</w:t>
            </w:r>
          </w:p>
        </w:tc>
        <w:tc>
          <w:tcPr>
            <w:tcW w:w="1765" w:type="pct"/>
          </w:tcPr>
          <w:p w14:paraId="670ABBC6" w14:textId="0B3FC458" w:rsidR="00746287" w:rsidRPr="0066021C" w:rsidRDefault="00746287" w:rsidP="00385079">
            <w:pPr>
              <w:pStyle w:val="Tabletext"/>
              <w:tabs>
                <w:tab w:val="left" w:pos="315"/>
              </w:tabs>
              <w:ind w:left="319" w:hanging="319"/>
            </w:pPr>
            <w:r w:rsidRPr="0066021C">
              <w:t>–</w:t>
            </w:r>
            <w:r w:rsidRPr="0066021C">
              <w:tab/>
              <w:t xml:space="preserve">Mejora del rendimiento, la fiabilidad y la coordinación de las redes y los </w:t>
            </w:r>
            <w:r w:rsidRPr="00385079">
              <w:t>servicios</w:t>
            </w:r>
            <w:r w:rsidRPr="0066021C">
              <w:t xml:space="preserve"> de telecomunicaciones mundiales</w:t>
            </w:r>
          </w:p>
        </w:tc>
        <w:tc>
          <w:tcPr>
            <w:tcW w:w="1913" w:type="pct"/>
          </w:tcPr>
          <w:p w14:paraId="21D288DA" w14:textId="4EF0E9A2" w:rsidR="00746287" w:rsidRPr="0066021C" w:rsidRDefault="00746287" w:rsidP="00385079">
            <w:pPr>
              <w:pStyle w:val="Tabletext"/>
              <w:tabs>
                <w:tab w:val="left" w:pos="315"/>
              </w:tabs>
              <w:ind w:left="319" w:hanging="319"/>
            </w:pPr>
            <w:r w:rsidRPr="0066021C">
              <w:t>–</w:t>
            </w:r>
            <w:r w:rsidRPr="0066021C">
              <w:tab/>
              <w:t>Número de nuevas redes de IoT, de satélite y de servicios emergentes que utilizan numeración internacional de la</w:t>
            </w:r>
            <w:r w:rsidR="0066021C">
              <w:t> </w:t>
            </w:r>
            <w:r w:rsidRPr="0066021C">
              <w:t>UIT, por año</w:t>
            </w:r>
          </w:p>
        </w:tc>
      </w:tr>
    </w:tbl>
    <w:p w14:paraId="10E42CE8" w14:textId="77777777" w:rsidR="00D24164" w:rsidRPr="00EE52C0" w:rsidRDefault="00D24164" w:rsidP="00F50C60">
      <w:pPr>
        <w:pStyle w:val="Tablefin"/>
        <w:rPr>
          <w:lang w:val="es-ES"/>
        </w:rPr>
      </w:pPr>
    </w:p>
    <w:p w14:paraId="1C9B7C14" w14:textId="77777777" w:rsidR="00D24164" w:rsidRDefault="00D24164">
      <w:pPr>
        <w:jc w:val="center"/>
      </w:pPr>
      <w:r>
        <w:t>______________</w:t>
      </w:r>
    </w:p>
    <w:sectPr w:rsidR="00D24164" w:rsidSect="00A70E95">
      <w:headerReference w:type="default" r:id="rId12"/>
      <w:footerReference w:type="first" r:id="rId13"/>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EF02" w14:textId="77777777" w:rsidR="005F1863" w:rsidRDefault="005F1863">
      <w:r>
        <w:separator/>
      </w:r>
    </w:p>
  </w:endnote>
  <w:endnote w:type="continuationSeparator" w:id="0">
    <w:p w14:paraId="0B647BA9" w14:textId="77777777" w:rsidR="005F1863" w:rsidRDefault="005F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EDA9" w14:textId="4510F5C1" w:rsidR="004B07DB" w:rsidRPr="00BF32F2" w:rsidRDefault="004B07DB" w:rsidP="00BF32F2">
    <w:pPr>
      <w:pStyle w:val="firstfooter0"/>
      <w:spacing w:before="0" w:beforeAutospacing="0" w:after="0" w:afterAutospacing="0"/>
      <w:jc w:val="center"/>
      <w:rPr>
        <w:sz w:val="18"/>
        <w:szCs w:val="18"/>
      </w:rPr>
    </w:pPr>
    <w:r>
      <w:rPr>
        <w:rFonts w:ascii="Symbol" w:hAnsi="Symbol"/>
        <w:sz w:val="22"/>
        <w:szCs w:val="20"/>
        <w:lang w:val="en-GB"/>
      </w:rPr>
      <w:t></w:t>
    </w:r>
    <w:r>
      <w:rPr>
        <w:sz w:val="20"/>
        <w:szCs w:val="20"/>
        <w:lang w:val="en-GB"/>
      </w:rPr>
      <w:t xml:space="preserve"> </w:t>
    </w:r>
    <w:hyperlink r:id="rId1" w:history="1">
      <w:r w:rsidR="003B5DC9" w:rsidRPr="003F7F3E">
        <w:rPr>
          <w:rStyle w:val="Hyperlink"/>
          <w:sz w:val="22"/>
          <w:szCs w:val="22"/>
          <w:lang w:val="en-GB"/>
        </w:rPr>
        <w:t>www.itu.int/plenipotentiary/</w:t>
      </w:r>
    </w:hyperlink>
    <w:r w:rsidR="003B5DC9" w:rsidRPr="003F7F3E">
      <w:rPr>
        <w:color w:val="0000FF"/>
        <w:sz w:val="22"/>
        <w:szCs w:val="22"/>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2846" w14:textId="77777777" w:rsidR="005F1863" w:rsidRDefault="005F1863">
      <w:r>
        <w:t>____________________</w:t>
      </w:r>
    </w:p>
  </w:footnote>
  <w:footnote w:type="continuationSeparator" w:id="0">
    <w:p w14:paraId="33EF2385" w14:textId="77777777" w:rsidR="005F1863" w:rsidRDefault="005F1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64C7" w14:textId="77777777" w:rsidR="00255FA1" w:rsidRDefault="00255FA1" w:rsidP="00255FA1">
    <w:pPr>
      <w:pStyle w:val="Header"/>
    </w:pPr>
    <w:r>
      <w:fldChar w:fldCharType="begin"/>
    </w:r>
    <w:r>
      <w:instrText xml:space="preserve"> PAGE </w:instrText>
    </w:r>
    <w:r>
      <w:fldChar w:fldCharType="separate"/>
    </w:r>
    <w:r w:rsidR="00A15A27">
      <w:rPr>
        <w:noProof/>
      </w:rPr>
      <w:t>3</w:t>
    </w:r>
    <w:r>
      <w:fldChar w:fldCharType="end"/>
    </w:r>
  </w:p>
  <w:p w14:paraId="6D6C2C56" w14:textId="1E279E4E" w:rsidR="00255FA1" w:rsidRDefault="00255FA1" w:rsidP="00C43474">
    <w:pPr>
      <w:pStyle w:val="Header"/>
    </w:pPr>
    <w:r>
      <w:rPr>
        <w:lang w:val="en-US"/>
      </w:rPr>
      <w:t>PP</w:t>
    </w:r>
    <w:r w:rsidR="009D1BE0">
      <w:rPr>
        <w:lang w:val="en-US"/>
      </w:rPr>
      <w:t>2</w:t>
    </w:r>
    <w:r w:rsidR="009415B6">
      <w:rPr>
        <w:lang w:val="en-US"/>
      </w:rPr>
      <w:t>6</w:t>
    </w:r>
    <w:r>
      <w:t>/</w:t>
    </w:r>
    <w:r w:rsidR="0033076E">
      <w:t>33</w:t>
    </w:r>
    <w:r w:rsidR="00075113">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E0"/>
    <w:rsid w:val="0000188C"/>
    <w:rsid w:val="00007FDE"/>
    <w:rsid w:val="000507CA"/>
    <w:rsid w:val="00057402"/>
    <w:rsid w:val="00072455"/>
    <w:rsid w:val="00075113"/>
    <w:rsid w:val="000863AB"/>
    <w:rsid w:val="000A1523"/>
    <w:rsid w:val="000B1752"/>
    <w:rsid w:val="000D6AE9"/>
    <w:rsid w:val="00104096"/>
    <w:rsid w:val="0010546D"/>
    <w:rsid w:val="00135F93"/>
    <w:rsid w:val="001632E3"/>
    <w:rsid w:val="001C5CB2"/>
    <w:rsid w:val="001C7519"/>
    <w:rsid w:val="001D4983"/>
    <w:rsid w:val="001D6EC3"/>
    <w:rsid w:val="001D787B"/>
    <w:rsid w:val="001E3D06"/>
    <w:rsid w:val="001F0B24"/>
    <w:rsid w:val="001F5B03"/>
    <w:rsid w:val="00225F6B"/>
    <w:rsid w:val="00237C17"/>
    <w:rsid w:val="00242376"/>
    <w:rsid w:val="00255FA1"/>
    <w:rsid w:val="00262FF4"/>
    <w:rsid w:val="00277985"/>
    <w:rsid w:val="002C54C9"/>
    <w:rsid w:val="002C6527"/>
    <w:rsid w:val="002E44FC"/>
    <w:rsid w:val="0033076E"/>
    <w:rsid w:val="003537B5"/>
    <w:rsid w:val="0036710B"/>
    <w:rsid w:val="003707E5"/>
    <w:rsid w:val="00375610"/>
    <w:rsid w:val="00385079"/>
    <w:rsid w:val="00391611"/>
    <w:rsid w:val="003B5DC9"/>
    <w:rsid w:val="003D0027"/>
    <w:rsid w:val="003E6E73"/>
    <w:rsid w:val="003F7F3E"/>
    <w:rsid w:val="00402942"/>
    <w:rsid w:val="00460EA3"/>
    <w:rsid w:val="00484B72"/>
    <w:rsid w:val="00491A25"/>
    <w:rsid w:val="004A0BF8"/>
    <w:rsid w:val="004A346E"/>
    <w:rsid w:val="004A63A9"/>
    <w:rsid w:val="004B07DB"/>
    <w:rsid w:val="004B09D4"/>
    <w:rsid w:val="004B0BCB"/>
    <w:rsid w:val="004B0E3F"/>
    <w:rsid w:val="004C27F5"/>
    <w:rsid w:val="004C39C6"/>
    <w:rsid w:val="004D23BA"/>
    <w:rsid w:val="004E069C"/>
    <w:rsid w:val="004E08E0"/>
    <w:rsid w:val="004E28FB"/>
    <w:rsid w:val="004F4BB1"/>
    <w:rsid w:val="00504FD4"/>
    <w:rsid w:val="00507662"/>
    <w:rsid w:val="00523448"/>
    <w:rsid w:val="00525519"/>
    <w:rsid w:val="005359B6"/>
    <w:rsid w:val="005470E8"/>
    <w:rsid w:val="00550FCF"/>
    <w:rsid w:val="00556958"/>
    <w:rsid w:val="00556A7C"/>
    <w:rsid w:val="00567ED5"/>
    <w:rsid w:val="005A329F"/>
    <w:rsid w:val="005C26CF"/>
    <w:rsid w:val="005D1164"/>
    <w:rsid w:val="005D6488"/>
    <w:rsid w:val="005F1863"/>
    <w:rsid w:val="005F4C1B"/>
    <w:rsid w:val="005F6278"/>
    <w:rsid w:val="00601280"/>
    <w:rsid w:val="00617D11"/>
    <w:rsid w:val="00641DBD"/>
    <w:rsid w:val="006426C0"/>
    <w:rsid w:val="006455D2"/>
    <w:rsid w:val="006537F3"/>
    <w:rsid w:val="0066021C"/>
    <w:rsid w:val="006B5512"/>
    <w:rsid w:val="006C190D"/>
    <w:rsid w:val="007038A8"/>
    <w:rsid w:val="00720686"/>
    <w:rsid w:val="00737EFF"/>
    <w:rsid w:val="00746287"/>
    <w:rsid w:val="00750806"/>
    <w:rsid w:val="007875D2"/>
    <w:rsid w:val="007D61E2"/>
    <w:rsid w:val="007F6EBC"/>
    <w:rsid w:val="008041FF"/>
    <w:rsid w:val="0080769A"/>
    <w:rsid w:val="00810D8B"/>
    <w:rsid w:val="00882773"/>
    <w:rsid w:val="008B4706"/>
    <w:rsid w:val="008B6676"/>
    <w:rsid w:val="008C3FA8"/>
    <w:rsid w:val="008E03B3"/>
    <w:rsid w:val="008E51C5"/>
    <w:rsid w:val="008F7109"/>
    <w:rsid w:val="00904D4A"/>
    <w:rsid w:val="009107B0"/>
    <w:rsid w:val="009220DE"/>
    <w:rsid w:val="00925614"/>
    <w:rsid w:val="00930E84"/>
    <w:rsid w:val="009415B6"/>
    <w:rsid w:val="009533D4"/>
    <w:rsid w:val="00956FE6"/>
    <w:rsid w:val="0099270D"/>
    <w:rsid w:val="0099551E"/>
    <w:rsid w:val="009A1A86"/>
    <w:rsid w:val="009D1BE0"/>
    <w:rsid w:val="009E0C42"/>
    <w:rsid w:val="00A15A27"/>
    <w:rsid w:val="00A27613"/>
    <w:rsid w:val="00A352A8"/>
    <w:rsid w:val="00A50BE3"/>
    <w:rsid w:val="00A70E95"/>
    <w:rsid w:val="00AA1F73"/>
    <w:rsid w:val="00AB190D"/>
    <w:rsid w:val="00AB34CA"/>
    <w:rsid w:val="00AD400E"/>
    <w:rsid w:val="00AF0DC5"/>
    <w:rsid w:val="00B012B7"/>
    <w:rsid w:val="00B30C52"/>
    <w:rsid w:val="00B501AB"/>
    <w:rsid w:val="00B73978"/>
    <w:rsid w:val="00B77C4D"/>
    <w:rsid w:val="00BB13FE"/>
    <w:rsid w:val="00BC7EE2"/>
    <w:rsid w:val="00BF32F2"/>
    <w:rsid w:val="00BF5475"/>
    <w:rsid w:val="00C20ED7"/>
    <w:rsid w:val="00C26EE6"/>
    <w:rsid w:val="00C42D2D"/>
    <w:rsid w:val="00C43474"/>
    <w:rsid w:val="00C61A48"/>
    <w:rsid w:val="00C63E34"/>
    <w:rsid w:val="00C80F8F"/>
    <w:rsid w:val="00C84355"/>
    <w:rsid w:val="00C84A65"/>
    <w:rsid w:val="00CA3051"/>
    <w:rsid w:val="00CD20D9"/>
    <w:rsid w:val="00CD701A"/>
    <w:rsid w:val="00D05AAE"/>
    <w:rsid w:val="00D05E6B"/>
    <w:rsid w:val="00D066F8"/>
    <w:rsid w:val="00D24164"/>
    <w:rsid w:val="00D254A6"/>
    <w:rsid w:val="00D42B55"/>
    <w:rsid w:val="00D57D70"/>
    <w:rsid w:val="00DE3E41"/>
    <w:rsid w:val="00E05D81"/>
    <w:rsid w:val="00E41BE9"/>
    <w:rsid w:val="00E45605"/>
    <w:rsid w:val="00E53DFC"/>
    <w:rsid w:val="00E66FC3"/>
    <w:rsid w:val="00E677DD"/>
    <w:rsid w:val="00E77F17"/>
    <w:rsid w:val="00E809D8"/>
    <w:rsid w:val="00E921EC"/>
    <w:rsid w:val="00EB23D0"/>
    <w:rsid w:val="00EC395A"/>
    <w:rsid w:val="00EE52C0"/>
    <w:rsid w:val="00F01632"/>
    <w:rsid w:val="00F04858"/>
    <w:rsid w:val="00F13AA4"/>
    <w:rsid w:val="00F3510D"/>
    <w:rsid w:val="00F43C07"/>
    <w:rsid w:val="00F43D44"/>
    <w:rsid w:val="00F50C60"/>
    <w:rsid w:val="00F80E6E"/>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239E2"/>
  <w15:docId w15:val="{DA5BDCCB-471A-4152-B5D1-EC2E7BE3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5C26CF"/>
    <w:pPr>
      <w:tabs>
        <w:tab w:val="clear" w:pos="567"/>
        <w:tab w:val="clear" w:pos="1134"/>
        <w:tab w:val="clear" w:pos="1701"/>
        <w:tab w:val="clear" w:pos="2268"/>
        <w:tab w:val="clear" w:pos="2835"/>
      </w:tabs>
      <w:spacing w:before="40" w:after="4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5C26CF"/>
    <w:pPr>
      <w:keepNext/>
      <w:keepLines/>
      <w:spacing w:before="80" w:after="8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uiPriority w:val="99"/>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3F7F3E"/>
    <w:rPr>
      <w:rFonts w:ascii="Calibri" w:hAnsi="Calibri"/>
      <w:color w:val="0070C0"/>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customStyle="1" w:styleId="UnresolvedMention1">
    <w:name w:val="Unresolved Mention1"/>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paragraph" w:customStyle="1" w:styleId="Tablefin">
    <w:name w:val="Table_fin"/>
    <w:basedOn w:val="Tabletext"/>
    <w:rsid w:val="00746287"/>
    <w:pPr>
      <w:tabs>
        <w:tab w:val="left" w:pos="284"/>
      </w:tabs>
      <w:spacing w:before="0" w:after="0"/>
    </w:pPr>
    <w:rPr>
      <w:lang w:val="en-GB"/>
    </w:rPr>
  </w:style>
  <w:style w:type="paragraph" w:customStyle="1" w:styleId="Blanc">
    <w:name w:val="Blanc"/>
    <w:basedOn w:val="Normal"/>
    <w:rsid w:val="00746287"/>
    <w:pPr>
      <w:spacing w:before="0"/>
    </w:pPr>
    <w:rPr>
      <w:lang w:val="en-GB"/>
    </w:rPr>
  </w:style>
  <w:style w:type="character" w:customStyle="1" w:styleId="UnresolvedMention2">
    <w:name w:val="Unresolved Mention2"/>
    <w:basedOn w:val="DefaultParagraphFont"/>
    <w:uiPriority w:val="99"/>
    <w:semiHidden/>
    <w:unhideWhenUsed/>
    <w:rsid w:val="00C26EE6"/>
    <w:rPr>
      <w:color w:val="605E5C"/>
      <w:shd w:val="clear" w:color="auto" w:fill="E1DFDD"/>
    </w:rPr>
  </w:style>
  <w:style w:type="paragraph" w:styleId="Revision">
    <w:name w:val="Revision"/>
    <w:hidden/>
    <w:uiPriority w:val="99"/>
    <w:semiHidden/>
    <w:rsid w:val="00C63E34"/>
    <w:rPr>
      <w:rFonts w:ascii="Calibri" w:hAnsi="Calibri"/>
      <w:sz w:val="24"/>
      <w:lang w:val="es-ES_tradnl" w:eastAsia="en-US"/>
    </w:rPr>
  </w:style>
  <w:style w:type="character" w:styleId="UnresolvedMention">
    <w:name w:val="Unresolved Mention"/>
    <w:basedOn w:val="DefaultParagraphFont"/>
    <w:uiPriority w:val="99"/>
    <w:semiHidden/>
    <w:unhideWhenUsed/>
    <w:rsid w:val="00525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www.itu.int/md/S26-PP-C-0032/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https://www.itu.int/md/S26-PP-C-00XX/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tu.int/md/S26-PP-C-0032/es" TargetMode="External"/><Relationship Id="rId4" Type="http://schemas.openxmlformats.org/officeDocument/2006/relationships/webSettings" Target="webSettings.xml"/><Relationship Id="rId9" Type="http://schemas.openxmlformats.org/officeDocument/2006/relationships/hyperlink" Target="https://www.itu.int/md/S26-PP-C-00XX/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pp26.itu.in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1440</Words>
  <Characters>9188</Characters>
  <Application>Microsoft Office Word</Application>
  <DocSecurity>0</DocSecurity>
  <Lines>241</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10545</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Planes Estratégico y Financiero de la UIT para el período 2028-2031</dc:title>
  <dc:subject>ITU Plenipotentiary Conference (PP-26)</dc:subject>
  <cp:keywords>PP-26, PP26, ITU</cp:keywords>
  <dc:description/>
  <dcterms:created xsi:type="dcterms:W3CDTF">2026-08-27T15:37:00Z</dcterms:created>
  <dcterms:modified xsi:type="dcterms:W3CDTF">2026-08-27T16:07:00Z</dcterms:modified>
  <cp:category>Conference document</cp:category>
</cp:coreProperties>
</file>