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8D0ABE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8D0ABE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8D0ABE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8D0ABE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8D0ABE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8D0ABE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8D0ABE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8D0ABE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8D0ABE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8D0ABE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8D0ABE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0B7F05D2" w:rsidR="00F96AB4" w:rsidRPr="008D0ABE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8D0ABE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5A38C3" w:rsidRPr="008D0ABE">
              <w:rPr>
                <w:rFonts w:cstheme="minorHAnsi"/>
                <w:b/>
                <w:bCs/>
                <w:szCs w:val="28"/>
                <w:lang w:val="ru-RU"/>
              </w:rPr>
              <w:t>33</w:t>
            </w:r>
            <w:r w:rsidRPr="008D0ABE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8D0ABE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8D0ABE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559341DE" w:rsidR="00F96AB4" w:rsidRPr="008D0ABE" w:rsidRDefault="005A38C3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8D0ABE">
              <w:rPr>
                <w:rFonts w:cstheme="minorHAnsi"/>
                <w:b/>
                <w:bCs/>
                <w:szCs w:val="28"/>
                <w:lang w:val="ru-RU"/>
              </w:rPr>
              <w:t>5 августа 2026</w:t>
            </w:r>
            <w:r w:rsidR="00F96AB4" w:rsidRPr="008D0ABE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8D0ABE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8D0ABE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8D0ABE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8D0ABE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8D0ABE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8D0ABE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8D0ABE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38F6A32D" w:rsidR="00F96AB4" w:rsidRPr="008D0ABE" w:rsidRDefault="005A38C3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8D0ABE">
              <w:rPr>
                <w:lang w:val="ru-RU"/>
              </w:rPr>
              <w:t>Отчет Генерального секретаря</w:t>
            </w:r>
          </w:p>
        </w:tc>
      </w:tr>
      <w:tr w:rsidR="00F96AB4" w:rsidRPr="0023328E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4AE7146F" w:rsidR="00F96AB4" w:rsidRPr="008D0ABE" w:rsidRDefault="005A38C3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8D0ABE">
              <w:rPr>
                <w:lang w:val="ru-RU"/>
              </w:rPr>
              <w:t>Стратегический и финансовый планы МСЭ на 2028−2031 годы</w:t>
            </w:r>
          </w:p>
        </w:tc>
      </w:tr>
      <w:tr w:rsidR="00F96AB4" w:rsidRPr="0023328E" w14:paraId="669FCF5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E615252" w14:textId="1E07D3F2" w:rsidR="00F96AB4" w:rsidRPr="008D0ABE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23328E" w14:paraId="64D5E1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E2BF69" w14:textId="7A4C5D90" w:rsidR="00F96AB4" w:rsidRPr="008D0ABE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7C70462" w14:textId="5134BF6B" w:rsidR="008D0ABE" w:rsidRPr="0023328E" w:rsidRDefault="008D0ABE" w:rsidP="00ED3760">
      <w:pPr>
        <w:rPr>
          <w:lang w:val="ru-RU"/>
        </w:rPr>
      </w:pPr>
    </w:p>
    <w:p w14:paraId="6FA05A63" w14:textId="77777777" w:rsidR="00ED3760" w:rsidRPr="00ED3760" w:rsidRDefault="00ED3760" w:rsidP="00ED3760">
      <w:pPr>
        <w:rPr>
          <w:lang w:val="ru-RU"/>
        </w:rPr>
      </w:pPr>
    </w:p>
    <w:tbl>
      <w:tblPr>
        <w:tblW w:w="8080" w:type="dxa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0"/>
      </w:tblGrid>
      <w:tr w:rsidR="008D0ABE" w:rsidRPr="00CE3CD0" w14:paraId="1E9EF12D" w14:textId="77777777" w:rsidTr="00ED3760">
        <w:trPr>
          <w:cantSplit/>
        </w:trPr>
        <w:tc>
          <w:tcPr>
            <w:tcW w:w="8080" w:type="dxa"/>
          </w:tcPr>
          <w:p w14:paraId="290028E7" w14:textId="77777777" w:rsidR="008D0ABE" w:rsidRPr="008D0ABE" w:rsidRDefault="008D0ABE" w:rsidP="008D0ABE">
            <w:pPr>
              <w:pStyle w:val="Headingb"/>
              <w:rPr>
                <w:lang w:val="ru-RU"/>
              </w:rPr>
            </w:pPr>
            <w:r w:rsidRPr="008D0ABE">
              <w:rPr>
                <w:lang w:val="ru-RU"/>
              </w:rPr>
              <w:t>Резюме</w:t>
            </w:r>
          </w:p>
          <w:p w14:paraId="062DDECB" w14:textId="77777777" w:rsidR="008D0ABE" w:rsidRPr="008D0ABE" w:rsidRDefault="008D0ABE" w:rsidP="00523D5B">
            <w:pPr>
              <w:rPr>
                <w:szCs w:val="18"/>
                <w:lang w:val="ru-RU"/>
              </w:rPr>
            </w:pPr>
            <w:r w:rsidRPr="008D0ABE">
              <w:rPr>
                <w:szCs w:val="18"/>
                <w:lang w:val="ru-RU"/>
              </w:rPr>
              <w:t>В соответствии с поручением сессии Совета 2026 года в настоящем отчете для рассмотрения Полномочной конференцией 2026 года представлены результаты работы Секретариата по уточнению выбранных предложенных целевых показателей и связанных с ними индикаторов.</w:t>
            </w:r>
          </w:p>
          <w:p w14:paraId="28C8C00E" w14:textId="77777777" w:rsidR="008D0ABE" w:rsidRPr="008D0ABE" w:rsidRDefault="008D0ABE" w:rsidP="008D0ABE">
            <w:pPr>
              <w:pStyle w:val="Headingb"/>
              <w:rPr>
                <w:lang w:val="ru-RU"/>
              </w:rPr>
            </w:pPr>
            <w:bookmarkStart w:id="7" w:name="_Toc305764051"/>
            <w:r w:rsidRPr="008D0ABE">
              <w:rPr>
                <w:lang w:val="ru-RU"/>
              </w:rPr>
              <w:t>Необходимые действия</w:t>
            </w:r>
            <w:bookmarkEnd w:id="7"/>
          </w:p>
          <w:p w14:paraId="387C964E" w14:textId="35CB6CC9" w:rsidR="008D0ABE" w:rsidRPr="008D0ABE" w:rsidRDefault="008D0ABE" w:rsidP="00523D5B">
            <w:pPr>
              <w:spacing w:after="120"/>
              <w:rPr>
                <w:lang w:val="ru-RU"/>
              </w:rPr>
            </w:pPr>
            <w:r w:rsidRPr="008D0ABE">
              <w:rPr>
                <w:szCs w:val="18"/>
                <w:lang w:val="ru-RU"/>
              </w:rPr>
              <w:t>Полномочной конференции предлагается рассмотреть настоящий отчет вместе с</w:t>
            </w:r>
            <w:r w:rsidR="00ED3760">
              <w:rPr>
                <w:szCs w:val="18"/>
                <w:lang w:val="en-US"/>
              </w:rPr>
              <w:t> </w:t>
            </w:r>
            <w:r w:rsidRPr="008D0ABE">
              <w:rPr>
                <w:szCs w:val="18"/>
                <w:lang w:val="ru-RU"/>
              </w:rPr>
              <w:t xml:space="preserve">Документом </w:t>
            </w:r>
            <w:hyperlink r:id="rId8" w:history="1">
              <w:r w:rsidRPr="008D0ABE">
                <w:rPr>
                  <w:rStyle w:val="Hyperlink"/>
                  <w:szCs w:val="22"/>
                  <w:lang w:val="ru-RU"/>
                </w:rPr>
                <w:t>32</w:t>
              </w:r>
            </w:hyperlink>
            <w:r w:rsidRPr="008D0ABE">
              <w:rPr>
                <w:szCs w:val="18"/>
                <w:lang w:val="ru-RU"/>
              </w:rPr>
              <w:t>.</w:t>
            </w:r>
          </w:p>
        </w:tc>
      </w:tr>
    </w:tbl>
    <w:p w14:paraId="20ADF9F0" w14:textId="77777777" w:rsidR="008D0ABE" w:rsidRPr="00CE3CD0" w:rsidRDefault="008D0ABE" w:rsidP="00ED3760">
      <w:pPr>
        <w:rPr>
          <w:lang w:val="ru-RU"/>
        </w:rPr>
      </w:pPr>
      <w:r w:rsidRPr="00CE3CD0">
        <w:rPr>
          <w:lang w:val="ru-RU"/>
        </w:rPr>
        <w:br w:type="page"/>
      </w:r>
    </w:p>
    <w:p w14:paraId="350E3089" w14:textId="543CCD09" w:rsidR="005A38C3" w:rsidRPr="008D0ABE" w:rsidRDefault="005A38C3" w:rsidP="00CE3CD0">
      <w:pPr>
        <w:jc w:val="both"/>
        <w:rPr>
          <w:lang w:val="ru-RU"/>
        </w:rPr>
      </w:pPr>
      <w:r w:rsidRPr="008D0ABE">
        <w:rPr>
          <w:lang w:val="ru-RU"/>
        </w:rPr>
        <w:lastRenderedPageBreak/>
        <w:t>Настоящий отчет представляется на рассмотрение Полномочной конференции 2026 года (ПК-26) в соответствии с просьбой, высказанной Советом на его сессии 2026 года, о дальнейшем рассмотрении и уточнении отдельных предлагаемых целевых показателей и связанных с ними индикаторов, как указано ниже:</w:t>
      </w:r>
    </w:p>
    <w:p w14:paraId="7C68DA72" w14:textId="77777777" w:rsidR="005A38C3" w:rsidRPr="008D0ABE" w:rsidRDefault="005A38C3" w:rsidP="00CE3CD0">
      <w:pPr>
        <w:pStyle w:val="enumlev1"/>
        <w:jc w:val="both"/>
        <w:rPr>
          <w:lang w:val="ru-RU"/>
        </w:rPr>
      </w:pPr>
      <w:r w:rsidRPr="008D0ABE">
        <w:rPr>
          <w:lang w:val="ru-RU"/>
        </w:rPr>
        <w:t>–</w:t>
      </w:r>
      <w:r w:rsidRPr="008D0ABE">
        <w:rPr>
          <w:lang w:val="ru-RU"/>
        </w:rPr>
        <w:tab/>
        <w:t>Целевой показатель 1.5 (Устойчивые сети): Секретариату было поручено осуществлять координацию с Генеральным секретариатом и соответствующими Бюро для дальнейшего изучения вопроса о расширении и возможном включении видов деятельности МСЭ, связанных с подводными кабелями, опираясь на соответствующие статистические данные для обоснования такого включения.</w:t>
      </w:r>
    </w:p>
    <w:p w14:paraId="5D915015" w14:textId="77777777" w:rsidR="005A38C3" w:rsidRPr="008D0ABE" w:rsidRDefault="005A38C3" w:rsidP="00CE3CD0">
      <w:pPr>
        <w:pStyle w:val="enumlev1"/>
        <w:jc w:val="both"/>
        <w:rPr>
          <w:lang w:val="ru-RU"/>
        </w:rPr>
      </w:pPr>
      <w:r w:rsidRPr="008D0ABE">
        <w:rPr>
          <w:lang w:val="ru-RU"/>
        </w:rPr>
        <w:t>–</w:t>
      </w:r>
      <w:r w:rsidRPr="008D0ABE">
        <w:rPr>
          <w:lang w:val="ru-RU"/>
        </w:rPr>
        <w:tab/>
        <w:t>Целевой показатель 1.6 (Недопущение создания вредных помех): Секретариату было поручено работать в тесном сотрудничестве с Директором Бюро радиосвязи (БР) над определением усовершенствованных индикаторов, которые более точно отражали бы то, каким образом МСЭ решает проблемы, связанные с вредными помехами.</w:t>
      </w:r>
    </w:p>
    <w:p w14:paraId="2ABA1B75" w14:textId="77777777" w:rsidR="005A38C3" w:rsidRPr="008D0ABE" w:rsidRDefault="005A38C3" w:rsidP="00CE3CD0">
      <w:pPr>
        <w:pStyle w:val="enumlev1"/>
        <w:jc w:val="both"/>
        <w:rPr>
          <w:lang w:val="ru-RU"/>
        </w:rPr>
      </w:pPr>
      <w:r w:rsidRPr="008D0ABE">
        <w:rPr>
          <w:lang w:val="ru-RU"/>
        </w:rPr>
        <w:t>–</w:t>
      </w:r>
      <w:r w:rsidRPr="008D0ABE">
        <w:rPr>
          <w:lang w:val="ru-RU"/>
        </w:rPr>
        <w:tab/>
        <w:t>Целевой показатель 1.7 (Воздействие стандартов функциональной совместимости): Секретариату было поручено работать в тесном сотрудничестве с Директором Бюро стандартизации электросвязи для определения индикаторов, которые в большей степени соответствуют этому целевому показателю.</w:t>
      </w:r>
    </w:p>
    <w:p w14:paraId="40BC2B93" w14:textId="440A65D5" w:rsidR="005A38C3" w:rsidRPr="008D0ABE" w:rsidRDefault="005A38C3" w:rsidP="00CE3CD0">
      <w:pPr>
        <w:jc w:val="both"/>
        <w:rPr>
          <w:lang w:val="ru-RU"/>
        </w:rPr>
      </w:pPr>
      <w:r w:rsidRPr="008D0ABE">
        <w:rPr>
          <w:lang w:val="ru-RU"/>
        </w:rPr>
        <w:t>По итогам внутренних консультаций с соответствующими Бюро в настоящем отчете представлены предлагаемые Секретариатом усовершенствования для рассмотрения ПК-26, а также результаты работы Рабочей группы Совета по разработке Стратегического и Финансового планов на 2028</w:t>
      </w:r>
      <w:r w:rsidR="00ED3760" w:rsidRPr="00CE3CD0">
        <w:rPr>
          <w:lang w:val="ru-RU"/>
        </w:rPr>
        <w:t>−</w:t>
      </w:r>
      <w:r w:rsidRPr="008D0ABE">
        <w:rPr>
          <w:lang w:val="ru-RU"/>
        </w:rPr>
        <w:t>2031</w:t>
      </w:r>
      <w:r w:rsidR="00ED3760">
        <w:rPr>
          <w:lang w:val="en-US"/>
        </w:rPr>
        <w:t> </w:t>
      </w:r>
      <w:r w:rsidRPr="008D0ABE">
        <w:rPr>
          <w:lang w:val="ru-RU"/>
        </w:rPr>
        <w:t xml:space="preserve">годы (см. Документ </w:t>
      </w:r>
      <w:hyperlink r:id="rId9" w:history="1">
        <w:r w:rsidRPr="008D0ABE">
          <w:rPr>
            <w:rStyle w:val="Hyperlink"/>
            <w:lang w:val="ru-RU"/>
          </w:rPr>
          <w:t>32</w:t>
        </w:r>
      </w:hyperlink>
      <w:r w:rsidRPr="008D0ABE">
        <w:rPr>
          <w:lang w:val="ru-RU"/>
        </w:rPr>
        <w:t>).</w:t>
      </w:r>
    </w:p>
    <w:p w14:paraId="0DE0789A" w14:textId="77777777" w:rsidR="005A38C3" w:rsidRPr="008D0ABE" w:rsidRDefault="005A38C3" w:rsidP="00CE3CD0">
      <w:pPr>
        <w:jc w:val="both"/>
        <w:rPr>
          <w:lang w:val="ru-RU"/>
        </w:rPr>
      </w:pPr>
      <w:r w:rsidRPr="008D0ABE">
        <w:rPr>
          <w:lang w:val="ru-RU"/>
        </w:rPr>
        <w:t>При рассмотрении предлагаемых целевых показателей 1.5 и 1.6 Секретариат счел, что соответствующие области работы было бы целесообразнее отразить на уровне конечных результатов в структуре результатов. Такой подход лучше отражает характер работы МСЭ и способствует ее эффективному отслеживанию с помощью показателей SMART.</w:t>
      </w:r>
    </w:p>
    <w:p w14:paraId="777F6962" w14:textId="77777777" w:rsidR="005A38C3" w:rsidRPr="008D0ABE" w:rsidRDefault="005A38C3" w:rsidP="00CE3CD0">
      <w:pPr>
        <w:jc w:val="both"/>
        <w:rPr>
          <w:lang w:val="ru-RU"/>
        </w:rPr>
      </w:pPr>
      <w:r w:rsidRPr="008D0ABE">
        <w:rPr>
          <w:lang w:val="ru-RU"/>
        </w:rPr>
        <w:t>Что касается целевого показателя 1.5, то традиционные индикаторы, такие как качество обслуживания и оценка пользователем качества услуги, не в полной мере отражают устойчивость сетей. Устойчивость также должна учитывать аспекты резервирования, разнесения, живучести, возможности восстановления, кибербезопасности и готовности как к физическим сбоям, так и к сбоям, связанным с использованием киберпространства. Поэтому в отчете представлены дополнительные индикаторы, дополняющие области, уже отраженные в предлагаемой структуре результатов, включая кибербезопасность и готовности, а также появляющиеся технологии электросвязи. Это становится все более важным, поскольку цифровые государственные услуги, облачные платформы, системы мониторинга и трансграничные потоки данных зависят от постоянного и надежного соединения. В соответствии с руководящими указаниями Совета устойчивость подводных кабелей также должна быть прямо признана как часть критической инфраструктуры международных соединений. Это включает национальные руководящие указания и меры политики в области защиты, механизмы координации мер реагирования при ремонте и восстановлении, принятые МСЭ стандарты по обеспечению разнесения маршрутов и стратегии по снижению вероятности возникновения единых точек отказа при международных соединениях, а также постепенное внедрение появляющихся технологий, включая мониторинг сетей и автоматизированные механизмы обеспечения устойчивости критической инфраструктуры электросвязи, включая системы подводных кабелей, для поддержки раннего обнаружения неисправностей, профилактического обслуживания и ускоренного восстановления услуг.</w:t>
      </w:r>
    </w:p>
    <w:p w14:paraId="6DFAD2B4" w14:textId="77777777" w:rsidR="005A38C3" w:rsidRPr="008D0ABE" w:rsidRDefault="005A38C3" w:rsidP="00CE3CD0">
      <w:pPr>
        <w:jc w:val="both"/>
        <w:rPr>
          <w:lang w:val="ru-RU"/>
        </w:rPr>
      </w:pPr>
      <w:r w:rsidRPr="008D0ABE">
        <w:rPr>
          <w:lang w:val="ru-RU"/>
        </w:rPr>
        <w:t xml:space="preserve">Отчет основан на текущей работе МСЭ в области стандартизации, развития и политической поддержки. Соответствующие справочные документы могут включать Рекомендации МСЭ-Т по надежности и устойчивости, работу МСЭ-D в области электросвязи в чрезвычайных ситуациях и инициативы по обеспечению устойчивости сетей, которые можно отслеживать с помощью </w:t>
      </w:r>
      <w:r w:rsidRPr="008D0ABE">
        <w:rPr>
          <w:lang w:val="ru-RU"/>
        </w:rPr>
        <w:lastRenderedPageBreak/>
        <w:t>инструмента отслеживания нормативно-правовой базы ИКТ МСЭ и обследований МСЭ-D, дополненных отчетностью на основе конкретных ситуаций.</w:t>
      </w:r>
    </w:p>
    <w:p w14:paraId="4A723834" w14:textId="77777777" w:rsidR="005A38C3" w:rsidRPr="008D0ABE" w:rsidRDefault="005A38C3" w:rsidP="00CE3CD0">
      <w:pPr>
        <w:keepNext/>
        <w:keepLines/>
        <w:spacing w:after="120"/>
        <w:jc w:val="both"/>
        <w:rPr>
          <w:lang w:val="ru-RU"/>
        </w:rPr>
      </w:pPr>
      <w:r w:rsidRPr="008D0ABE">
        <w:rPr>
          <w:lang w:val="ru-RU"/>
        </w:rPr>
        <w:t>Исходя из этого, Секретариат хотел бы представить три новых результата в рамках приоритета "Инклюзивные и защищенные инфраструктура и услуги электросвязи/ИКТ":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3839"/>
        <w:gridCol w:w="3841"/>
      </w:tblGrid>
      <w:tr w:rsidR="005A38C3" w:rsidRPr="008D0ABE" w14:paraId="46014650" w14:textId="77777777" w:rsidTr="00523D5B">
        <w:trPr>
          <w:cantSplit/>
          <w:jc w:val="center"/>
        </w:trPr>
        <w:tc>
          <w:tcPr>
            <w:tcW w:w="1015" w:type="pct"/>
          </w:tcPr>
          <w:p w14:paraId="120ED7B6" w14:textId="15A67A02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lang w:val="ru-RU"/>
              </w:rPr>
              <w:t>Приоритет</w:t>
            </w:r>
          </w:p>
        </w:tc>
        <w:tc>
          <w:tcPr>
            <w:tcW w:w="1992" w:type="pct"/>
          </w:tcPr>
          <w:p w14:paraId="5E7618A3" w14:textId="2EA36A1B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lang w:val="ru-RU"/>
              </w:rPr>
              <w:t>Конечный результат</w:t>
            </w:r>
          </w:p>
        </w:tc>
        <w:tc>
          <w:tcPr>
            <w:tcW w:w="1993" w:type="pct"/>
          </w:tcPr>
          <w:p w14:paraId="739C15E7" w14:textId="77777777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bCs/>
                <w:lang w:val="ru-RU"/>
              </w:rPr>
              <w:t>Показатель конечного результата</w:t>
            </w:r>
          </w:p>
        </w:tc>
      </w:tr>
      <w:tr w:rsidR="005A38C3" w:rsidRPr="00CE3CD0" w14:paraId="22BB63A3" w14:textId="77777777" w:rsidTr="00523D5B">
        <w:trPr>
          <w:cantSplit/>
          <w:jc w:val="center"/>
        </w:trPr>
        <w:tc>
          <w:tcPr>
            <w:tcW w:w="1015" w:type="pct"/>
            <w:vMerge w:val="restart"/>
          </w:tcPr>
          <w:p w14:paraId="39F34D98" w14:textId="77777777" w:rsidR="005A38C3" w:rsidRPr="00ED3760" w:rsidRDefault="005A38C3" w:rsidP="00ED3760">
            <w:pPr>
              <w:pStyle w:val="Tabletext"/>
              <w:rPr>
                <w:b/>
                <w:bCs/>
                <w:lang w:val="ru-RU"/>
              </w:rPr>
            </w:pPr>
            <w:r w:rsidRPr="00ED3760">
              <w:rPr>
                <w:b/>
                <w:bCs/>
                <w:lang w:val="ru-RU"/>
              </w:rPr>
              <w:t>Инклюзивные и защищенные инфраструктура и услуги электросвязи/ИКТ</w:t>
            </w:r>
          </w:p>
        </w:tc>
        <w:tc>
          <w:tcPr>
            <w:tcW w:w="1992" w:type="pct"/>
          </w:tcPr>
          <w:p w14:paraId="45F49497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Регулирование резервирования и разнесения маршрутов в сетях</w:t>
            </w:r>
          </w:p>
        </w:tc>
        <w:tc>
          <w:tcPr>
            <w:tcW w:w="1993" w:type="pct"/>
          </w:tcPr>
          <w:p w14:paraId="52F52C90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Государства-Члены требуют от операторов реализовывать резервирование и разнесение маршрутов для критической инфраструктуры, включая международные соединения</w:t>
            </w:r>
          </w:p>
        </w:tc>
      </w:tr>
      <w:tr w:rsidR="005A38C3" w:rsidRPr="00CE3CD0" w14:paraId="22C27883" w14:textId="77777777" w:rsidTr="00523D5B">
        <w:trPr>
          <w:cantSplit/>
          <w:jc w:val="center"/>
        </w:trPr>
        <w:tc>
          <w:tcPr>
            <w:tcW w:w="1015" w:type="pct"/>
            <w:vMerge/>
          </w:tcPr>
          <w:p w14:paraId="09EA1718" w14:textId="77777777" w:rsidR="005A38C3" w:rsidRPr="008D0ABE" w:rsidRDefault="005A38C3" w:rsidP="008D0ABE">
            <w:pPr>
              <w:rPr>
                <w:lang w:val="ru-RU"/>
              </w:rPr>
            </w:pPr>
          </w:p>
        </w:tc>
        <w:tc>
          <w:tcPr>
            <w:tcW w:w="1992" w:type="pct"/>
          </w:tcPr>
          <w:p w14:paraId="7484B401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Возможность мониторинга отказов и реагирования на них</w:t>
            </w:r>
          </w:p>
        </w:tc>
        <w:tc>
          <w:tcPr>
            <w:tcW w:w="1993" w:type="pct"/>
          </w:tcPr>
          <w:p w14:paraId="21FA84B9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Государства-Члены, обладающие механизмами мониторинга, сообщения о серьезных перебоях в работе сетей, затрагивающих важнейшие службы, и реагирования на них</w:t>
            </w:r>
          </w:p>
        </w:tc>
      </w:tr>
      <w:tr w:rsidR="005A38C3" w:rsidRPr="00CE3CD0" w14:paraId="47172DE9" w14:textId="77777777" w:rsidTr="00523D5B">
        <w:trPr>
          <w:cantSplit/>
          <w:jc w:val="center"/>
        </w:trPr>
        <w:tc>
          <w:tcPr>
            <w:tcW w:w="1015" w:type="pct"/>
            <w:vMerge/>
          </w:tcPr>
          <w:p w14:paraId="19960220" w14:textId="77777777" w:rsidR="005A38C3" w:rsidRPr="008D0ABE" w:rsidRDefault="005A38C3" w:rsidP="008D0ABE">
            <w:pPr>
              <w:rPr>
                <w:lang w:val="ru-RU"/>
              </w:rPr>
            </w:pPr>
          </w:p>
        </w:tc>
        <w:tc>
          <w:tcPr>
            <w:tcW w:w="1992" w:type="pct"/>
          </w:tcPr>
          <w:p w14:paraId="2ADC3282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Меры по обеспечению устойчивости подводных кабелей</w:t>
            </w:r>
          </w:p>
        </w:tc>
        <w:tc>
          <w:tcPr>
            <w:tcW w:w="1993" w:type="pct"/>
          </w:tcPr>
          <w:p w14:paraId="5C8A777F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Государства-Члены принимают меры политики или применяют механизмы координации для обеспечения устойчивости (т. е. защиты) подводных кабелей, разнесения маршрутов и обеспечения готовности к восстановлению, включая мониторинг и автоматизированные средства обеспечения устойчивости для обнаружения отказов, профилактического обслуживания и восстановления обслуживания.</w:t>
            </w:r>
          </w:p>
        </w:tc>
      </w:tr>
    </w:tbl>
    <w:p w14:paraId="120E5A75" w14:textId="77777777" w:rsidR="005A38C3" w:rsidRPr="008D0ABE" w:rsidRDefault="005A38C3" w:rsidP="00CE3CD0">
      <w:pPr>
        <w:spacing w:before="240"/>
        <w:jc w:val="both"/>
        <w:rPr>
          <w:lang w:val="ru-RU"/>
        </w:rPr>
      </w:pPr>
      <w:r w:rsidRPr="008D0ABE">
        <w:rPr>
          <w:lang w:val="ru-RU"/>
        </w:rPr>
        <w:t>Что касается целевого показателя 1.6, то Секретариат рекомендует не сохранять его в виде отдельного целевого показателя, а вместо этого указать "Радиочастотный спектр, свободный от вредных помех" в качестве еще одного конечного результата в рамках приоритета "Использование спектра для космических и наземных служб", который в настоящее время отражен в Стратегическом плане на 2024−2027 годы.</w:t>
      </w:r>
    </w:p>
    <w:p w14:paraId="4BB0EA4F" w14:textId="77777777" w:rsidR="005A38C3" w:rsidRPr="008D0ABE" w:rsidRDefault="005A38C3" w:rsidP="00CE3CD0">
      <w:pPr>
        <w:jc w:val="both"/>
        <w:rPr>
          <w:lang w:val="ru-RU"/>
        </w:rPr>
      </w:pPr>
      <w:r w:rsidRPr="008D0ABE">
        <w:rPr>
          <w:lang w:val="ru-RU"/>
        </w:rPr>
        <w:t>Этот предлагаемый конечный результат касается отдельного и дополнительного аспекта использования спектра. В то время как нынешний конечный результат 1 ("Эффективное, экономное, рациональное и справедливое использование ресурсов радиочастотного спектра и орбиты") отражает принципы эффективности, экономии, рациональности и справедливости, предлагаемый конечный результат 2 вводит критерий отсутствия вредных помех, что обеспечивает не только оптимизацию, но и надежность использования спектра. Защита от вредных помех остается основополагающей, постоянной и сквозной задачей работы и результатов деятельности Сектора радиосвязи (МСЭ-R).</w:t>
      </w:r>
    </w:p>
    <w:p w14:paraId="5D19AE31" w14:textId="7D76CBDB" w:rsidR="005A38C3" w:rsidRPr="008D0ABE" w:rsidRDefault="005A38C3" w:rsidP="00CE3CD0">
      <w:pPr>
        <w:jc w:val="both"/>
        <w:rPr>
          <w:lang w:val="ru-RU"/>
        </w:rPr>
      </w:pPr>
      <w:r w:rsidRPr="008D0ABE">
        <w:rPr>
          <w:lang w:val="ru-RU"/>
        </w:rPr>
        <w:t>Поскольку количество зарегистрированных и урегулированных случаев вредных помех относится к оперативным процедурным показателям БР, а не к стратегическим показателям деятельности, такие случаи целесообразно отнести к показателям конечного результата в рамках конечного результата</w:t>
      </w:r>
      <w:r w:rsidR="00ED3760">
        <w:rPr>
          <w:lang w:val="en-US"/>
        </w:rPr>
        <w:t> </w:t>
      </w:r>
      <w:r w:rsidRPr="008D0ABE">
        <w:rPr>
          <w:lang w:val="ru-RU"/>
        </w:rPr>
        <w:t>2.</w:t>
      </w:r>
    </w:p>
    <w:p w14:paraId="3D3C714E" w14:textId="77777777" w:rsidR="005A38C3" w:rsidRPr="008D0ABE" w:rsidRDefault="005A38C3" w:rsidP="00ED3760">
      <w:pPr>
        <w:keepNext/>
        <w:keepLines/>
        <w:spacing w:after="120"/>
        <w:rPr>
          <w:lang w:val="ru-RU"/>
        </w:rPr>
      </w:pPr>
      <w:r w:rsidRPr="008D0ABE">
        <w:rPr>
          <w:lang w:val="ru-RU"/>
        </w:rPr>
        <w:lastRenderedPageBreak/>
        <w:t>Для рассмотрения ПК-26 предлагается следующая поправка: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9"/>
        <w:gridCol w:w="3898"/>
        <w:gridCol w:w="3898"/>
      </w:tblGrid>
      <w:tr w:rsidR="005A38C3" w:rsidRPr="008D0ABE" w14:paraId="7B640EC3" w14:textId="77777777" w:rsidTr="00523D5B">
        <w:trPr>
          <w:trHeight w:val="97"/>
        </w:trPr>
        <w:tc>
          <w:tcPr>
            <w:tcW w:w="954" w:type="pct"/>
          </w:tcPr>
          <w:p w14:paraId="1B9D5C8A" w14:textId="325C9996" w:rsidR="005A38C3" w:rsidRPr="008D0ABE" w:rsidRDefault="005A38C3" w:rsidP="00ED3760">
            <w:pPr>
              <w:pStyle w:val="Tablehead"/>
              <w:keepNext/>
              <w:keepLines/>
              <w:rPr>
                <w:lang w:val="ru-RU"/>
              </w:rPr>
            </w:pPr>
            <w:r w:rsidRPr="008D0ABE">
              <w:rPr>
                <w:lang w:val="ru-RU"/>
              </w:rPr>
              <w:t>Приоритет</w:t>
            </w:r>
          </w:p>
        </w:tc>
        <w:tc>
          <w:tcPr>
            <w:tcW w:w="2023" w:type="pct"/>
          </w:tcPr>
          <w:p w14:paraId="7EF3CBF5" w14:textId="257CE476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lang w:val="ru-RU"/>
              </w:rPr>
              <w:t>Конечный результат</w:t>
            </w:r>
          </w:p>
        </w:tc>
        <w:tc>
          <w:tcPr>
            <w:tcW w:w="2023" w:type="pct"/>
          </w:tcPr>
          <w:p w14:paraId="69E46E30" w14:textId="77777777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bCs/>
                <w:lang w:val="ru-RU"/>
              </w:rPr>
              <w:t>Показатель конечного результата</w:t>
            </w:r>
          </w:p>
        </w:tc>
      </w:tr>
      <w:tr w:rsidR="005A38C3" w:rsidRPr="00CE3CD0" w14:paraId="186F3CBC" w14:textId="77777777" w:rsidTr="00523D5B">
        <w:trPr>
          <w:trHeight w:val="97"/>
        </w:trPr>
        <w:tc>
          <w:tcPr>
            <w:tcW w:w="954" w:type="pct"/>
          </w:tcPr>
          <w:p w14:paraId="48973B30" w14:textId="77777777" w:rsidR="005A38C3" w:rsidRPr="00ED3760" w:rsidRDefault="005A38C3" w:rsidP="00ED3760">
            <w:pPr>
              <w:pStyle w:val="Tabletext"/>
              <w:rPr>
                <w:b/>
                <w:lang w:val="ru-RU"/>
              </w:rPr>
            </w:pPr>
            <w:r w:rsidRPr="00ED3760">
              <w:rPr>
                <w:b/>
                <w:lang w:val="ru-RU"/>
              </w:rPr>
              <w:t>Использование спектра для космических и наземных служб</w:t>
            </w:r>
          </w:p>
        </w:tc>
        <w:tc>
          <w:tcPr>
            <w:tcW w:w="2023" w:type="pct"/>
          </w:tcPr>
          <w:p w14:paraId="6CC66D16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Радиочастотный спектр, свободный от вредных помех</w:t>
            </w:r>
          </w:p>
        </w:tc>
        <w:tc>
          <w:tcPr>
            <w:tcW w:w="2023" w:type="pct"/>
          </w:tcPr>
          <w:p w14:paraId="1353DE3B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 xml:space="preserve">Количество случаев вредных помех (частотным присвоениям, относящимся к космическим службам), о которых сообщено в БР в течение одного года отчетного периода </w:t>
            </w:r>
          </w:p>
          <w:p w14:paraId="13812D04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Количество случаев вредных помех (частотным присвоениям, относящимся к космическим службам), о которых сообщено в БР и которые еще не урегулированы</w:t>
            </w:r>
          </w:p>
          <w:p w14:paraId="5DA8B30A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Количество случаев вредных помех (частотным присвоениям, относящимся к наземным службам), о которых сообщено в БР в течение одного года отчетного периода</w:t>
            </w:r>
          </w:p>
          <w:p w14:paraId="2BE97681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Количество случаев вредных помех (частотным присвоениям, относящимся к наземным службам), о которых сообщено в БР и которые еще не урегулированы</w:t>
            </w:r>
          </w:p>
          <w:p w14:paraId="3673ED9C" w14:textId="77777777" w:rsidR="005A38C3" w:rsidRPr="008D0ABE" w:rsidRDefault="005A38C3" w:rsidP="00ED3760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Количество случаев, в которых БР приняло надлежащие меры с использованием соответствующих процедур (например, в соответствии с пп. 15.41, 15.42 РР и т. д.)</w:t>
            </w:r>
          </w:p>
        </w:tc>
      </w:tr>
    </w:tbl>
    <w:p w14:paraId="200416F8" w14:textId="77777777" w:rsidR="005A38C3" w:rsidRPr="008D0ABE" w:rsidRDefault="005A38C3" w:rsidP="00CE3CD0">
      <w:pPr>
        <w:spacing w:before="240"/>
        <w:jc w:val="both"/>
        <w:rPr>
          <w:lang w:val="ru-RU"/>
        </w:rPr>
      </w:pPr>
      <w:r w:rsidRPr="008D0ABE">
        <w:rPr>
          <w:lang w:val="ru-RU"/>
        </w:rPr>
        <w:t>Что касается целевого показателя 1.7, то функциональная совместимость стандартов является предлагаемым приоритетом, который призван отразить влияние работы МСЭ на сектор ИКТ и экономику в целом. Исходя из этого, Секретариат хотел бы представить в качестве отправной точки один индикатор, который наилучшим образом соответствует уровню воздействия.</w:t>
      </w:r>
    </w:p>
    <w:p w14:paraId="57F1F797" w14:textId="77777777" w:rsidR="005A38C3" w:rsidRPr="008D0ABE" w:rsidRDefault="005A38C3" w:rsidP="00CE3CD0">
      <w:pPr>
        <w:jc w:val="both"/>
        <w:rPr>
          <w:lang w:val="ru-RU"/>
        </w:rPr>
      </w:pPr>
      <w:r w:rsidRPr="008D0ABE">
        <w:rPr>
          <w:lang w:val="ru-RU"/>
        </w:rPr>
        <w:t>Подавляющее большинство интернет-видео в мире работает на основе стандартизированного МСЭ метода сжатия. Выраженный в процентах этот индикатор может со временем изменяться, отражать реальную конкуренцию со стороны других кодексов и служить репрезентативным способом показать, что бóльшая часть видео в мире основывается на стандартах, которые помогает устанавливать МСЭ.</w:t>
      </w:r>
    </w:p>
    <w:p w14:paraId="78B45157" w14:textId="77777777" w:rsidR="005A38C3" w:rsidRPr="008D0ABE" w:rsidRDefault="005A38C3" w:rsidP="00CE3CD0">
      <w:pPr>
        <w:jc w:val="both"/>
        <w:rPr>
          <w:lang w:val="ru-RU"/>
        </w:rPr>
      </w:pPr>
      <w:r w:rsidRPr="008D0ABE">
        <w:rPr>
          <w:lang w:val="ru-RU"/>
        </w:rPr>
        <w:t>Со временем методика "историй успеха", разрабатываемая в рамках Консультативной группы по стандартизации электросвязи (КГСЭ), должна помочь определить дополнительные индикаторы, отражающие влияние МСЭ, при этом составляя общую картину воздействия стандартов на функциональную совместимость, а не являясь набором отдельных индикаторов, связанных с конкретными стандартами.</w:t>
      </w:r>
    </w:p>
    <w:p w14:paraId="38A16F9E" w14:textId="77777777" w:rsidR="005A38C3" w:rsidRPr="008D0ABE" w:rsidRDefault="005A38C3" w:rsidP="00CE3CD0">
      <w:pPr>
        <w:keepNext/>
        <w:keepLines/>
        <w:spacing w:after="120"/>
        <w:jc w:val="both"/>
        <w:rPr>
          <w:lang w:val="ru-RU"/>
        </w:rPr>
      </w:pPr>
      <w:r w:rsidRPr="008D0ABE">
        <w:rPr>
          <w:lang w:val="ru-RU"/>
        </w:rPr>
        <w:t>Ниже приводится предлагаемый индикатор целевого показателя: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7"/>
        <w:gridCol w:w="4818"/>
      </w:tblGrid>
      <w:tr w:rsidR="005A38C3" w:rsidRPr="008D0ABE" w14:paraId="034F237A" w14:textId="77777777" w:rsidTr="00523D5B">
        <w:trPr>
          <w:trHeight w:val="98"/>
        </w:trPr>
        <w:tc>
          <w:tcPr>
            <w:tcW w:w="2500" w:type="pct"/>
          </w:tcPr>
          <w:p w14:paraId="565DD2C4" w14:textId="1AA2776C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lang w:val="ru-RU"/>
              </w:rPr>
              <w:t>Целевой показатель</w:t>
            </w:r>
          </w:p>
        </w:tc>
        <w:tc>
          <w:tcPr>
            <w:tcW w:w="2500" w:type="pct"/>
          </w:tcPr>
          <w:p w14:paraId="686B9C11" w14:textId="708E355F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lang w:val="ru-RU"/>
              </w:rPr>
              <w:t>Индикатор целевого показателя</w:t>
            </w:r>
          </w:p>
        </w:tc>
      </w:tr>
      <w:tr w:rsidR="005A38C3" w:rsidRPr="00CE3CD0" w14:paraId="368CCBED" w14:textId="77777777" w:rsidTr="00523D5B">
        <w:trPr>
          <w:trHeight w:val="98"/>
        </w:trPr>
        <w:tc>
          <w:tcPr>
            <w:tcW w:w="2500" w:type="pct"/>
          </w:tcPr>
          <w:p w14:paraId="0E10B6FF" w14:textId="77777777" w:rsidR="005A38C3" w:rsidRPr="008D0ABE" w:rsidRDefault="005A38C3" w:rsidP="00ED3760">
            <w:pPr>
              <w:pStyle w:val="Tabletext"/>
              <w:rPr>
                <w:lang w:val="ru-RU"/>
              </w:rPr>
            </w:pPr>
            <w:r w:rsidRPr="008D0ABE">
              <w:rPr>
                <w:lang w:val="ru-RU"/>
              </w:rPr>
              <w:t>1.7: Воздействие стандартов функциональной совместимости</w:t>
            </w:r>
          </w:p>
        </w:tc>
        <w:tc>
          <w:tcPr>
            <w:tcW w:w="2500" w:type="pct"/>
          </w:tcPr>
          <w:p w14:paraId="3249068B" w14:textId="77777777" w:rsidR="005A38C3" w:rsidRPr="008D0ABE" w:rsidRDefault="005A38C3" w:rsidP="00BC29B2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 xml:space="preserve">Доля глобального видеотрафика, передаваемая стандартными кодеками МСЭ (%) </w:t>
            </w:r>
          </w:p>
        </w:tc>
      </w:tr>
    </w:tbl>
    <w:p w14:paraId="65067457" w14:textId="77777777" w:rsidR="005A38C3" w:rsidRPr="008D0ABE" w:rsidRDefault="005A38C3" w:rsidP="00CE3CD0">
      <w:pPr>
        <w:spacing w:before="240" w:after="120"/>
        <w:jc w:val="both"/>
        <w:rPr>
          <w:lang w:val="ru-RU"/>
        </w:rPr>
      </w:pPr>
      <w:r w:rsidRPr="008D0ABE">
        <w:rPr>
          <w:lang w:val="ru-RU"/>
        </w:rPr>
        <w:t xml:space="preserve">В рамках проведенных консультаций Секретариат определил также следующий перспективный показатель конечного результата, предлагаемый на рассмотрение ПК-26. Та же самая система </w:t>
      </w:r>
      <w:r w:rsidRPr="008D0ABE">
        <w:rPr>
          <w:lang w:val="ru-RU"/>
        </w:rPr>
        <w:lastRenderedPageBreak/>
        <w:t>нумерации, которая когда-то обеспечивала универсальную телефонию, теперь расширяет возможности подключения, позволяя спутникам устанавливать прямую связь с мобильными телефонами, находящимися вне зоны досягаемости наземных сетей. В этом контексте предлагается следующий показатель конечного результата: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3777"/>
        <w:gridCol w:w="3777"/>
      </w:tblGrid>
      <w:tr w:rsidR="005A38C3" w:rsidRPr="008D0ABE" w14:paraId="0616BC40" w14:textId="77777777" w:rsidTr="00523D5B">
        <w:trPr>
          <w:trHeight w:val="97"/>
        </w:trPr>
        <w:tc>
          <w:tcPr>
            <w:tcW w:w="1080" w:type="pct"/>
          </w:tcPr>
          <w:p w14:paraId="70228D19" w14:textId="77777777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lang w:val="ru-RU"/>
              </w:rPr>
              <w:t xml:space="preserve">Приоритет </w:t>
            </w:r>
          </w:p>
        </w:tc>
        <w:tc>
          <w:tcPr>
            <w:tcW w:w="1960" w:type="pct"/>
          </w:tcPr>
          <w:p w14:paraId="788BDC1C" w14:textId="4E536673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lang w:val="ru-RU"/>
              </w:rPr>
              <w:t>Конечный результат</w:t>
            </w:r>
          </w:p>
        </w:tc>
        <w:tc>
          <w:tcPr>
            <w:tcW w:w="1960" w:type="pct"/>
          </w:tcPr>
          <w:p w14:paraId="28880AE5" w14:textId="77777777" w:rsidR="005A38C3" w:rsidRPr="008D0ABE" w:rsidRDefault="005A38C3" w:rsidP="00ED3760">
            <w:pPr>
              <w:pStyle w:val="Tablehead"/>
              <w:rPr>
                <w:lang w:val="ru-RU"/>
              </w:rPr>
            </w:pPr>
            <w:r w:rsidRPr="008D0ABE">
              <w:rPr>
                <w:bCs/>
                <w:lang w:val="ru-RU"/>
              </w:rPr>
              <w:t>Показатель конечного результата</w:t>
            </w:r>
          </w:p>
        </w:tc>
      </w:tr>
      <w:tr w:rsidR="005A38C3" w:rsidRPr="008D0ABE" w14:paraId="5DB37793" w14:textId="77777777" w:rsidTr="00523D5B">
        <w:trPr>
          <w:trHeight w:val="97"/>
        </w:trPr>
        <w:tc>
          <w:tcPr>
            <w:tcW w:w="1080" w:type="pct"/>
          </w:tcPr>
          <w:p w14:paraId="31409A8C" w14:textId="77777777" w:rsidR="005A38C3" w:rsidRPr="00ED3760" w:rsidRDefault="005A38C3" w:rsidP="00ED3760">
            <w:pPr>
              <w:pStyle w:val="Tabletext"/>
              <w:rPr>
                <w:b/>
                <w:lang w:val="ru-RU"/>
              </w:rPr>
            </w:pPr>
            <w:r w:rsidRPr="00ED3760">
              <w:rPr>
                <w:b/>
                <w:lang w:val="ru-RU"/>
              </w:rPr>
              <w:t>Функциональная совместимость и инновации в области электросвязи/ИКТ в глобальном масштабе</w:t>
            </w:r>
          </w:p>
        </w:tc>
        <w:tc>
          <w:tcPr>
            <w:tcW w:w="1960" w:type="pct"/>
          </w:tcPr>
          <w:p w14:paraId="1675C8A6" w14:textId="77777777" w:rsidR="005A38C3" w:rsidRPr="008D0ABE" w:rsidRDefault="005A38C3" w:rsidP="00BC29B2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Совершенствование рабочих характеристик, надежности и координации глобальных сетей и услуг электросвязи</w:t>
            </w:r>
          </w:p>
        </w:tc>
        <w:tc>
          <w:tcPr>
            <w:tcW w:w="1960" w:type="pct"/>
          </w:tcPr>
          <w:p w14:paraId="3F9F4F56" w14:textId="77777777" w:rsidR="005A38C3" w:rsidRPr="008D0ABE" w:rsidRDefault="005A38C3" w:rsidP="00BC29B2">
            <w:pPr>
              <w:pStyle w:val="Tabletext"/>
              <w:tabs>
                <w:tab w:val="left" w:pos="284"/>
              </w:tabs>
              <w:ind w:left="284" w:hanging="284"/>
              <w:rPr>
                <w:lang w:val="ru-RU"/>
              </w:rPr>
            </w:pPr>
            <w:r w:rsidRPr="008D0ABE">
              <w:rPr>
                <w:lang w:val="ru-RU"/>
              </w:rPr>
              <w:t>–</w:t>
            </w:r>
            <w:r w:rsidRPr="008D0ABE">
              <w:rPr>
                <w:lang w:val="ru-RU"/>
              </w:rPr>
              <w:tab/>
              <w:t>Количество новых сетей IoT, спутниковых сетей и сетей появляющихся услуг, использующих международную нумерацию МСЭ, в год</w:t>
            </w:r>
          </w:p>
        </w:tc>
      </w:tr>
    </w:tbl>
    <w:p w14:paraId="3A0294AB" w14:textId="77777777" w:rsidR="005A38C3" w:rsidRPr="008D0ABE" w:rsidRDefault="005A38C3" w:rsidP="00ED3760">
      <w:pPr>
        <w:spacing w:before="720"/>
        <w:jc w:val="center"/>
        <w:rPr>
          <w:lang w:val="ru-RU"/>
        </w:rPr>
      </w:pPr>
      <w:r w:rsidRPr="008D0ABE">
        <w:rPr>
          <w:lang w:val="ru-RU"/>
        </w:rPr>
        <w:t>______________</w:t>
      </w:r>
    </w:p>
    <w:sectPr w:rsidR="005A38C3" w:rsidRPr="008D0ABE" w:rsidSect="00172DFB">
      <w:headerReference w:type="default" r:id="rId10"/>
      <w:footerReference w:type="first" r:id="rId11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E30E1" w14:textId="77777777" w:rsidR="002024B5" w:rsidRDefault="002024B5" w:rsidP="0079159C">
      <w:r>
        <w:separator/>
      </w:r>
    </w:p>
    <w:p w14:paraId="42F5FC08" w14:textId="77777777" w:rsidR="002024B5" w:rsidRDefault="002024B5" w:rsidP="0079159C"/>
    <w:p w14:paraId="71D2A601" w14:textId="77777777" w:rsidR="002024B5" w:rsidRDefault="002024B5" w:rsidP="0079159C"/>
    <w:p w14:paraId="3937722B" w14:textId="77777777" w:rsidR="002024B5" w:rsidRDefault="002024B5" w:rsidP="0079159C"/>
    <w:p w14:paraId="1F23B490" w14:textId="77777777" w:rsidR="002024B5" w:rsidRDefault="002024B5" w:rsidP="0079159C"/>
    <w:p w14:paraId="37D2C317" w14:textId="77777777" w:rsidR="002024B5" w:rsidRDefault="002024B5" w:rsidP="0079159C"/>
    <w:p w14:paraId="2B932DD6" w14:textId="77777777" w:rsidR="002024B5" w:rsidRDefault="002024B5" w:rsidP="0079159C"/>
    <w:p w14:paraId="48523479" w14:textId="77777777" w:rsidR="002024B5" w:rsidRDefault="002024B5" w:rsidP="0079159C"/>
    <w:p w14:paraId="14B3D59C" w14:textId="77777777" w:rsidR="002024B5" w:rsidRDefault="002024B5" w:rsidP="0079159C"/>
    <w:p w14:paraId="5216785E" w14:textId="77777777" w:rsidR="002024B5" w:rsidRDefault="002024B5" w:rsidP="0079159C"/>
    <w:p w14:paraId="43149EEA" w14:textId="77777777" w:rsidR="002024B5" w:rsidRDefault="002024B5" w:rsidP="0079159C"/>
    <w:p w14:paraId="09215F03" w14:textId="77777777" w:rsidR="002024B5" w:rsidRDefault="002024B5" w:rsidP="0079159C"/>
    <w:p w14:paraId="6046AE0F" w14:textId="77777777" w:rsidR="002024B5" w:rsidRDefault="002024B5" w:rsidP="0079159C"/>
    <w:p w14:paraId="12906997" w14:textId="77777777" w:rsidR="002024B5" w:rsidRDefault="002024B5" w:rsidP="0079159C"/>
    <w:p w14:paraId="492F8E29" w14:textId="77777777" w:rsidR="002024B5" w:rsidRDefault="002024B5" w:rsidP="004B3A6C"/>
    <w:p w14:paraId="406D9F99" w14:textId="77777777" w:rsidR="002024B5" w:rsidRDefault="002024B5" w:rsidP="004B3A6C"/>
  </w:endnote>
  <w:endnote w:type="continuationSeparator" w:id="0">
    <w:p w14:paraId="6CD31AA0" w14:textId="77777777" w:rsidR="002024B5" w:rsidRDefault="002024B5" w:rsidP="0079159C">
      <w:r>
        <w:continuationSeparator/>
      </w:r>
    </w:p>
    <w:p w14:paraId="79B170AC" w14:textId="77777777" w:rsidR="002024B5" w:rsidRDefault="002024B5" w:rsidP="0079159C"/>
    <w:p w14:paraId="273C5CC3" w14:textId="77777777" w:rsidR="002024B5" w:rsidRDefault="002024B5" w:rsidP="0079159C"/>
    <w:p w14:paraId="51BF7C6E" w14:textId="77777777" w:rsidR="002024B5" w:rsidRDefault="002024B5" w:rsidP="0079159C"/>
    <w:p w14:paraId="3A156EC3" w14:textId="77777777" w:rsidR="002024B5" w:rsidRDefault="002024B5" w:rsidP="0079159C"/>
    <w:p w14:paraId="634710C5" w14:textId="77777777" w:rsidR="002024B5" w:rsidRDefault="002024B5" w:rsidP="0079159C"/>
    <w:p w14:paraId="385B3EEB" w14:textId="77777777" w:rsidR="002024B5" w:rsidRDefault="002024B5" w:rsidP="0079159C"/>
    <w:p w14:paraId="1F897FAF" w14:textId="77777777" w:rsidR="002024B5" w:rsidRDefault="002024B5" w:rsidP="0079159C"/>
    <w:p w14:paraId="78F42CE5" w14:textId="77777777" w:rsidR="002024B5" w:rsidRDefault="002024B5" w:rsidP="0079159C"/>
    <w:p w14:paraId="4A6B429B" w14:textId="77777777" w:rsidR="002024B5" w:rsidRDefault="002024B5" w:rsidP="0079159C"/>
    <w:p w14:paraId="0FE70010" w14:textId="77777777" w:rsidR="002024B5" w:rsidRDefault="002024B5" w:rsidP="0079159C"/>
    <w:p w14:paraId="2BFA31CB" w14:textId="77777777" w:rsidR="002024B5" w:rsidRDefault="002024B5" w:rsidP="0079159C"/>
    <w:p w14:paraId="3854F344" w14:textId="77777777" w:rsidR="002024B5" w:rsidRDefault="002024B5" w:rsidP="0079159C"/>
    <w:p w14:paraId="2E054C39" w14:textId="77777777" w:rsidR="002024B5" w:rsidRDefault="002024B5" w:rsidP="0079159C"/>
    <w:p w14:paraId="1C49FC5A" w14:textId="77777777" w:rsidR="002024B5" w:rsidRDefault="002024B5" w:rsidP="004B3A6C"/>
    <w:p w14:paraId="5D62D3C6" w14:textId="77777777" w:rsidR="002024B5" w:rsidRDefault="002024B5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0109921A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5A87F" w14:textId="77777777" w:rsidR="002024B5" w:rsidRDefault="002024B5" w:rsidP="0079159C">
      <w:r>
        <w:t>____________________</w:t>
      </w:r>
    </w:p>
  </w:footnote>
  <w:footnote w:type="continuationSeparator" w:id="0">
    <w:p w14:paraId="501A46E6" w14:textId="77777777" w:rsidR="002024B5" w:rsidRDefault="002024B5" w:rsidP="0079159C">
      <w:r>
        <w:continuationSeparator/>
      </w:r>
    </w:p>
    <w:p w14:paraId="1B1ED619" w14:textId="77777777" w:rsidR="002024B5" w:rsidRDefault="002024B5" w:rsidP="0079159C"/>
    <w:p w14:paraId="0908502E" w14:textId="77777777" w:rsidR="002024B5" w:rsidRDefault="002024B5" w:rsidP="0079159C"/>
    <w:p w14:paraId="1EF8B90C" w14:textId="77777777" w:rsidR="002024B5" w:rsidRDefault="002024B5" w:rsidP="0079159C"/>
    <w:p w14:paraId="46DFCE03" w14:textId="77777777" w:rsidR="002024B5" w:rsidRDefault="002024B5" w:rsidP="0079159C"/>
    <w:p w14:paraId="12EF1BF7" w14:textId="77777777" w:rsidR="002024B5" w:rsidRDefault="002024B5" w:rsidP="0079159C"/>
    <w:p w14:paraId="7A108228" w14:textId="77777777" w:rsidR="002024B5" w:rsidRDefault="002024B5" w:rsidP="0079159C"/>
    <w:p w14:paraId="665E37E8" w14:textId="77777777" w:rsidR="002024B5" w:rsidRDefault="002024B5" w:rsidP="0079159C"/>
    <w:p w14:paraId="4793B764" w14:textId="77777777" w:rsidR="002024B5" w:rsidRDefault="002024B5" w:rsidP="0079159C"/>
    <w:p w14:paraId="08EF57B1" w14:textId="77777777" w:rsidR="002024B5" w:rsidRDefault="002024B5" w:rsidP="0079159C"/>
    <w:p w14:paraId="6103C50A" w14:textId="77777777" w:rsidR="002024B5" w:rsidRDefault="002024B5" w:rsidP="0079159C"/>
    <w:p w14:paraId="68AB031F" w14:textId="77777777" w:rsidR="002024B5" w:rsidRDefault="002024B5" w:rsidP="0079159C"/>
    <w:p w14:paraId="03A3AB16" w14:textId="77777777" w:rsidR="002024B5" w:rsidRDefault="002024B5" w:rsidP="0079159C"/>
    <w:p w14:paraId="38E710E8" w14:textId="77777777" w:rsidR="002024B5" w:rsidRDefault="002024B5" w:rsidP="0079159C"/>
    <w:p w14:paraId="13806AAD" w14:textId="77777777" w:rsidR="002024B5" w:rsidRDefault="002024B5" w:rsidP="004B3A6C"/>
    <w:p w14:paraId="408932E2" w14:textId="77777777" w:rsidR="002024B5" w:rsidRDefault="002024B5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39A16B66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</w:t>
    </w:r>
    <w:r w:rsidR="005A38C3">
      <w:rPr>
        <w:lang w:val="ru-RU"/>
      </w:rPr>
      <w:t>33</w:t>
    </w:r>
    <w:r w:rsidR="001E31D2"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24B5"/>
    <w:rsid w:val="00202880"/>
    <w:rsid w:val="0020313F"/>
    <w:rsid w:val="002173B8"/>
    <w:rsid w:val="00232D57"/>
    <w:rsid w:val="0023328E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A38C3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077D"/>
    <w:rsid w:val="00822C54"/>
    <w:rsid w:val="00826A7C"/>
    <w:rsid w:val="00842BD1"/>
    <w:rsid w:val="00850AEF"/>
    <w:rsid w:val="00870059"/>
    <w:rsid w:val="0087080B"/>
    <w:rsid w:val="008715E3"/>
    <w:rsid w:val="008A2FB3"/>
    <w:rsid w:val="008D0ABE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C29B2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3CD0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3760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uiPriority w:val="99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A3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S26-PP-C-0032/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tu.int/md/S26-PP-C-0032/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1218</Words>
  <Characters>9094</Characters>
  <Application>Microsoft Office Word</Application>
  <DocSecurity>0</DocSecurity>
  <Lines>221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by the Secretary-General - ITU Strategic and Financial Plans 2028-2031</dc:title>
  <dc:subject>Plenipotentiary Conference (PP-26)</dc:subject>
  <cp:keywords>PP-26, PP26, ITU</cp:keywords>
  <dc:description/>
  <dcterms:created xsi:type="dcterms:W3CDTF">2026-09-11T13:20:00Z</dcterms:created>
  <dcterms:modified xsi:type="dcterms:W3CDTF">2026-09-11T13:21:00Z</dcterms:modified>
  <cp:category>Conference document</cp:category>
</cp:coreProperties>
</file>