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675"/>
        <w:tblW w:w="10031" w:type="dxa"/>
        <w:jc w:val="center"/>
        <w:tblLayout w:type="fixed"/>
        <w:tblLook w:val="0000" w:firstRow="0" w:lastRow="0" w:firstColumn="0" w:lastColumn="0" w:noHBand="0" w:noVBand="0"/>
      </w:tblPr>
      <w:tblGrid>
        <w:gridCol w:w="7229"/>
        <w:gridCol w:w="2802"/>
      </w:tblGrid>
      <w:tr w:rsidR="00CE496F" w:rsidRPr="000410E2" w14:paraId="4484B0C5" w14:textId="77777777" w:rsidTr="00EC1877">
        <w:trPr>
          <w:cantSplit/>
          <w:jc w:val="center"/>
        </w:trPr>
        <w:tc>
          <w:tcPr>
            <w:tcW w:w="10031" w:type="dxa"/>
            <w:gridSpan w:val="2"/>
            <w:tcMar>
              <w:left w:w="0" w:type="dxa"/>
              <w:right w:w="0" w:type="dxa"/>
            </w:tcMar>
            <w:vAlign w:val="center"/>
          </w:tcPr>
          <w:p w14:paraId="7A1CF8E0" w14:textId="2E7CFD38" w:rsidR="00CE496F" w:rsidRPr="000410E2" w:rsidRDefault="00CE496F" w:rsidP="00CE496F">
            <w:pPr>
              <w:spacing w:before="0" w:line="240" w:lineRule="atLeast"/>
              <w:rPr>
                <w:rFonts w:cstheme="minorHAnsi"/>
              </w:rPr>
            </w:pPr>
            <w:bookmarkStart w:id="0" w:name="ditulogo"/>
            <w:bookmarkEnd w:id="0"/>
            <w:r w:rsidRPr="000410E2">
              <w:rPr>
                <w:rFonts w:cstheme="minorHAnsi"/>
                <w:noProof/>
              </w:rPr>
              <w:drawing>
                <wp:anchor distT="0" distB="0" distL="0" distR="0" simplePos="0" relativeHeight="251658240" behindDoc="1" locked="0" layoutInCell="1" allowOverlap="1" wp14:anchorId="0C0B0A57" wp14:editId="14C36CDE">
                  <wp:simplePos x="0" y="0"/>
                  <wp:positionH relativeFrom="column">
                    <wp:posOffset>-68580</wp:posOffset>
                  </wp:positionH>
                  <wp:positionV relativeFrom="paragraph">
                    <wp:posOffset>0</wp:posOffset>
                  </wp:positionV>
                  <wp:extent cx="6663600" cy="972000"/>
                  <wp:effectExtent l="0" t="0" r="0" b="0"/>
                  <wp:wrapTight wrapText="bothSides">
                    <wp:wrapPolygon edited="0">
                      <wp:start x="124" y="1694"/>
                      <wp:lineTo x="0" y="9318"/>
                      <wp:lineTo x="0" y="12282"/>
                      <wp:lineTo x="247" y="17365"/>
                      <wp:lineTo x="1050" y="18212"/>
                      <wp:lineTo x="2223" y="19059"/>
                      <wp:lineTo x="2532" y="19059"/>
                      <wp:lineTo x="3644" y="18212"/>
                      <wp:lineTo x="14945" y="16094"/>
                      <wp:lineTo x="18835" y="14400"/>
                      <wp:lineTo x="18897" y="6776"/>
                      <wp:lineTo x="16921" y="5929"/>
                      <wp:lineTo x="432" y="1694"/>
                      <wp:lineTo x="124" y="1694"/>
                    </wp:wrapPolygon>
                  </wp:wrapTight>
                  <wp:docPr id="1047924539"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924539" name="Picture 1" descr="A black background with a black square&#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6663600" cy="972000"/>
                          </a:xfrm>
                          <a:prstGeom prst="rect">
                            <a:avLst/>
                          </a:prstGeom>
                        </pic:spPr>
                      </pic:pic>
                    </a:graphicData>
                  </a:graphic>
                  <wp14:sizeRelH relativeFrom="margin">
                    <wp14:pctWidth>0</wp14:pctWidth>
                  </wp14:sizeRelH>
                  <wp14:sizeRelV relativeFrom="margin">
                    <wp14:pctHeight>0</wp14:pctHeight>
                  </wp14:sizeRelV>
                </wp:anchor>
              </w:drawing>
            </w:r>
          </w:p>
        </w:tc>
      </w:tr>
      <w:tr w:rsidR="002E1AF7" w:rsidRPr="000410E2" w14:paraId="3120A8D9" w14:textId="77777777" w:rsidTr="00BD5C12">
        <w:trPr>
          <w:cantSplit/>
          <w:jc w:val="center"/>
        </w:trPr>
        <w:tc>
          <w:tcPr>
            <w:tcW w:w="10031" w:type="dxa"/>
            <w:gridSpan w:val="2"/>
            <w:tcBorders>
              <w:bottom w:val="single" w:sz="12" w:space="0" w:color="71716F"/>
            </w:tcBorders>
          </w:tcPr>
          <w:p w14:paraId="57068B73" w14:textId="77777777" w:rsidR="002E1AF7" w:rsidRPr="000410E2" w:rsidRDefault="002E1AF7" w:rsidP="00CE496F">
            <w:pPr>
              <w:spacing w:before="0" w:line="240" w:lineRule="atLeast"/>
              <w:rPr>
                <w:rFonts w:cstheme="minorHAnsi"/>
                <w:b/>
                <w:smallCaps/>
                <w:szCs w:val="24"/>
              </w:rPr>
            </w:pPr>
            <w:bookmarkStart w:id="1" w:name="dhead"/>
          </w:p>
        </w:tc>
      </w:tr>
      <w:tr w:rsidR="00BD1614" w:rsidRPr="000410E2" w14:paraId="20A2296F" w14:textId="77777777" w:rsidTr="00EC1877">
        <w:trPr>
          <w:cantSplit/>
          <w:jc w:val="center"/>
        </w:trPr>
        <w:tc>
          <w:tcPr>
            <w:tcW w:w="7229" w:type="dxa"/>
            <w:tcBorders>
              <w:top w:val="single" w:sz="12" w:space="0" w:color="71716F"/>
            </w:tcBorders>
          </w:tcPr>
          <w:p w14:paraId="4CFA6027" w14:textId="77777777" w:rsidR="00BD1614" w:rsidRPr="000410E2" w:rsidRDefault="00BD1614" w:rsidP="007A47E9">
            <w:pPr>
              <w:spacing w:before="0"/>
              <w:rPr>
                <w:rFonts w:cstheme="minorHAnsi"/>
                <w:b/>
                <w:smallCaps/>
                <w:szCs w:val="24"/>
              </w:rPr>
            </w:pPr>
          </w:p>
        </w:tc>
        <w:tc>
          <w:tcPr>
            <w:tcW w:w="2802" w:type="dxa"/>
            <w:tcBorders>
              <w:top w:val="single" w:sz="12" w:space="0" w:color="71716F"/>
            </w:tcBorders>
            <w:tcMar>
              <w:left w:w="142" w:type="dxa"/>
              <w:right w:w="0" w:type="dxa"/>
            </w:tcMar>
          </w:tcPr>
          <w:p w14:paraId="3C479168" w14:textId="77777777" w:rsidR="00BD1614" w:rsidRPr="000410E2" w:rsidRDefault="00BD1614" w:rsidP="007A47E9">
            <w:pPr>
              <w:spacing w:before="0"/>
              <w:rPr>
                <w:rFonts w:cstheme="minorHAnsi"/>
                <w:szCs w:val="24"/>
              </w:rPr>
            </w:pPr>
          </w:p>
        </w:tc>
      </w:tr>
      <w:tr w:rsidR="00BD1614" w:rsidRPr="000410E2" w14:paraId="5EBA9561" w14:textId="77777777" w:rsidTr="00CE496F">
        <w:trPr>
          <w:cantSplit/>
          <w:jc w:val="center"/>
        </w:trPr>
        <w:tc>
          <w:tcPr>
            <w:tcW w:w="7229" w:type="dxa"/>
          </w:tcPr>
          <w:p w14:paraId="081C5B53" w14:textId="208B41EF" w:rsidR="00BD1614" w:rsidRPr="000410E2" w:rsidRDefault="00801154" w:rsidP="00801154">
            <w:pPr>
              <w:pStyle w:val="Committee"/>
              <w:framePr w:hSpace="0" w:wrap="auto" w:hAnchor="text" w:yAlign="inline"/>
              <w:spacing w:after="0" w:line="240" w:lineRule="auto"/>
              <w:rPr>
                <w:lang w:val="fr-FR"/>
              </w:rPr>
            </w:pPr>
            <w:r w:rsidRPr="000410E2">
              <w:rPr>
                <w:lang w:val="fr-FR"/>
              </w:rPr>
              <w:t>SÉANCE PLÉNIÈRE</w:t>
            </w:r>
          </w:p>
        </w:tc>
        <w:tc>
          <w:tcPr>
            <w:tcW w:w="2802" w:type="dxa"/>
            <w:tcMar>
              <w:left w:w="142" w:type="dxa"/>
              <w:right w:w="0" w:type="dxa"/>
            </w:tcMar>
          </w:tcPr>
          <w:p w14:paraId="42E82404" w14:textId="0D9DE1A5" w:rsidR="00BD1614" w:rsidRPr="000410E2" w:rsidRDefault="00801154" w:rsidP="007A47E9">
            <w:pPr>
              <w:spacing w:before="0"/>
              <w:rPr>
                <w:rFonts w:cstheme="minorHAnsi"/>
                <w:szCs w:val="24"/>
              </w:rPr>
            </w:pPr>
            <w:r w:rsidRPr="000410E2">
              <w:rPr>
                <w:rFonts w:cstheme="minorHAnsi"/>
                <w:b/>
                <w:szCs w:val="24"/>
              </w:rPr>
              <w:t xml:space="preserve">Document </w:t>
            </w:r>
            <w:r w:rsidR="00D91C14" w:rsidRPr="000410E2">
              <w:rPr>
                <w:rFonts w:cstheme="minorHAnsi"/>
                <w:b/>
                <w:szCs w:val="24"/>
              </w:rPr>
              <w:t>33</w:t>
            </w:r>
            <w:r w:rsidRPr="000410E2">
              <w:rPr>
                <w:rFonts w:cstheme="minorHAnsi"/>
                <w:b/>
                <w:szCs w:val="24"/>
              </w:rPr>
              <w:t>-F</w:t>
            </w:r>
          </w:p>
        </w:tc>
      </w:tr>
      <w:tr w:rsidR="00BD1614" w:rsidRPr="000410E2" w14:paraId="5C605E2F" w14:textId="77777777" w:rsidTr="00CE496F">
        <w:trPr>
          <w:cantSplit/>
          <w:jc w:val="center"/>
        </w:trPr>
        <w:tc>
          <w:tcPr>
            <w:tcW w:w="7229" w:type="dxa"/>
          </w:tcPr>
          <w:p w14:paraId="3701819B" w14:textId="4343949C" w:rsidR="00BD1614" w:rsidRPr="000410E2" w:rsidRDefault="00BD1614" w:rsidP="007A47E9">
            <w:pPr>
              <w:spacing w:before="0"/>
              <w:rPr>
                <w:rFonts w:cstheme="minorHAnsi"/>
                <w:b/>
                <w:szCs w:val="24"/>
              </w:rPr>
            </w:pPr>
          </w:p>
        </w:tc>
        <w:tc>
          <w:tcPr>
            <w:tcW w:w="2802" w:type="dxa"/>
            <w:tcMar>
              <w:left w:w="142" w:type="dxa"/>
              <w:right w:w="0" w:type="dxa"/>
            </w:tcMar>
          </w:tcPr>
          <w:p w14:paraId="4FD5E934" w14:textId="1E977968" w:rsidR="00BD1614" w:rsidRPr="000410E2" w:rsidRDefault="00452B11" w:rsidP="0066744B">
            <w:pPr>
              <w:spacing w:before="0"/>
              <w:rPr>
                <w:rFonts w:cstheme="minorHAnsi"/>
                <w:b/>
                <w:szCs w:val="24"/>
              </w:rPr>
            </w:pPr>
            <w:r w:rsidRPr="000410E2">
              <w:rPr>
                <w:rFonts w:cstheme="minorHAnsi"/>
                <w:b/>
                <w:bCs/>
                <w:szCs w:val="24"/>
              </w:rPr>
              <w:t>5 août</w:t>
            </w:r>
            <w:r w:rsidR="0066744B" w:rsidRPr="000410E2">
              <w:rPr>
                <w:rFonts w:cstheme="minorHAnsi"/>
                <w:b/>
                <w:bCs/>
                <w:szCs w:val="24"/>
              </w:rPr>
              <w:t xml:space="preserve"> 2026</w:t>
            </w:r>
          </w:p>
        </w:tc>
      </w:tr>
      <w:tr w:rsidR="00BD1614" w:rsidRPr="000410E2" w14:paraId="6B2B4BC1" w14:textId="77777777" w:rsidTr="00CE496F">
        <w:trPr>
          <w:cantSplit/>
          <w:jc w:val="center"/>
        </w:trPr>
        <w:tc>
          <w:tcPr>
            <w:tcW w:w="7229" w:type="dxa"/>
          </w:tcPr>
          <w:p w14:paraId="780A194C" w14:textId="77777777" w:rsidR="00BD1614" w:rsidRPr="000410E2" w:rsidRDefault="00BD1614" w:rsidP="007A47E9">
            <w:pPr>
              <w:spacing w:before="0"/>
              <w:rPr>
                <w:rFonts w:cstheme="minorHAnsi"/>
                <w:b/>
                <w:smallCaps/>
                <w:szCs w:val="24"/>
              </w:rPr>
            </w:pPr>
          </w:p>
        </w:tc>
        <w:tc>
          <w:tcPr>
            <w:tcW w:w="2802" w:type="dxa"/>
            <w:tcMar>
              <w:left w:w="142" w:type="dxa"/>
              <w:right w:w="0" w:type="dxa"/>
            </w:tcMar>
          </w:tcPr>
          <w:p w14:paraId="36796BDA" w14:textId="560E6019" w:rsidR="00BD1614" w:rsidRPr="000410E2" w:rsidRDefault="00801154" w:rsidP="007A47E9">
            <w:pPr>
              <w:spacing w:before="0"/>
              <w:rPr>
                <w:rFonts w:cstheme="minorHAnsi"/>
                <w:b/>
                <w:szCs w:val="24"/>
              </w:rPr>
            </w:pPr>
            <w:r w:rsidRPr="000410E2">
              <w:rPr>
                <w:rFonts w:cstheme="minorHAnsi"/>
                <w:b/>
                <w:szCs w:val="24"/>
              </w:rPr>
              <w:t>Original: anglais</w:t>
            </w:r>
          </w:p>
        </w:tc>
      </w:tr>
      <w:tr w:rsidR="00BD1614" w:rsidRPr="000410E2" w14:paraId="4259B884" w14:textId="77777777" w:rsidTr="002E1AF7">
        <w:trPr>
          <w:cantSplit/>
          <w:jc w:val="center"/>
        </w:trPr>
        <w:tc>
          <w:tcPr>
            <w:tcW w:w="10031" w:type="dxa"/>
            <w:gridSpan w:val="2"/>
          </w:tcPr>
          <w:p w14:paraId="770628D7" w14:textId="77777777" w:rsidR="00BD1614" w:rsidRPr="000410E2" w:rsidRDefault="00BD1614" w:rsidP="007A47E9">
            <w:pPr>
              <w:spacing w:before="0" w:line="240" w:lineRule="atLeast"/>
              <w:rPr>
                <w:rFonts w:cstheme="minorHAnsi"/>
                <w:b/>
                <w:szCs w:val="24"/>
              </w:rPr>
            </w:pPr>
          </w:p>
        </w:tc>
      </w:tr>
      <w:tr w:rsidR="00BD1614" w:rsidRPr="000410E2" w14:paraId="6A9FB924" w14:textId="77777777" w:rsidTr="002E1AF7">
        <w:trPr>
          <w:cantSplit/>
          <w:jc w:val="center"/>
        </w:trPr>
        <w:tc>
          <w:tcPr>
            <w:tcW w:w="10031" w:type="dxa"/>
            <w:gridSpan w:val="2"/>
          </w:tcPr>
          <w:p w14:paraId="070875E6" w14:textId="3B3F2756" w:rsidR="00BD1614" w:rsidRPr="000410E2" w:rsidRDefault="0066744B" w:rsidP="0066744B">
            <w:pPr>
              <w:pStyle w:val="Source"/>
            </w:pPr>
            <w:bookmarkStart w:id="2" w:name="dsource" w:colFirst="0" w:colLast="0"/>
            <w:bookmarkEnd w:id="1"/>
            <w:r w:rsidRPr="000410E2">
              <w:rPr>
                <w:bCs/>
              </w:rPr>
              <w:t>Rapport de la Secrétaire générale</w:t>
            </w:r>
          </w:p>
        </w:tc>
      </w:tr>
      <w:tr w:rsidR="00BD1614" w:rsidRPr="000410E2" w14:paraId="534EEA05" w14:textId="77777777" w:rsidTr="002E1AF7">
        <w:trPr>
          <w:cantSplit/>
          <w:jc w:val="center"/>
        </w:trPr>
        <w:tc>
          <w:tcPr>
            <w:tcW w:w="10031" w:type="dxa"/>
            <w:gridSpan w:val="2"/>
          </w:tcPr>
          <w:p w14:paraId="0C8E89F3" w14:textId="1158CA4C" w:rsidR="00BD1614" w:rsidRPr="000410E2" w:rsidRDefault="00DC5925" w:rsidP="0066744B">
            <w:pPr>
              <w:pStyle w:val="Title1"/>
            </w:pPr>
            <w:bookmarkStart w:id="3" w:name="dtitle1" w:colFirst="0" w:colLast="0"/>
            <w:bookmarkEnd w:id="2"/>
            <w:r w:rsidRPr="000410E2">
              <w:rPr>
                <w:caps w:val="0"/>
              </w:rPr>
              <w:t xml:space="preserve">PLAN STRATÉGIQUE ET PLAN FINANCIER DE L'UIT </w:t>
            </w:r>
            <w:r w:rsidRPr="000410E2">
              <w:rPr>
                <w:caps w:val="0"/>
              </w:rPr>
              <w:br/>
              <w:t>POUR LA PÉRIODE 2028-2031</w:t>
            </w:r>
          </w:p>
        </w:tc>
      </w:tr>
      <w:tr w:rsidR="00BD1614" w:rsidRPr="000410E2" w14:paraId="37DA32CE" w14:textId="77777777" w:rsidTr="002E1AF7">
        <w:trPr>
          <w:cantSplit/>
          <w:jc w:val="center"/>
        </w:trPr>
        <w:tc>
          <w:tcPr>
            <w:tcW w:w="10031" w:type="dxa"/>
            <w:gridSpan w:val="2"/>
          </w:tcPr>
          <w:p w14:paraId="1574AB3E" w14:textId="3BA33CFB" w:rsidR="00BD1614" w:rsidRPr="000410E2" w:rsidRDefault="00BD1614" w:rsidP="007A47E9">
            <w:pPr>
              <w:pStyle w:val="Title2"/>
            </w:pPr>
            <w:bookmarkStart w:id="4" w:name="dtitle2" w:colFirst="0" w:colLast="0"/>
            <w:bookmarkEnd w:id="3"/>
          </w:p>
        </w:tc>
      </w:tr>
      <w:tr w:rsidR="00BD1614" w:rsidRPr="000410E2" w14:paraId="3488B00F" w14:textId="77777777" w:rsidTr="002E1AF7">
        <w:trPr>
          <w:cantSplit/>
          <w:jc w:val="center"/>
        </w:trPr>
        <w:tc>
          <w:tcPr>
            <w:tcW w:w="10031" w:type="dxa"/>
            <w:gridSpan w:val="2"/>
          </w:tcPr>
          <w:p w14:paraId="48DBD50A" w14:textId="420EA0AD" w:rsidR="00BD1614" w:rsidRPr="000410E2" w:rsidRDefault="00BD1614" w:rsidP="007A47E9">
            <w:pPr>
              <w:pStyle w:val="Agendaitem"/>
              <w:rPr>
                <w:lang w:val="fr-FR"/>
              </w:rPr>
            </w:pPr>
            <w:bookmarkStart w:id="5" w:name="dtitle3" w:colFirst="0" w:colLast="0"/>
            <w:bookmarkEnd w:id="4"/>
          </w:p>
        </w:tc>
      </w:tr>
      <w:bookmarkEnd w:id="5"/>
    </w:tbl>
    <w:p w14:paraId="7AD6F79A" w14:textId="0A62DB50" w:rsidR="000D15FB" w:rsidRPr="000410E2" w:rsidRDefault="000D15FB" w:rsidP="00E60DA1"/>
    <w:p w14:paraId="0D843919" w14:textId="77777777" w:rsidR="0066744B" w:rsidRPr="000410E2" w:rsidRDefault="0066744B" w:rsidP="00E60DA1"/>
    <w:tbl>
      <w:tblPr>
        <w:tblW w:w="8080"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0"/>
      </w:tblGrid>
      <w:tr w:rsidR="0066744B" w:rsidRPr="000410E2" w14:paraId="20ECF9EB" w14:textId="77777777" w:rsidTr="009F4A4B">
        <w:trPr>
          <w:cantSplit/>
        </w:trPr>
        <w:tc>
          <w:tcPr>
            <w:tcW w:w="8080" w:type="dxa"/>
            <w:tcBorders>
              <w:top w:val="single" w:sz="12" w:space="0" w:color="auto"/>
              <w:left w:val="single" w:sz="12" w:space="0" w:color="auto"/>
              <w:bottom w:val="single" w:sz="12" w:space="0" w:color="auto"/>
              <w:right w:val="single" w:sz="12" w:space="0" w:color="auto"/>
            </w:tcBorders>
          </w:tcPr>
          <w:p w14:paraId="27080122" w14:textId="77777777" w:rsidR="0066744B" w:rsidRPr="000410E2" w:rsidRDefault="0066744B" w:rsidP="009F4A4B">
            <w:pPr>
              <w:pStyle w:val="Headingb"/>
              <w:spacing w:before="120"/>
              <w:rPr>
                <w:rFonts w:asciiTheme="minorHAnsi" w:hAnsiTheme="minorHAnsi" w:cstheme="minorHAnsi"/>
                <w:bCs/>
                <w:szCs w:val="24"/>
              </w:rPr>
            </w:pPr>
            <w:bookmarkStart w:id="6" w:name="_Toc305764050"/>
            <w:r w:rsidRPr="000410E2">
              <w:rPr>
                <w:bCs/>
                <w:color w:val="000000"/>
                <w:szCs w:val="24"/>
              </w:rPr>
              <w:t>Résumé</w:t>
            </w:r>
            <w:bookmarkEnd w:id="6"/>
          </w:p>
          <w:p w14:paraId="79204153" w14:textId="73BA676D" w:rsidR="0066744B" w:rsidRPr="000410E2" w:rsidRDefault="0066744B" w:rsidP="00E5778D">
            <w:r w:rsidRPr="000410E2">
              <w:rPr>
                <w:color w:val="000000"/>
              </w:rPr>
              <w:t xml:space="preserve">Le présent rapport contient les résultats des travaux menés par le </w:t>
            </w:r>
            <w:r w:rsidR="0025782C" w:rsidRPr="000410E2">
              <w:rPr>
                <w:color w:val="000000"/>
              </w:rPr>
              <w:t xml:space="preserve">secrétariat </w:t>
            </w:r>
            <w:r w:rsidRPr="000410E2">
              <w:rPr>
                <w:color w:val="000000"/>
              </w:rPr>
              <w:t>en vue de préciser certaines cibles proposées et les indicateurs qui leur sont associés, à la suite de la demande formulée par le Conseil à sa session de 2026, pour examen par la Conférence de plénipotentiaires de 2026.</w:t>
            </w:r>
          </w:p>
          <w:p w14:paraId="65771465" w14:textId="77777777" w:rsidR="0066744B" w:rsidRPr="000410E2" w:rsidRDefault="0066744B" w:rsidP="009F4A4B">
            <w:pPr>
              <w:pStyle w:val="Headingb"/>
              <w:spacing w:before="120"/>
              <w:rPr>
                <w:rFonts w:asciiTheme="minorHAnsi" w:hAnsiTheme="minorHAnsi" w:cstheme="minorHAnsi"/>
                <w:bCs/>
                <w:szCs w:val="24"/>
              </w:rPr>
            </w:pPr>
            <w:bookmarkStart w:id="7" w:name="_Toc305764051"/>
            <w:r w:rsidRPr="000410E2">
              <w:rPr>
                <w:bCs/>
                <w:color w:val="000000"/>
                <w:szCs w:val="24"/>
              </w:rPr>
              <w:t>Suite à donner</w:t>
            </w:r>
            <w:bookmarkEnd w:id="7"/>
          </w:p>
          <w:p w14:paraId="245661A7" w14:textId="065A2BCD" w:rsidR="0066744B" w:rsidRPr="000410E2" w:rsidRDefault="0066744B" w:rsidP="009F4A4B">
            <w:pPr>
              <w:spacing w:after="120"/>
            </w:pPr>
            <w:r w:rsidRPr="000410E2">
              <w:rPr>
                <w:color w:val="000000"/>
              </w:rPr>
              <w:t xml:space="preserve">La Conférence de plénipotentiaires est invitée à </w:t>
            </w:r>
            <w:r w:rsidRPr="000410E2">
              <w:rPr>
                <w:b/>
                <w:bCs/>
                <w:color w:val="000000"/>
              </w:rPr>
              <w:t>examiner</w:t>
            </w:r>
            <w:r w:rsidRPr="000410E2">
              <w:rPr>
                <w:color w:val="000000"/>
              </w:rPr>
              <w:t xml:space="preserve"> le présent rapport, ainsi que le Document </w:t>
            </w:r>
            <w:hyperlink r:id="rId9" w:history="1">
              <w:r w:rsidR="0025782C" w:rsidRPr="000410E2">
                <w:rPr>
                  <w:rStyle w:val="Hyperlink"/>
                </w:rPr>
                <w:t>32</w:t>
              </w:r>
            </w:hyperlink>
            <w:r w:rsidRPr="000410E2">
              <w:rPr>
                <w:color w:val="000000"/>
              </w:rPr>
              <w:t>.</w:t>
            </w:r>
            <w:hyperlink r:id="rId10" w:history="1"/>
          </w:p>
        </w:tc>
      </w:tr>
    </w:tbl>
    <w:p w14:paraId="31F3E754" w14:textId="31D0F658" w:rsidR="0066744B" w:rsidRPr="000410E2" w:rsidRDefault="00BD1614" w:rsidP="00B82ADA">
      <w:pPr>
        <w:jc w:val="both"/>
      </w:pPr>
      <w:r w:rsidRPr="000410E2">
        <w:br w:type="page"/>
      </w:r>
      <w:r w:rsidR="0066744B" w:rsidRPr="000410E2">
        <w:lastRenderedPageBreak/>
        <w:t xml:space="preserve">Le présent rapport est soumis à l'examen de la Conférence de plénipotentiaires de 2026 (PP-26), à la suite de la demande formulée par le Conseil à sa session de 2026, invitant le </w:t>
      </w:r>
      <w:r w:rsidR="00354D62" w:rsidRPr="000410E2">
        <w:t xml:space="preserve">secrétariat </w:t>
      </w:r>
      <w:r w:rsidR="0066744B" w:rsidRPr="000410E2">
        <w:t>à examiner plus avant et à affiner certaines cibles proposées et les indicateurs qui leur sont associés, comme indiqué ci-dessous:</w:t>
      </w:r>
    </w:p>
    <w:p w14:paraId="74FE4A31" w14:textId="4DF5CB12" w:rsidR="0066744B" w:rsidRPr="000410E2" w:rsidRDefault="00463A44" w:rsidP="00B82ADA">
      <w:pPr>
        <w:pStyle w:val="enumlev1"/>
        <w:jc w:val="both"/>
      </w:pPr>
      <w:r w:rsidRPr="000410E2">
        <w:t>–</w:t>
      </w:r>
      <w:r w:rsidR="0066744B" w:rsidRPr="000410E2">
        <w:tab/>
        <w:t>Cible 1.5 (Réseaux résilients): d'assurer la coordination avec le Secrétariat général et les Bureaux concernés afin d'étudier plus avant le renforcement et l'inclusion éventuelle des activités de l'UIT relatives aux câbles sous-marins, en s'appuyant sur des statistiques pertinentes pour justifier l'inclusion de ces activités.</w:t>
      </w:r>
    </w:p>
    <w:p w14:paraId="5A714158" w14:textId="07618678" w:rsidR="0066744B" w:rsidRPr="000410E2" w:rsidRDefault="0066744B" w:rsidP="00B82ADA">
      <w:pPr>
        <w:pStyle w:val="enumlev1"/>
        <w:jc w:val="both"/>
      </w:pPr>
      <w:r w:rsidRPr="000410E2">
        <w:t>–</w:t>
      </w:r>
      <w:r w:rsidRPr="000410E2">
        <w:tab/>
        <w:t>Cible 1.6 (Éviter de causer des brouillages préjudiciables): de travailler en étroite collaboration avec le Directeur du Bureau des radiocommunications</w:t>
      </w:r>
      <w:r w:rsidR="005A4A58" w:rsidRPr="000410E2">
        <w:t xml:space="preserve"> (BR)</w:t>
      </w:r>
      <w:r w:rsidRPr="000410E2">
        <w:t xml:space="preserve"> pour définir des indicateurs améliorés à même de refléter plus précisément la manière dont l'UIT traite les questions liées aux brouillages préjudiciables.</w:t>
      </w:r>
    </w:p>
    <w:p w14:paraId="45E4BD70" w14:textId="77777777" w:rsidR="0066744B" w:rsidRPr="000410E2" w:rsidRDefault="0066744B" w:rsidP="00B82ADA">
      <w:pPr>
        <w:pStyle w:val="enumlev1"/>
        <w:jc w:val="both"/>
      </w:pPr>
      <w:r w:rsidRPr="000410E2">
        <w:t>–</w:t>
      </w:r>
      <w:r w:rsidRPr="000410E2">
        <w:tab/>
        <w:t>Cible 1.7 (Incidences des normes en matière d'interopérabilité): de travailler en étroite collaboration avec le Directeur du Bureau de la normalisation des télécommunications afin de définir des indicateurs plus appropriés pour cette cible.</w:t>
      </w:r>
    </w:p>
    <w:p w14:paraId="73443DD0" w14:textId="1E97EBC3" w:rsidR="0066744B" w:rsidRPr="000410E2" w:rsidRDefault="0066744B" w:rsidP="00B82ADA">
      <w:pPr>
        <w:tabs>
          <w:tab w:val="clear" w:pos="567"/>
          <w:tab w:val="clear" w:pos="1134"/>
          <w:tab w:val="clear" w:pos="1701"/>
          <w:tab w:val="clear" w:pos="2268"/>
          <w:tab w:val="clear" w:pos="2835"/>
        </w:tabs>
        <w:overflowPunct/>
        <w:autoSpaceDE/>
        <w:autoSpaceDN/>
        <w:adjustRightInd/>
        <w:jc w:val="both"/>
        <w:textAlignment w:val="auto"/>
      </w:pPr>
      <w:r w:rsidRPr="000410E2">
        <w:t xml:space="preserve">À l'issue de consultations internes avec les Bureaux concernés, le présent rapport contient les améliorations proposées par le </w:t>
      </w:r>
      <w:r w:rsidR="00333A47" w:rsidRPr="000410E2">
        <w:t xml:space="preserve">secrétariat </w:t>
      </w:r>
      <w:r w:rsidRPr="000410E2">
        <w:t xml:space="preserve">pour examen par la PP-26, ainsi que les résultats des travaux du Groupe de travail du Conseil chargé d'élaborer le Plan stratégique et le Plan financier pour la période 2028-2031 (voir le Document </w:t>
      </w:r>
      <w:hyperlink r:id="rId11" w:history="1">
        <w:r w:rsidR="00333A47" w:rsidRPr="000410E2">
          <w:rPr>
            <w:rStyle w:val="Hyperlink"/>
          </w:rPr>
          <w:t>32</w:t>
        </w:r>
      </w:hyperlink>
      <w:r w:rsidRPr="000410E2">
        <w:t>).</w:t>
      </w:r>
      <w:hyperlink r:id="rId12" w:history="1"/>
    </w:p>
    <w:p w14:paraId="1C044362" w14:textId="58337AB2" w:rsidR="0066744B" w:rsidRPr="000410E2" w:rsidRDefault="0066744B" w:rsidP="00B82ADA">
      <w:pPr>
        <w:tabs>
          <w:tab w:val="clear" w:pos="567"/>
          <w:tab w:val="clear" w:pos="1134"/>
          <w:tab w:val="clear" w:pos="1701"/>
          <w:tab w:val="clear" w:pos="2268"/>
          <w:tab w:val="clear" w:pos="2835"/>
        </w:tabs>
        <w:overflowPunct/>
        <w:autoSpaceDE/>
        <w:autoSpaceDN/>
        <w:adjustRightInd/>
        <w:jc w:val="both"/>
        <w:textAlignment w:val="auto"/>
      </w:pPr>
      <w:r w:rsidRPr="000410E2">
        <w:t xml:space="preserve">Lorsqu'il a examiné les cibles 1.5 et 1.6 proposées, le </w:t>
      </w:r>
      <w:r w:rsidR="00333A47" w:rsidRPr="000410E2">
        <w:t xml:space="preserve">secrétariat </w:t>
      </w:r>
      <w:r w:rsidRPr="000410E2">
        <w:t>a estimé que les domaines de travail pertinents seraient mieux pris en compte au niveau des réalisations dans le cadre de présentation des résultats. Cette approche permettrait de mieux rendre compte de la nature des travaux de l'UIT et d'en assurer le suivi efficace grâce aux indicateurs SMART.</w:t>
      </w:r>
    </w:p>
    <w:p w14:paraId="6A99D2F4" w14:textId="56EDFDAF" w:rsidR="0066744B" w:rsidRPr="00B82ADA" w:rsidRDefault="0066744B" w:rsidP="00B82ADA">
      <w:pPr>
        <w:tabs>
          <w:tab w:val="clear" w:pos="567"/>
          <w:tab w:val="clear" w:pos="1134"/>
          <w:tab w:val="clear" w:pos="1701"/>
          <w:tab w:val="clear" w:pos="2268"/>
          <w:tab w:val="clear" w:pos="2835"/>
        </w:tabs>
        <w:overflowPunct/>
        <w:autoSpaceDE/>
        <w:autoSpaceDN/>
        <w:adjustRightInd/>
        <w:jc w:val="both"/>
        <w:textAlignment w:val="auto"/>
        <w:rPr>
          <w:spacing w:val="-2"/>
        </w:rPr>
      </w:pPr>
      <w:r w:rsidRPr="00B82ADA">
        <w:rPr>
          <w:spacing w:val="-2"/>
        </w:rPr>
        <w:t>En ce qui concerne la cible 1.5, les indicateurs traditionnels, tels que la qualité de service et la qualité d'expérience, ne rendent pas pleinement compte de la résilience du réseau. La résilience exige également une attention particulière à la redondance, à la diversité, à la résistance, à la capacité de rétablissement, à la cybersécurité et à la préparation aux perturbations physiques et aux cyberdysfonctionnements. Le rapport présente donc des indicateurs supplémentaires qui viennent compléter les domaines déjà couverts dans le cadre de résultats proposé, notamment la cybersécurité et la préparation, et les télécommunications émergentes. Cela est d'autant plus important que les services publics numériques, les plates-formes en nuage, les systèmes de surveillance et les flux de données transfrontières dépendent tous d'une connectivité continue et fiable. Conformément aux orientations du Conseil, la résilience des câbles sous-marins devrait également être explicitement reconnue comme faisant partie des infrastructures essentielles de connectivité internationale. Cela suppose notamment des politiques</w:t>
      </w:r>
      <w:r w:rsidR="00333A47" w:rsidRPr="00B82ADA">
        <w:rPr>
          <w:spacing w:val="-2"/>
        </w:rPr>
        <w:t xml:space="preserve"> et des directives</w:t>
      </w:r>
      <w:r w:rsidRPr="00B82ADA">
        <w:rPr>
          <w:spacing w:val="-2"/>
        </w:rPr>
        <w:t xml:space="preserve"> nationales </w:t>
      </w:r>
      <w:r w:rsidR="00A807B1" w:rsidRPr="00B82ADA">
        <w:rPr>
          <w:spacing w:val="-2"/>
        </w:rPr>
        <w:t xml:space="preserve">en matière </w:t>
      </w:r>
      <w:r w:rsidRPr="00B82ADA">
        <w:rPr>
          <w:spacing w:val="-2"/>
        </w:rPr>
        <w:t>de protection, des mécanismes de coordination</w:t>
      </w:r>
      <w:r w:rsidR="0053313F" w:rsidRPr="00B82ADA">
        <w:rPr>
          <w:spacing w:val="-2"/>
        </w:rPr>
        <w:t xml:space="preserve"> des interventions</w:t>
      </w:r>
      <w:r w:rsidRPr="00B82ADA">
        <w:rPr>
          <w:spacing w:val="-2"/>
        </w:rPr>
        <w:t xml:space="preserve"> pour la réparation et le rétablissement, </w:t>
      </w:r>
      <w:r w:rsidR="000E6E26" w:rsidRPr="00B82ADA">
        <w:rPr>
          <w:spacing w:val="-2"/>
        </w:rPr>
        <w:t xml:space="preserve">l'adoption de normes UIT </w:t>
      </w:r>
      <w:r w:rsidRPr="00B82ADA">
        <w:rPr>
          <w:spacing w:val="-2"/>
        </w:rPr>
        <w:t xml:space="preserve">visant à assurer la diversité d'acheminement et </w:t>
      </w:r>
      <w:r w:rsidR="00A02407" w:rsidRPr="00B82ADA">
        <w:rPr>
          <w:spacing w:val="-2"/>
        </w:rPr>
        <w:t xml:space="preserve">des stratégies propres à </w:t>
      </w:r>
      <w:r w:rsidRPr="00B82ADA">
        <w:rPr>
          <w:spacing w:val="-2"/>
        </w:rPr>
        <w:t xml:space="preserve">réduire les défaillances ponctuelles dans la connectivité internationale, </w:t>
      </w:r>
      <w:r w:rsidR="009F7612" w:rsidRPr="00B82ADA">
        <w:rPr>
          <w:spacing w:val="-2"/>
        </w:rPr>
        <w:t xml:space="preserve">ainsi que </w:t>
      </w:r>
      <w:r w:rsidRPr="00B82ADA">
        <w:rPr>
          <w:spacing w:val="-2"/>
        </w:rPr>
        <w:t>l'adoption progressive de technologies émergentes, notamment des mécanismes de surveillance des réseaux et des mécanismes automatisés de résilience pour les infrastructures de télécommunication essentielles, y compris les systèmes de câbles sous-marins, afin de prendre en charge la détection précoce des défaillances, la maintenance prédictive et le rétablissement plus rapide des services.</w:t>
      </w:r>
    </w:p>
    <w:p w14:paraId="2A3EB801" w14:textId="77777777" w:rsidR="0066744B" w:rsidRPr="000410E2" w:rsidRDefault="0066744B" w:rsidP="00B82ADA">
      <w:pPr>
        <w:tabs>
          <w:tab w:val="clear" w:pos="567"/>
          <w:tab w:val="clear" w:pos="1134"/>
          <w:tab w:val="clear" w:pos="1701"/>
          <w:tab w:val="clear" w:pos="2268"/>
          <w:tab w:val="clear" w:pos="2835"/>
        </w:tabs>
        <w:overflowPunct/>
        <w:autoSpaceDE/>
        <w:autoSpaceDN/>
        <w:adjustRightInd/>
        <w:jc w:val="both"/>
        <w:textAlignment w:val="auto"/>
      </w:pPr>
      <w:r w:rsidRPr="000410E2">
        <w:t xml:space="preserve">Le rapport s'appuie sur les travaux de l'UIT dans les domaines de la normalisation, du développement et de l'appui aux politiques. Parmi les références pertinentes, on peut citer les </w:t>
      </w:r>
      <w:r w:rsidRPr="000410E2">
        <w:lastRenderedPageBreak/>
        <w:t>Recommandations du Secteur de la normalisation des télécommunications de l'UIT (UIT-T) sur la fiabilité et la résilience, les travaux du Secteur du développement des télécommunications de l'UIT (UIT-D) sur les télécommunications d'urgence, ainsi que les initiatives relatives à la résilience des réseaux, qui peuvent faire l'objet d'un suivi grâce à l'outil de suivi réglementaire des TIC de l'UIT et aux enquêtes de l'UIT-D, complétées par des rapports fondés sur des cas.</w:t>
      </w:r>
    </w:p>
    <w:p w14:paraId="4325BE47" w14:textId="37F3F06D" w:rsidR="0066744B" w:rsidRPr="000410E2" w:rsidRDefault="0066744B" w:rsidP="00B82ADA">
      <w:pPr>
        <w:tabs>
          <w:tab w:val="clear" w:pos="567"/>
          <w:tab w:val="clear" w:pos="1134"/>
          <w:tab w:val="clear" w:pos="1701"/>
          <w:tab w:val="clear" w:pos="2268"/>
          <w:tab w:val="clear" w:pos="2835"/>
        </w:tabs>
        <w:overflowPunct/>
        <w:autoSpaceDE/>
        <w:autoSpaceDN/>
        <w:adjustRightInd/>
        <w:spacing w:after="120"/>
        <w:jc w:val="both"/>
        <w:textAlignment w:val="auto"/>
      </w:pPr>
      <w:r w:rsidRPr="000410E2">
        <w:t xml:space="preserve">Sur cette base, le </w:t>
      </w:r>
      <w:r w:rsidR="00EC30E4" w:rsidRPr="000410E2">
        <w:t xml:space="preserve">secrétariat </w:t>
      </w:r>
      <w:r w:rsidRPr="000410E2">
        <w:t>souhaite présenter trois nouvelles réalisations au titre de la priorité "Infrastructures et services de télécommunication/TIC inclusifs et sûrs":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3403"/>
        <w:gridCol w:w="4110"/>
      </w:tblGrid>
      <w:tr w:rsidR="0066744B" w:rsidRPr="000410E2" w14:paraId="1F4CDF85" w14:textId="77777777" w:rsidTr="001819E9">
        <w:trPr>
          <w:cantSplit/>
          <w:jc w:val="center"/>
        </w:trPr>
        <w:tc>
          <w:tcPr>
            <w:tcW w:w="1101" w:type="pct"/>
          </w:tcPr>
          <w:p w14:paraId="46CA9388" w14:textId="77777777" w:rsidR="0066744B" w:rsidRPr="000410E2" w:rsidRDefault="0066744B" w:rsidP="001819E9">
            <w:pPr>
              <w:pStyle w:val="Tablehead"/>
            </w:pPr>
            <w:r w:rsidRPr="000410E2">
              <w:t xml:space="preserve">Priorité </w:t>
            </w:r>
          </w:p>
        </w:tc>
        <w:tc>
          <w:tcPr>
            <w:tcW w:w="1766" w:type="pct"/>
          </w:tcPr>
          <w:p w14:paraId="648AAE75" w14:textId="77777777" w:rsidR="0066744B" w:rsidRPr="000410E2" w:rsidRDefault="0066744B" w:rsidP="001819E9">
            <w:pPr>
              <w:pStyle w:val="Tablehead"/>
            </w:pPr>
            <w:r w:rsidRPr="000410E2">
              <w:t xml:space="preserve">Réalisation </w:t>
            </w:r>
          </w:p>
        </w:tc>
        <w:tc>
          <w:tcPr>
            <w:tcW w:w="2133" w:type="pct"/>
          </w:tcPr>
          <w:p w14:paraId="3753A77B" w14:textId="77777777" w:rsidR="0066744B" w:rsidRPr="000410E2" w:rsidRDefault="0066744B" w:rsidP="001819E9">
            <w:pPr>
              <w:pStyle w:val="Tablehead"/>
            </w:pPr>
            <w:r w:rsidRPr="000410E2">
              <w:t>Indicateur de réalisation</w:t>
            </w:r>
          </w:p>
        </w:tc>
      </w:tr>
      <w:tr w:rsidR="0066744B" w:rsidRPr="000410E2" w14:paraId="7E216992" w14:textId="77777777" w:rsidTr="001819E9">
        <w:trPr>
          <w:cantSplit/>
          <w:jc w:val="center"/>
        </w:trPr>
        <w:tc>
          <w:tcPr>
            <w:tcW w:w="1101" w:type="pct"/>
            <w:vMerge w:val="restart"/>
          </w:tcPr>
          <w:p w14:paraId="6327AFE1" w14:textId="77777777" w:rsidR="0066744B" w:rsidRPr="001601BD" w:rsidRDefault="0066744B" w:rsidP="001601BD">
            <w:pPr>
              <w:pStyle w:val="Tabletext"/>
            </w:pPr>
            <w:r w:rsidRPr="001601BD">
              <w:t>Infrastructures et services de télécommunication/TIC inclusifs et sûrs</w:t>
            </w:r>
          </w:p>
        </w:tc>
        <w:tc>
          <w:tcPr>
            <w:tcW w:w="1766" w:type="pct"/>
          </w:tcPr>
          <w:p w14:paraId="04933E48" w14:textId="18978531" w:rsidR="0066744B" w:rsidRPr="001601BD" w:rsidRDefault="0066744B" w:rsidP="001601BD">
            <w:pPr>
              <w:pStyle w:val="Tabletext"/>
              <w:ind w:left="284" w:hanging="284"/>
            </w:pPr>
            <w:r w:rsidRPr="001601BD">
              <w:t>–</w:t>
            </w:r>
            <w:r w:rsidRPr="001601BD">
              <w:tab/>
              <w:t>Réglementation sur la redondance et la diversité des réseaux</w:t>
            </w:r>
            <w:r w:rsidR="00777418" w:rsidRPr="001601BD">
              <w:t>.</w:t>
            </w:r>
          </w:p>
        </w:tc>
        <w:tc>
          <w:tcPr>
            <w:tcW w:w="2133" w:type="pct"/>
          </w:tcPr>
          <w:p w14:paraId="1FC90715" w14:textId="054D1DC6" w:rsidR="0066744B" w:rsidRPr="001601BD" w:rsidRDefault="0066744B" w:rsidP="001601BD">
            <w:pPr>
              <w:pStyle w:val="Tabletext"/>
              <w:ind w:left="284" w:hanging="284"/>
            </w:pPr>
            <w:r w:rsidRPr="001601BD">
              <w:t>–</w:t>
            </w:r>
            <w:r w:rsidRPr="001601BD">
              <w:tab/>
              <w:t>Les États Membres exigent des opérateurs qu'ils mettent en œuvre la redondance et la diversité d'acheminement pour les infrastructures essentielles, y</w:t>
            </w:r>
            <w:r w:rsidR="001819E9" w:rsidRPr="001601BD">
              <w:t> </w:t>
            </w:r>
            <w:r w:rsidRPr="001601BD">
              <w:t>compris la connectivité internationale.</w:t>
            </w:r>
          </w:p>
        </w:tc>
      </w:tr>
      <w:tr w:rsidR="0066744B" w:rsidRPr="000410E2" w14:paraId="73E1B991" w14:textId="77777777" w:rsidTr="001819E9">
        <w:trPr>
          <w:cantSplit/>
          <w:jc w:val="center"/>
        </w:trPr>
        <w:tc>
          <w:tcPr>
            <w:tcW w:w="1101" w:type="pct"/>
            <w:vMerge/>
          </w:tcPr>
          <w:p w14:paraId="62DC080A" w14:textId="77777777" w:rsidR="0066744B" w:rsidRPr="001601BD" w:rsidRDefault="0066744B" w:rsidP="001601BD">
            <w:pPr>
              <w:pStyle w:val="Tabletext"/>
            </w:pPr>
          </w:p>
        </w:tc>
        <w:tc>
          <w:tcPr>
            <w:tcW w:w="1766" w:type="pct"/>
          </w:tcPr>
          <w:p w14:paraId="2E2D472B" w14:textId="77777777" w:rsidR="0066744B" w:rsidRPr="001601BD" w:rsidRDefault="0066744B" w:rsidP="001601BD">
            <w:pPr>
              <w:pStyle w:val="Tabletext"/>
              <w:ind w:left="284" w:hanging="284"/>
            </w:pPr>
            <w:r w:rsidRPr="001601BD">
              <w:t>–</w:t>
            </w:r>
            <w:r w:rsidRPr="001601BD">
              <w:tab/>
              <w:t>Capacité de surveillance des pannes et d'intervention.</w:t>
            </w:r>
          </w:p>
        </w:tc>
        <w:tc>
          <w:tcPr>
            <w:tcW w:w="2133" w:type="pct"/>
          </w:tcPr>
          <w:p w14:paraId="1A1006CE" w14:textId="77777777" w:rsidR="0066744B" w:rsidRPr="001601BD" w:rsidRDefault="0066744B" w:rsidP="001601BD">
            <w:pPr>
              <w:pStyle w:val="Tabletext"/>
              <w:ind w:left="284" w:hanging="284"/>
            </w:pPr>
            <w:r w:rsidRPr="001601BD">
              <w:t>–</w:t>
            </w:r>
            <w:r w:rsidRPr="001601BD">
              <w:tab/>
              <w:t>Les États Membres disposent de mécanismes de surveillance et de notification des principales pannes de réseau affectant les services essentiels, ainsi que d'intervention en cas de panne.</w:t>
            </w:r>
          </w:p>
        </w:tc>
      </w:tr>
      <w:tr w:rsidR="0066744B" w:rsidRPr="000410E2" w14:paraId="6D76C8CC" w14:textId="77777777" w:rsidTr="001819E9">
        <w:trPr>
          <w:cantSplit/>
          <w:jc w:val="center"/>
        </w:trPr>
        <w:tc>
          <w:tcPr>
            <w:tcW w:w="1101" w:type="pct"/>
            <w:vMerge/>
          </w:tcPr>
          <w:p w14:paraId="3598DA60" w14:textId="77777777" w:rsidR="0066744B" w:rsidRPr="001601BD" w:rsidRDefault="0066744B" w:rsidP="001601BD">
            <w:pPr>
              <w:pStyle w:val="Tabletext"/>
            </w:pPr>
          </w:p>
        </w:tc>
        <w:tc>
          <w:tcPr>
            <w:tcW w:w="1766" w:type="pct"/>
          </w:tcPr>
          <w:p w14:paraId="43FE6187" w14:textId="07DD6C77" w:rsidR="0066744B" w:rsidRPr="001601BD" w:rsidRDefault="0066744B" w:rsidP="001601BD">
            <w:pPr>
              <w:pStyle w:val="Tabletext"/>
              <w:ind w:left="284" w:hanging="284"/>
            </w:pPr>
            <w:r w:rsidRPr="001601BD">
              <w:t>–</w:t>
            </w:r>
            <w:r w:rsidRPr="001601BD">
              <w:tab/>
              <w:t>Mesures garantissant la résilience des câbles sous</w:t>
            </w:r>
            <w:r w:rsidR="001819E9" w:rsidRPr="001601BD">
              <w:noBreakHyphen/>
            </w:r>
            <w:r w:rsidRPr="001601BD">
              <w:t>marins</w:t>
            </w:r>
            <w:r w:rsidR="00777418" w:rsidRPr="001601BD">
              <w:t>.</w:t>
            </w:r>
          </w:p>
        </w:tc>
        <w:tc>
          <w:tcPr>
            <w:tcW w:w="2133" w:type="pct"/>
          </w:tcPr>
          <w:p w14:paraId="10F04AEB" w14:textId="7E6B7D21" w:rsidR="0066744B" w:rsidRPr="001601BD" w:rsidRDefault="0066744B" w:rsidP="001601BD">
            <w:pPr>
              <w:pStyle w:val="Tabletext"/>
              <w:ind w:left="284" w:hanging="284"/>
            </w:pPr>
            <w:r w:rsidRPr="001601BD">
              <w:t>–</w:t>
            </w:r>
            <w:r w:rsidRPr="001601BD">
              <w:tab/>
              <w:t xml:space="preserve">Les États Membres mettent en œuvre des politiques ou des mécanismes de coordination pour assurer </w:t>
            </w:r>
            <w:r w:rsidR="000552BA" w:rsidRPr="001601BD">
              <w:t>la résilience</w:t>
            </w:r>
            <w:r w:rsidRPr="001601BD">
              <w:t xml:space="preserve"> des câbles sous-marins</w:t>
            </w:r>
            <w:r w:rsidR="000552BA" w:rsidRPr="001601BD">
              <w:t xml:space="preserve"> (</w:t>
            </w:r>
            <w:r w:rsidR="00C546C4" w:rsidRPr="001601BD">
              <w:t>à savoir</w:t>
            </w:r>
            <w:r w:rsidR="000552BA" w:rsidRPr="001601BD">
              <w:t xml:space="preserve">, la protection, </w:t>
            </w:r>
            <w:r w:rsidRPr="001601BD">
              <w:t>la diversité d'acheminement et la préparation au rétablissement, y compris des capacités de surveillance et de résilience automatisée pour la détection des pannes, la maintenance prévisionnelle et le rétablissement du service</w:t>
            </w:r>
            <w:r w:rsidR="002D098F" w:rsidRPr="001601BD">
              <w:t>)</w:t>
            </w:r>
            <w:r w:rsidRPr="001601BD">
              <w:t>.</w:t>
            </w:r>
          </w:p>
        </w:tc>
      </w:tr>
    </w:tbl>
    <w:p w14:paraId="5BC644BA" w14:textId="77777777" w:rsidR="00B82ADA" w:rsidRDefault="00B82ADA" w:rsidP="00B82ADA">
      <w:pPr>
        <w:pStyle w:val="Tablefin"/>
      </w:pPr>
    </w:p>
    <w:p w14:paraId="4D644228" w14:textId="655DD521" w:rsidR="0066744B" w:rsidRPr="000410E2" w:rsidRDefault="0066744B" w:rsidP="001601BD">
      <w:pPr>
        <w:tabs>
          <w:tab w:val="clear" w:pos="567"/>
          <w:tab w:val="clear" w:pos="1134"/>
          <w:tab w:val="clear" w:pos="1701"/>
          <w:tab w:val="clear" w:pos="2268"/>
          <w:tab w:val="clear" w:pos="2835"/>
        </w:tabs>
        <w:overflowPunct/>
        <w:autoSpaceDE/>
        <w:autoSpaceDN/>
        <w:adjustRightInd/>
        <w:jc w:val="both"/>
        <w:textAlignment w:val="auto"/>
      </w:pPr>
      <w:r w:rsidRPr="000410E2">
        <w:t xml:space="preserve">S'agissant de la cible 1.6, le </w:t>
      </w:r>
      <w:r w:rsidR="006370B7" w:rsidRPr="000410E2">
        <w:t xml:space="preserve">secrétariat </w:t>
      </w:r>
      <w:r w:rsidRPr="000410E2">
        <w:t xml:space="preserve">recommande de </w:t>
      </w:r>
      <w:r w:rsidR="00140F62" w:rsidRPr="000410E2">
        <w:t xml:space="preserve">ne pas la conserver en tant que cible à part entière, mais plutôt de retenir </w:t>
      </w:r>
      <w:r w:rsidRPr="000410E2">
        <w:t>le libellé "fréquences radioélectriques exemptes de brouillages préjudiciables" pour une réalisation</w:t>
      </w:r>
      <w:r w:rsidR="00140F62" w:rsidRPr="000410E2">
        <w:t xml:space="preserve"> distincte</w:t>
      </w:r>
      <w:r w:rsidRPr="000410E2">
        <w:t xml:space="preserve"> au titre de la priorité "Utilisation du spectre pour les services spatiaux et les services de Terre", comme indiqué actuellement dans le Plan stratégique pour la période 2024-2027.</w:t>
      </w:r>
    </w:p>
    <w:p w14:paraId="1A4AD8E5" w14:textId="5558492D" w:rsidR="0066744B" w:rsidRPr="000410E2" w:rsidRDefault="0066744B" w:rsidP="001601BD">
      <w:pPr>
        <w:tabs>
          <w:tab w:val="clear" w:pos="567"/>
          <w:tab w:val="clear" w:pos="1134"/>
          <w:tab w:val="clear" w:pos="1701"/>
          <w:tab w:val="clear" w:pos="2268"/>
          <w:tab w:val="clear" w:pos="2835"/>
        </w:tabs>
        <w:overflowPunct/>
        <w:autoSpaceDE/>
        <w:autoSpaceDN/>
        <w:adjustRightInd/>
        <w:jc w:val="both"/>
        <w:textAlignment w:val="auto"/>
      </w:pPr>
      <w:r w:rsidRPr="000410E2">
        <w:t>La réalisation proposée ci-dessus traite d'une dimension distincte et complémentaire de l'utilisation du spectre. Alors que la réalisation N</w:t>
      </w:r>
      <w:r w:rsidR="000410E2" w:rsidRPr="000410E2">
        <w:t>°</w:t>
      </w:r>
      <w:r w:rsidRPr="000410E2">
        <w:rPr>
          <w:vertAlign w:val="superscript"/>
        </w:rPr>
        <w:t xml:space="preserve"> </w:t>
      </w:r>
      <w:r w:rsidRPr="000410E2">
        <w:t>1 actuelle (</w:t>
      </w:r>
      <w:r w:rsidRPr="000410E2">
        <w:rPr>
          <w:i/>
          <w:iCs/>
        </w:rPr>
        <w:t>Le spectre des fréquences radioélectriques et les ressources orbitales sont utilisées de manière efficace, économique, rationnelle et équitable</w:t>
      </w:r>
      <w:r w:rsidRPr="000410E2">
        <w:t>) englobe les principes d'efficacité, d'économie, de rationalité et d'équité, la réalisation N</w:t>
      </w:r>
      <w:r w:rsidR="00E5778D" w:rsidRPr="000410E2">
        <w:t>°</w:t>
      </w:r>
      <w:r w:rsidRPr="000410E2">
        <w:t xml:space="preserve"> 2 proposée introduirait le critère de l'absence de brouillages préjudiciables, garantissant ainsi non seulement une utilisation optimisée, mais aussi fiable du spectre. La protection contre les brouillages préjudiciables demeure un objectif fondamental, permanent et intersectoriel des travaux et des produits attendus du Secteur des radiocommunications de l'UIT (UIT-R).</w:t>
      </w:r>
    </w:p>
    <w:p w14:paraId="446F7865" w14:textId="6024DE13" w:rsidR="0066744B" w:rsidRPr="000410E2" w:rsidRDefault="00F87F33" w:rsidP="001601BD">
      <w:pPr>
        <w:tabs>
          <w:tab w:val="clear" w:pos="567"/>
          <w:tab w:val="clear" w:pos="1134"/>
          <w:tab w:val="clear" w:pos="1701"/>
          <w:tab w:val="clear" w:pos="2268"/>
          <w:tab w:val="clear" w:pos="2835"/>
        </w:tabs>
        <w:overflowPunct/>
        <w:autoSpaceDE/>
        <w:autoSpaceDN/>
        <w:adjustRightInd/>
        <w:jc w:val="both"/>
        <w:textAlignment w:val="auto"/>
      </w:pPr>
      <w:r w:rsidRPr="000410E2">
        <w:lastRenderedPageBreak/>
        <w:t>Étant donné que</w:t>
      </w:r>
      <w:r w:rsidR="0066744B" w:rsidRPr="000410E2">
        <w:t xml:space="preserve"> le nombre de cas de brouillages préjudiciables signalés et résolus constitue une mesure du suivi opérationnel des procédures du </w:t>
      </w:r>
      <w:r w:rsidR="008D0DEB" w:rsidRPr="000410E2">
        <w:t>BR</w:t>
      </w:r>
      <w:r w:rsidR="00870FB1" w:rsidRPr="000410E2">
        <w:t xml:space="preserve">, les cas en question correspondraient à des indicateurs de réalisation au titre de la réalisation </w:t>
      </w:r>
      <w:r w:rsidR="00D270FA" w:rsidRPr="000410E2">
        <w:t>N</w:t>
      </w:r>
      <w:r w:rsidR="000410E2" w:rsidRPr="000410E2">
        <w:t>°</w:t>
      </w:r>
      <w:r w:rsidR="00D270FA" w:rsidRPr="000410E2">
        <w:t xml:space="preserve"> </w:t>
      </w:r>
      <w:r w:rsidR="00870FB1" w:rsidRPr="000410E2">
        <w:t>2</w:t>
      </w:r>
      <w:r w:rsidR="0066744B" w:rsidRPr="000410E2">
        <w:t>.</w:t>
      </w:r>
    </w:p>
    <w:p w14:paraId="036AA52B" w14:textId="77777777" w:rsidR="0066744B" w:rsidRPr="000410E2" w:rsidRDefault="0066744B" w:rsidP="001601BD">
      <w:pPr>
        <w:tabs>
          <w:tab w:val="clear" w:pos="567"/>
          <w:tab w:val="clear" w:pos="1134"/>
          <w:tab w:val="clear" w:pos="1701"/>
          <w:tab w:val="clear" w:pos="2268"/>
          <w:tab w:val="clear" w:pos="2835"/>
        </w:tabs>
        <w:overflowPunct/>
        <w:autoSpaceDE/>
        <w:autoSpaceDN/>
        <w:adjustRightInd/>
        <w:spacing w:after="120"/>
        <w:jc w:val="both"/>
        <w:textAlignment w:val="auto"/>
      </w:pPr>
      <w:r w:rsidRPr="000410E2">
        <w:t>La modification proposée, soumise à l'examen de la PP-26, est la suivante: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2268"/>
        <w:gridCol w:w="5245"/>
      </w:tblGrid>
      <w:tr w:rsidR="0066744B" w:rsidRPr="000410E2" w14:paraId="11395C25" w14:textId="77777777" w:rsidTr="00A91506">
        <w:trPr>
          <w:trHeight w:val="97"/>
        </w:trPr>
        <w:tc>
          <w:tcPr>
            <w:tcW w:w="1101" w:type="pct"/>
          </w:tcPr>
          <w:p w14:paraId="4EB36762" w14:textId="77777777" w:rsidR="0066744B" w:rsidRPr="000410E2" w:rsidRDefault="0066744B" w:rsidP="00A91506">
            <w:pPr>
              <w:pStyle w:val="Tablehead"/>
            </w:pPr>
            <w:r w:rsidRPr="000410E2">
              <w:t xml:space="preserve">Priorité </w:t>
            </w:r>
          </w:p>
        </w:tc>
        <w:tc>
          <w:tcPr>
            <w:tcW w:w="1177" w:type="pct"/>
          </w:tcPr>
          <w:p w14:paraId="5391EF45" w14:textId="77777777" w:rsidR="0066744B" w:rsidRPr="000410E2" w:rsidRDefault="0066744B" w:rsidP="00A91506">
            <w:pPr>
              <w:pStyle w:val="Tablehead"/>
            </w:pPr>
            <w:r w:rsidRPr="000410E2">
              <w:t xml:space="preserve">Réalisation </w:t>
            </w:r>
          </w:p>
        </w:tc>
        <w:tc>
          <w:tcPr>
            <w:tcW w:w="2722" w:type="pct"/>
          </w:tcPr>
          <w:p w14:paraId="20950DA6" w14:textId="77777777" w:rsidR="0066744B" w:rsidRPr="000410E2" w:rsidRDefault="0066744B" w:rsidP="00A91506">
            <w:pPr>
              <w:pStyle w:val="Tablehead"/>
            </w:pPr>
            <w:r w:rsidRPr="000410E2">
              <w:t xml:space="preserve">Indicateur de réalisation </w:t>
            </w:r>
          </w:p>
        </w:tc>
      </w:tr>
      <w:tr w:rsidR="0066744B" w:rsidRPr="000410E2" w14:paraId="07C8D2C4" w14:textId="77777777" w:rsidTr="00A91506">
        <w:trPr>
          <w:trHeight w:val="97"/>
        </w:trPr>
        <w:tc>
          <w:tcPr>
            <w:tcW w:w="1101" w:type="pct"/>
          </w:tcPr>
          <w:p w14:paraId="6090ABD1" w14:textId="77777777" w:rsidR="0066744B" w:rsidRPr="001601BD" w:rsidRDefault="0066744B" w:rsidP="001601BD">
            <w:pPr>
              <w:pStyle w:val="Tabletext"/>
              <w:rPr>
                <w:b/>
                <w:bCs/>
              </w:rPr>
            </w:pPr>
            <w:r w:rsidRPr="001601BD">
              <w:rPr>
                <w:b/>
                <w:bCs/>
              </w:rPr>
              <w:t>Utilisation du spectre pour les services spatiaux et les services de Terre</w:t>
            </w:r>
          </w:p>
        </w:tc>
        <w:tc>
          <w:tcPr>
            <w:tcW w:w="1177" w:type="pct"/>
          </w:tcPr>
          <w:p w14:paraId="291C497E" w14:textId="5496C588" w:rsidR="0066744B" w:rsidRPr="000410E2" w:rsidRDefault="0066744B" w:rsidP="001601BD">
            <w:pPr>
              <w:pStyle w:val="Tabletext"/>
              <w:ind w:left="284" w:hanging="284"/>
            </w:pPr>
            <w:r w:rsidRPr="000410E2">
              <w:t>–</w:t>
            </w:r>
            <w:r w:rsidRPr="000410E2">
              <w:rPr>
                <w:szCs w:val="18"/>
              </w:rPr>
              <w:tab/>
              <w:t>Fréquences radioélectriques exemptes de brouillages préjudiciables</w:t>
            </w:r>
            <w:r w:rsidR="00777418" w:rsidRPr="000410E2">
              <w:rPr>
                <w:szCs w:val="18"/>
              </w:rPr>
              <w:t>.</w:t>
            </w:r>
          </w:p>
        </w:tc>
        <w:tc>
          <w:tcPr>
            <w:tcW w:w="2722" w:type="pct"/>
          </w:tcPr>
          <w:p w14:paraId="3D3C3513" w14:textId="3724C401" w:rsidR="0066744B" w:rsidRPr="000410E2" w:rsidRDefault="0066744B" w:rsidP="001601BD">
            <w:pPr>
              <w:pStyle w:val="Tabletext"/>
              <w:ind w:left="284" w:hanging="284"/>
              <w:rPr>
                <w:szCs w:val="18"/>
              </w:rPr>
            </w:pPr>
            <w:r w:rsidRPr="000410E2">
              <w:rPr>
                <w:szCs w:val="18"/>
              </w:rPr>
              <w:t>–</w:t>
            </w:r>
            <w:r w:rsidRPr="000410E2">
              <w:rPr>
                <w:szCs w:val="18"/>
              </w:rPr>
              <w:tab/>
              <w:t>Nombre de cas de brouillages préjudiciables (causés à des assignations de fréquence relatives aux services spatiaux) signalés au BR au cours de la première année de la période considérée.</w:t>
            </w:r>
          </w:p>
          <w:p w14:paraId="49CCEC9F" w14:textId="77777777" w:rsidR="0066744B" w:rsidRPr="000410E2" w:rsidRDefault="0066744B" w:rsidP="001601BD">
            <w:pPr>
              <w:pStyle w:val="Tabletext"/>
              <w:ind w:left="284" w:hanging="284"/>
              <w:rPr>
                <w:szCs w:val="18"/>
              </w:rPr>
            </w:pPr>
            <w:r w:rsidRPr="000410E2">
              <w:rPr>
                <w:szCs w:val="18"/>
              </w:rPr>
              <w:t>–</w:t>
            </w:r>
            <w:r w:rsidRPr="000410E2">
              <w:rPr>
                <w:szCs w:val="18"/>
              </w:rPr>
              <w:tab/>
              <w:t>Nombre de cas de brouillages préjudiciables (causés à des assignations de fréquence relatives aux services spatiaux) signalés au BR qui sont en attente de résolution.</w:t>
            </w:r>
          </w:p>
          <w:p w14:paraId="559E7DFB" w14:textId="77777777" w:rsidR="0066744B" w:rsidRPr="000410E2" w:rsidRDefault="0066744B" w:rsidP="001601BD">
            <w:pPr>
              <w:pStyle w:val="Tabletext"/>
              <w:ind w:left="284" w:hanging="284"/>
              <w:rPr>
                <w:szCs w:val="18"/>
              </w:rPr>
            </w:pPr>
            <w:r w:rsidRPr="000410E2">
              <w:rPr>
                <w:szCs w:val="18"/>
              </w:rPr>
              <w:t>–</w:t>
            </w:r>
            <w:r w:rsidRPr="000410E2">
              <w:rPr>
                <w:szCs w:val="18"/>
              </w:rPr>
              <w:tab/>
              <w:t>Nombre de cas de brouillages préjudiciables (causés à des assignations de fréquence relatives aux services de Terre) signalés au BR au cours de la première année de la période considérée.</w:t>
            </w:r>
          </w:p>
          <w:p w14:paraId="3C53E771" w14:textId="77777777" w:rsidR="0066744B" w:rsidRPr="000410E2" w:rsidRDefault="0066744B" w:rsidP="001601BD">
            <w:pPr>
              <w:pStyle w:val="Tabletext"/>
              <w:ind w:left="284" w:hanging="284"/>
              <w:rPr>
                <w:szCs w:val="18"/>
              </w:rPr>
            </w:pPr>
            <w:r w:rsidRPr="000410E2">
              <w:rPr>
                <w:szCs w:val="18"/>
              </w:rPr>
              <w:t>–</w:t>
            </w:r>
            <w:r w:rsidRPr="000410E2">
              <w:rPr>
                <w:szCs w:val="18"/>
              </w:rPr>
              <w:tab/>
              <w:t>Nombre de cas de brouillages préjudiciables (causés à des assignations de fréquence relatives aux services de Terre) signalés au BR qui sont en attente de résolution.</w:t>
            </w:r>
          </w:p>
          <w:p w14:paraId="79E2AB0C" w14:textId="18802CCA" w:rsidR="0066744B" w:rsidRPr="000410E2" w:rsidRDefault="0066744B" w:rsidP="001601BD">
            <w:pPr>
              <w:pStyle w:val="Tabletext"/>
              <w:ind w:left="284" w:hanging="284"/>
            </w:pPr>
            <w:r w:rsidRPr="000410E2">
              <w:rPr>
                <w:szCs w:val="18"/>
              </w:rPr>
              <w:t>–</w:t>
            </w:r>
            <w:r w:rsidRPr="000410E2">
              <w:rPr>
                <w:szCs w:val="18"/>
              </w:rPr>
              <w:tab/>
              <w:t>Nombre de cas pour lesquels le BR a pris les mesures appropriées en suivant la procédure applicable (par exemple, conformément aux numéros 15.41, 15.42, etc. du RR)</w:t>
            </w:r>
            <w:r w:rsidR="00777418" w:rsidRPr="000410E2">
              <w:rPr>
                <w:szCs w:val="18"/>
              </w:rPr>
              <w:t>.</w:t>
            </w:r>
          </w:p>
        </w:tc>
      </w:tr>
    </w:tbl>
    <w:p w14:paraId="4FC23F62" w14:textId="77777777" w:rsidR="001601BD" w:rsidRDefault="001601BD" w:rsidP="001601BD">
      <w:pPr>
        <w:pStyle w:val="Tablefin"/>
      </w:pPr>
    </w:p>
    <w:p w14:paraId="43E3E720" w14:textId="5E391AB3" w:rsidR="0066744B" w:rsidRPr="000410E2" w:rsidRDefault="0066744B" w:rsidP="001601BD">
      <w:pPr>
        <w:tabs>
          <w:tab w:val="clear" w:pos="567"/>
          <w:tab w:val="clear" w:pos="1134"/>
          <w:tab w:val="clear" w:pos="1701"/>
          <w:tab w:val="clear" w:pos="2268"/>
          <w:tab w:val="clear" w:pos="2835"/>
        </w:tabs>
        <w:overflowPunct/>
        <w:autoSpaceDE/>
        <w:autoSpaceDN/>
        <w:adjustRightInd/>
        <w:jc w:val="both"/>
        <w:textAlignment w:val="auto"/>
      </w:pPr>
      <w:r w:rsidRPr="000410E2">
        <w:t xml:space="preserve">Pour la cible 1.7, l'interopérabilité des normes est une priorité proposée qui vise à refléter l'incidence des travaux de l'UIT dans le secteur des TIC et l'économie au sens large. Sur cette base, le </w:t>
      </w:r>
      <w:r w:rsidR="003B78EE" w:rsidRPr="000410E2">
        <w:t xml:space="preserve">secrétariat </w:t>
      </w:r>
      <w:r w:rsidRPr="000410E2">
        <w:t>souhaite présenter, comme point de départ, un indicateur qui correspond le mieux au niveau des incidences.</w:t>
      </w:r>
    </w:p>
    <w:p w14:paraId="1926A24D" w14:textId="77777777" w:rsidR="0066744B" w:rsidRPr="000410E2" w:rsidRDefault="0066744B" w:rsidP="001601BD">
      <w:pPr>
        <w:tabs>
          <w:tab w:val="clear" w:pos="567"/>
          <w:tab w:val="clear" w:pos="1134"/>
          <w:tab w:val="clear" w:pos="1701"/>
          <w:tab w:val="clear" w:pos="2268"/>
          <w:tab w:val="clear" w:pos="2835"/>
        </w:tabs>
        <w:overflowPunct/>
        <w:autoSpaceDE/>
        <w:autoSpaceDN/>
        <w:adjustRightInd/>
        <w:jc w:val="both"/>
        <w:textAlignment w:val="auto"/>
      </w:pPr>
      <w:r w:rsidRPr="000410E2">
        <w:t>Une grande majorité des vidéos diffusées sur Internet dans le monde utilise un format de compression normalisé par l'UIT. Exprimé sous forme de part, cet indicateur peut évoluer dans le temps, refléter la concurrence réelle avec d'autres codecs et fournir un moyen représentatif de montrer que la plupart des vidéos dans le monde fonctionnent selon les normes que l'UIT contribue à établir.</w:t>
      </w:r>
    </w:p>
    <w:p w14:paraId="7A2D181F" w14:textId="1E342138" w:rsidR="0066744B" w:rsidRPr="000410E2" w:rsidRDefault="0066744B" w:rsidP="001601BD">
      <w:pPr>
        <w:tabs>
          <w:tab w:val="clear" w:pos="567"/>
          <w:tab w:val="clear" w:pos="1134"/>
          <w:tab w:val="clear" w:pos="1701"/>
          <w:tab w:val="clear" w:pos="2268"/>
          <w:tab w:val="clear" w:pos="2835"/>
        </w:tabs>
        <w:overflowPunct/>
        <w:autoSpaceDE/>
        <w:autoSpaceDN/>
        <w:adjustRightInd/>
        <w:jc w:val="both"/>
        <w:textAlignment w:val="auto"/>
      </w:pPr>
      <w:r w:rsidRPr="000410E2">
        <w:t>À terme, la méthodologie des exemples de réussite en cours d'élaboration au sein du Groupe</w:t>
      </w:r>
      <w:r w:rsidR="00A91506" w:rsidRPr="000410E2">
        <w:t> </w:t>
      </w:r>
      <w:r w:rsidRPr="000410E2">
        <w:t>consultatif de la normalisation des télécommunications (GCNT) devrait aider à recenser d'autres indicateurs reflétant les incidences de l'UIT, tout en favorisant une vision globale des incidences des normes sur l'interopérabilité plutôt qu'un ensemble d'indicateurs distincts liés à des normes spécifiques.</w:t>
      </w:r>
    </w:p>
    <w:p w14:paraId="2F034749" w14:textId="77777777" w:rsidR="0066744B" w:rsidRPr="000410E2" w:rsidRDefault="0066744B" w:rsidP="001601BD">
      <w:pPr>
        <w:tabs>
          <w:tab w:val="clear" w:pos="567"/>
          <w:tab w:val="clear" w:pos="1134"/>
          <w:tab w:val="clear" w:pos="1701"/>
          <w:tab w:val="clear" w:pos="2268"/>
          <w:tab w:val="clear" w:pos="2835"/>
        </w:tabs>
        <w:overflowPunct/>
        <w:autoSpaceDE/>
        <w:autoSpaceDN/>
        <w:adjustRightInd/>
        <w:spacing w:after="120"/>
        <w:jc w:val="both"/>
        <w:textAlignment w:val="auto"/>
      </w:pPr>
      <w:r w:rsidRPr="000410E2">
        <w:t>L'indicateur de cible proposé est le suivant: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7"/>
        <w:gridCol w:w="4818"/>
      </w:tblGrid>
      <w:tr w:rsidR="0066744B" w:rsidRPr="000410E2" w14:paraId="4861C8D4" w14:textId="77777777" w:rsidTr="009F4A4B">
        <w:trPr>
          <w:trHeight w:val="98"/>
        </w:trPr>
        <w:tc>
          <w:tcPr>
            <w:tcW w:w="2500" w:type="pct"/>
          </w:tcPr>
          <w:p w14:paraId="48DB3A8B" w14:textId="77777777" w:rsidR="0066744B" w:rsidRPr="000410E2" w:rsidRDefault="0066744B" w:rsidP="00A91506">
            <w:pPr>
              <w:pStyle w:val="Tablehead"/>
            </w:pPr>
            <w:r w:rsidRPr="000410E2">
              <w:t xml:space="preserve">Cible </w:t>
            </w:r>
          </w:p>
        </w:tc>
        <w:tc>
          <w:tcPr>
            <w:tcW w:w="2500" w:type="pct"/>
          </w:tcPr>
          <w:p w14:paraId="1D61B4CC" w14:textId="77777777" w:rsidR="0066744B" w:rsidRPr="000410E2" w:rsidRDefault="0066744B" w:rsidP="00A91506">
            <w:pPr>
              <w:pStyle w:val="Tablehead"/>
            </w:pPr>
            <w:r w:rsidRPr="000410E2">
              <w:t xml:space="preserve">Indicateur de cible </w:t>
            </w:r>
          </w:p>
        </w:tc>
      </w:tr>
      <w:tr w:rsidR="0066744B" w:rsidRPr="000410E2" w14:paraId="3A836016" w14:textId="77777777" w:rsidTr="009F4A4B">
        <w:trPr>
          <w:trHeight w:val="98"/>
        </w:trPr>
        <w:tc>
          <w:tcPr>
            <w:tcW w:w="2500" w:type="pct"/>
          </w:tcPr>
          <w:p w14:paraId="6A625B3C" w14:textId="013F5383" w:rsidR="0066744B" w:rsidRPr="000410E2" w:rsidRDefault="0066744B" w:rsidP="001601BD">
            <w:pPr>
              <w:pStyle w:val="Tabletext"/>
            </w:pPr>
            <w:r w:rsidRPr="000410E2">
              <w:t>1.7: Incidences des normes en matière d'interopérabilité</w:t>
            </w:r>
          </w:p>
        </w:tc>
        <w:tc>
          <w:tcPr>
            <w:tcW w:w="2500" w:type="pct"/>
          </w:tcPr>
          <w:p w14:paraId="5A52EE0D" w14:textId="7075A185" w:rsidR="0066744B" w:rsidRPr="000410E2" w:rsidRDefault="0066744B" w:rsidP="001601BD">
            <w:pPr>
              <w:pStyle w:val="Tabletext"/>
              <w:ind w:left="284" w:hanging="284"/>
            </w:pPr>
            <w:r w:rsidRPr="000410E2">
              <w:rPr>
                <w:szCs w:val="18"/>
              </w:rPr>
              <w:t>–</w:t>
            </w:r>
            <w:r w:rsidRPr="000410E2">
              <w:rPr>
                <w:szCs w:val="18"/>
              </w:rPr>
              <w:tab/>
              <w:t>Part du trafic vidéo mondial acheminé par des codecs normalisés par l'UIT (%)</w:t>
            </w:r>
            <w:r w:rsidR="00581995" w:rsidRPr="000410E2">
              <w:rPr>
                <w:szCs w:val="18"/>
              </w:rPr>
              <w:t>.</w:t>
            </w:r>
          </w:p>
        </w:tc>
      </w:tr>
    </w:tbl>
    <w:p w14:paraId="60D718DB" w14:textId="785819C3" w:rsidR="0066744B" w:rsidRPr="000410E2" w:rsidRDefault="003B78EE" w:rsidP="001601BD">
      <w:pPr>
        <w:tabs>
          <w:tab w:val="clear" w:pos="567"/>
          <w:tab w:val="clear" w:pos="1134"/>
          <w:tab w:val="clear" w:pos="1701"/>
          <w:tab w:val="clear" w:pos="2268"/>
          <w:tab w:val="clear" w:pos="2835"/>
        </w:tabs>
        <w:overflowPunct/>
        <w:autoSpaceDE/>
        <w:autoSpaceDN/>
        <w:adjustRightInd/>
        <w:spacing w:after="120"/>
        <w:jc w:val="both"/>
        <w:textAlignment w:val="auto"/>
      </w:pPr>
      <w:r w:rsidRPr="000410E2">
        <w:lastRenderedPageBreak/>
        <w:t>Dans le cadre des consultations menées, le secrétariat a également défini l'</w:t>
      </w:r>
      <w:r w:rsidR="0066744B" w:rsidRPr="000410E2">
        <w:t>indicateur de réalisation prospectif</w:t>
      </w:r>
      <w:r w:rsidR="00631719" w:rsidRPr="000410E2">
        <w:t xml:space="preserve"> </w:t>
      </w:r>
      <w:r w:rsidRPr="000410E2">
        <w:t>suivant</w:t>
      </w:r>
      <w:r w:rsidR="0066744B" w:rsidRPr="000410E2">
        <w:t>, pour examen par la PP-26. Le même système de numérotage qui assurait autrefois la téléphonie universelle étend maintenant la connectivité en permettant aux satellites de se connecter directement à des combinés hors de portée des réseaux de Terre. Dans ce contexte, l'indicateur de réalisation proposé est le suivant: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8"/>
        <w:gridCol w:w="3544"/>
        <w:gridCol w:w="3403"/>
      </w:tblGrid>
      <w:tr w:rsidR="0066744B" w:rsidRPr="000410E2" w14:paraId="065F4DEE" w14:textId="77777777" w:rsidTr="00A91506">
        <w:trPr>
          <w:trHeight w:val="97"/>
        </w:trPr>
        <w:tc>
          <w:tcPr>
            <w:tcW w:w="1395" w:type="pct"/>
          </w:tcPr>
          <w:p w14:paraId="02D10DA6" w14:textId="77777777" w:rsidR="0066744B" w:rsidRPr="000410E2" w:rsidRDefault="0066744B" w:rsidP="00A91506">
            <w:pPr>
              <w:pStyle w:val="Tablehead"/>
            </w:pPr>
            <w:r w:rsidRPr="000410E2">
              <w:t xml:space="preserve">Priorité </w:t>
            </w:r>
          </w:p>
        </w:tc>
        <w:tc>
          <w:tcPr>
            <w:tcW w:w="1839" w:type="pct"/>
          </w:tcPr>
          <w:p w14:paraId="29054D75" w14:textId="77777777" w:rsidR="0066744B" w:rsidRPr="000410E2" w:rsidRDefault="0066744B" w:rsidP="00A91506">
            <w:pPr>
              <w:pStyle w:val="Tablehead"/>
            </w:pPr>
            <w:r w:rsidRPr="000410E2">
              <w:t xml:space="preserve">Réalisation </w:t>
            </w:r>
          </w:p>
        </w:tc>
        <w:tc>
          <w:tcPr>
            <w:tcW w:w="1766" w:type="pct"/>
          </w:tcPr>
          <w:p w14:paraId="4B79452B" w14:textId="77777777" w:rsidR="0066744B" w:rsidRPr="000410E2" w:rsidRDefault="0066744B" w:rsidP="00A91506">
            <w:pPr>
              <w:pStyle w:val="Tablehead"/>
            </w:pPr>
            <w:r w:rsidRPr="000410E2">
              <w:t>Indicateur de réalisation</w:t>
            </w:r>
          </w:p>
        </w:tc>
      </w:tr>
      <w:tr w:rsidR="0066744B" w:rsidRPr="000410E2" w14:paraId="063F0F9A" w14:textId="77777777" w:rsidTr="00A91506">
        <w:trPr>
          <w:trHeight w:val="97"/>
        </w:trPr>
        <w:tc>
          <w:tcPr>
            <w:tcW w:w="1395" w:type="pct"/>
          </w:tcPr>
          <w:p w14:paraId="113D45A2" w14:textId="77777777" w:rsidR="0066744B" w:rsidRPr="001601BD" w:rsidRDefault="0066744B" w:rsidP="001601BD">
            <w:pPr>
              <w:pStyle w:val="Tabletext"/>
              <w:rPr>
                <w:b/>
                <w:bCs/>
              </w:rPr>
            </w:pPr>
            <w:r w:rsidRPr="001601BD">
              <w:rPr>
                <w:b/>
                <w:bCs/>
              </w:rPr>
              <w:t>Interopérabilité des télécommunications/TIC à l'échelle mondiale et innovation</w:t>
            </w:r>
          </w:p>
        </w:tc>
        <w:tc>
          <w:tcPr>
            <w:tcW w:w="1839" w:type="pct"/>
          </w:tcPr>
          <w:p w14:paraId="76A504BB" w14:textId="77777777" w:rsidR="0066744B" w:rsidRPr="000410E2" w:rsidRDefault="0066744B" w:rsidP="001601BD">
            <w:pPr>
              <w:pStyle w:val="Tabletext"/>
              <w:ind w:left="284" w:hanging="284"/>
              <w:rPr>
                <w:szCs w:val="18"/>
              </w:rPr>
            </w:pPr>
            <w:r w:rsidRPr="000410E2">
              <w:rPr>
                <w:szCs w:val="18"/>
              </w:rPr>
              <w:t>–</w:t>
            </w:r>
            <w:r w:rsidRPr="000410E2">
              <w:rPr>
                <w:szCs w:val="18"/>
              </w:rPr>
              <w:tab/>
              <w:t>Qualité de fonctionnement, fiabilité et coordination accrues des réseaux et des services mondiaux de télécommunication.</w:t>
            </w:r>
          </w:p>
        </w:tc>
        <w:tc>
          <w:tcPr>
            <w:tcW w:w="1766" w:type="pct"/>
          </w:tcPr>
          <w:p w14:paraId="33B37292" w14:textId="6BC26034" w:rsidR="0066744B" w:rsidRPr="000410E2" w:rsidRDefault="0066744B" w:rsidP="001601BD">
            <w:pPr>
              <w:pStyle w:val="Tabletext"/>
              <w:ind w:left="284" w:hanging="284"/>
              <w:rPr>
                <w:szCs w:val="18"/>
              </w:rPr>
            </w:pPr>
            <w:r w:rsidRPr="000410E2">
              <w:rPr>
                <w:szCs w:val="18"/>
              </w:rPr>
              <w:t>–</w:t>
            </w:r>
            <w:r w:rsidRPr="000410E2">
              <w:rPr>
                <w:szCs w:val="18"/>
              </w:rPr>
              <w:tab/>
              <w:t>Nombre de nouveaux réseaux IoT, à satellite et de services émergents utilisant le numérotage international de l'UIT, par an</w:t>
            </w:r>
            <w:r w:rsidR="00581995" w:rsidRPr="000410E2">
              <w:rPr>
                <w:szCs w:val="18"/>
              </w:rPr>
              <w:t>.</w:t>
            </w:r>
          </w:p>
        </w:tc>
      </w:tr>
    </w:tbl>
    <w:p w14:paraId="3C421AC4" w14:textId="77777777" w:rsidR="001601BD" w:rsidRDefault="001601BD" w:rsidP="001601BD">
      <w:pPr>
        <w:pStyle w:val="Tablefin"/>
      </w:pPr>
    </w:p>
    <w:p w14:paraId="41D2DBEE" w14:textId="2CBF26D9" w:rsidR="00BD1614" w:rsidRPr="000410E2" w:rsidRDefault="00A91506" w:rsidP="00A91506">
      <w:pPr>
        <w:jc w:val="center"/>
      </w:pPr>
      <w:r w:rsidRPr="000410E2">
        <w:t>______________</w:t>
      </w:r>
    </w:p>
    <w:sectPr w:rsidR="00BD1614" w:rsidRPr="000410E2" w:rsidSect="003A0B7D">
      <w:headerReference w:type="default" r:id="rId13"/>
      <w:footerReference w:type="first" r:id="rId14"/>
      <w:type w:val="continuous"/>
      <w:pgSz w:w="11913" w:h="16834"/>
      <w:pgMar w:top="1418" w:right="1134" w:bottom="1418" w:left="1134" w:header="720" w:footer="720" w:gutter="0"/>
      <w:paperSrc w:first="15" w:other="15"/>
      <w:cols w:space="720"/>
      <w:titlePg/>
    </w:sectPr>
  </w:body>
</w:document>
</file>

<file path=word/customizations.xml><?xml version="1.0" encoding="utf-8"?>
<wne:tcg xmlns:r="http://schemas.openxmlformats.org/officeDocument/2006/relationships" xmlns:wne="http://schemas.microsoft.com/office/word/2006/wordml">
  <wne:keymaps>
    <wne:keymap wne:kcmPrimary="034D">
      <wne:macro wne:macroName="TEMPLATEPROJECT.MACROS.POOLSETREASONS"/>
    </wne:keymap>
    <wne:keymap wne:kcmPrimary="0350">
      <wne:macro wne:macroName="TEMPLATEPROJECT.MACROS.POOLPVSTYLES"/>
    </wne:keymap>
    <wne:keymap wne:kcmPrimary="0353">
      <wne:acd wne:acdName="acd1"/>
    </wne:keymap>
  </wne:keymaps>
  <wne:toolbars>
    <wne:acdManifest>
      <wne:acdEntry wne:acdName="acd0"/>
      <wne:acdEntry wne:acdName="acd1"/>
    </wne:acdManifest>
    <wne:toolbarData r:id="rId1"/>
  </wne:toolbars>
  <wne:acds>
    <wne:acd wne:acdName="acd0" wne:fciIndexBasedOn="0065"/>
    <wne:acd wne:argValue="AgBOAG8AcgBtAGEAbAAgAHAAdgA=" wne:acdName="acd1"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EBFE5" w14:textId="77777777" w:rsidR="00194B48" w:rsidRDefault="00194B48">
      <w:r>
        <w:separator/>
      </w:r>
    </w:p>
  </w:endnote>
  <w:endnote w:type="continuationSeparator" w:id="0">
    <w:p w14:paraId="14B5B166" w14:textId="77777777" w:rsidR="00194B48" w:rsidRDefault="00194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F7C66" w14:textId="414EB3BE" w:rsidR="000C467B" w:rsidRPr="00EC1877" w:rsidRDefault="000D15FB" w:rsidP="00EC1877">
    <w:pPr>
      <w:pStyle w:val="firstfooter0"/>
      <w:spacing w:before="0" w:beforeAutospacing="0" w:after="0" w:afterAutospacing="0"/>
      <w:jc w:val="center"/>
      <w:rPr>
        <w:sz w:val="18"/>
        <w:szCs w:val="18"/>
      </w:rPr>
    </w:pPr>
    <w:r>
      <w:rPr>
        <w:rFonts w:ascii="Symbol" w:hAnsi="Symbol"/>
        <w:sz w:val="22"/>
        <w:szCs w:val="20"/>
        <w:lang w:val="en-GB"/>
      </w:rPr>
      <w:t></w:t>
    </w:r>
    <w:r>
      <w:rPr>
        <w:sz w:val="20"/>
        <w:szCs w:val="20"/>
        <w:lang w:val="en-GB"/>
      </w:rPr>
      <w:t xml:space="preserve"> </w:t>
    </w:r>
    <w:hyperlink r:id="rId1" w:history="1">
      <w:proofErr w:type="spellStart"/>
      <w:r w:rsidR="007575CC" w:rsidRPr="005E4C80">
        <w:rPr>
          <w:rStyle w:val="Hyperlink"/>
          <w:sz w:val="22"/>
          <w:szCs w:val="22"/>
          <w:lang w:val="en-GB"/>
        </w:rPr>
        <w:t>www.itu.int</w:t>
      </w:r>
      <w:proofErr w:type="spellEnd"/>
      <w:r w:rsidR="007575CC" w:rsidRPr="005E4C80">
        <w:rPr>
          <w:rStyle w:val="Hyperlink"/>
          <w:sz w:val="22"/>
          <w:szCs w:val="22"/>
          <w:lang w:val="en-GB"/>
        </w:rPr>
        <w:t>/plenipotentiary/</w:t>
      </w:r>
    </w:hyperlink>
    <w:r w:rsidR="005E4C80">
      <w:rPr>
        <w:sz w:val="20"/>
        <w:szCs w:val="20"/>
        <w:lang w:val="en-GB"/>
      </w:rPr>
      <w:t xml:space="preserve"> </w:t>
    </w:r>
    <w:r>
      <w:rPr>
        <w:rFonts w:ascii="Symbol" w:hAnsi="Symbol"/>
        <w:sz w:val="22"/>
        <w:szCs w:val="20"/>
        <w:lang w:val="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CA7FC" w14:textId="77777777" w:rsidR="00194B48" w:rsidRDefault="00194B48">
      <w:r>
        <w:t>____________________</w:t>
      </w:r>
    </w:p>
  </w:footnote>
  <w:footnote w:type="continuationSeparator" w:id="0">
    <w:p w14:paraId="034CF6F5" w14:textId="77777777" w:rsidR="00194B48" w:rsidRDefault="00194B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ED6A7" w14:textId="77777777" w:rsidR="00BD1614" w:rsidRDefault="00BD1614" w:rsidP="00BD1614">
    <w:pPr>
      <w:pStyle w:val="Header"/>
    </w:pPr>
    <w:r>
      <w:fldChar w:fldCharType="begin"/>
    </w:r>
    <w:r>
      <w:instrText xml:space="preserve"> PAGE </w:instrText>
    </w:r>
    <w:r>
      <w:fldChar w:fldCharType="separate"/>
    </w:r>
    <w:r w:rsidR="00B76FEC">
      <w:rPr>
        <w:noProof/>
      </w:rPr>
      <w:t>2</w:t>
    </w:r>
    <w:r>
      <w:fldChar w:fldCharType="end"/>
    </w:r>
  </w:p>
  <w:p w14:paraId="650D8FD2" w14:textId="3A0C0560" w:rsidR="00BD1614" w:rsidRDefault="00BD1614" w:rsidP="001E2226">
    <w:pPr>
      <w:pStyle w:val="Header"/>
    </w:pPr>
    <w:proofErr w:type="spellStart"/>
    <w:r>
      <w:t>PP</w:t>
    </w:r>
    <w:r w:rsidR="002A7A1D">
      <w:t>2</w:t>
    </w:r>
    <w:r w:rsidR="008407A7">
      <w:t>6</w:t>
    </w:r>
    <w:proofErr w:type="spellEnd"/>
    <w:r>
      <w:t>/</w:t>
    </w:r>
    <w:r w:rsidR="00D91C14">
      <w:t>33</w:t>
    </w:r>
    <w:r w:rsidR="00801154">
      <w:t>-F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AEF0AC12"/>
    <w:lvl w:ilvl="0">
      <w:start w:val="1"/>
      <w:numFmt w:val="decimal"/>
      <w:pStyle w:val="ListNumber"/>
      <w:lvlText w:val="%1."/>
      <w:lvlJc w:val="left"/>
      <w:pPr>
        <w:tabs>
          <w:tab w:val="num" w:pos="360"/>
        </w:tabs>
        <w:ind w:left="360" w:hanging="360"/>
      </w:pPr>
    </w:lvl>
  </w:abstractNum>
  <w:num w:numId="1" w16cid:durableId="55006965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2D5E"/>
    <w:rsid w:val="000054D8"/>
    <w:rsid w:val="000410E2"/>
    <w:rsid w:val="000552BA"/>
    <w:rsid w:val="00060D74"/>
    <w:rsid w:val="00072D5C"/>
    <w:rsid w:val="0008398C"/>
    <w:rsid w:val="00084308"/>
    <w:rsid w:val="000B14B6"/>
    <w:rsid w:val="000C467B"/>
    <w:rsid w:val="000D15FB"/>
    <w:rsid w:val="000E6E26"/>
    <w:rsid w:val="000F58F7"/>
    <w:rsid w:val="001051E4"/>
    <w:rsid w:val="001354EA"/>
    <w:rsid w:val="00136FCE"/>
    <w:rsid w:val="00140F62"/>
    <w:rsid w:val="00153BA4"/>
    <w:rsid w:val="001601BD"/>
    <w:rsid w:val="001819E9"/>
    <w:rsid w:val="001941AD"/>
    <w:rsid w:val="00194B48"/>
    <w:rsid w:val="0019732C"/>
    <w:rsid w:val="001A0682"/>
    <w:rsid w:val="001B4D8D"/>
    <w:rsid w:val="001C3790"/>
    <w:rsid w:val="001D31B2"/>
    <w:rsid w:val="001E1B9B"/>
    <w:rsid w:val="001E2226"/>
    <w:rsid w:val="001F0B24"/>
    <w:rsid w:val="001F6233"/>
    <w:rsid w:val="002355CD"/>
    <w:rsid w:val="0025782C"/>
    <w:rsid w:val="00270B2F"/>
    <w:rsid w:val="002712F9"/>
    <w:rsid w:val="002A0E1B"/>
    <w:rsid w:val="002A7A1D"/>
    <w:rsid w:val="002C1059"/>
    <w:rsid w:val="002C2F9C"/>
    <w:rsid w:val="002D098F"/>
    <w:rsid w:val="002E1AF7"/>
    <w:rsid w:val="00322DEA"/>
    <w:rsid w:val="00333A47"/>
    <w:rsid w:val="00354D62"/>
    <w:rsid w:val="00355FBD"/>
    <w:rsid w:val="00371863"/>
    <w:rsid w:val="00381461"/>
    <w:rsid w:val="00391C12"/>
    <w:rsid w:val="003A0B7D"/>
    <w:rsid w:val="003A45C2"/>
    <w:rsid w:val="003B78EE"/>
    <w:rsid w:val="003B7A11"/>
    <w:rsid w:val="003C4BE2"/>
    <w:rsid w:val="003D147D"/>
    <w:rsid w:val="003D637A"/>
    <w:rsid w:val="00400058"/>
    <w:rsid w:val="00413CB9"/>
    <w:rsid w:val="00430015"/>
    <w:rsid w:val="00452B11"/>
    <w:rsid w:val="00463A44"/>
    <w:rsid w:val="004678D0"/>
    <w:rsid w:val="00482954"/>
    <w:rsid w:val="004951C0"/>
    <w:rsid w:val="004C7646"/>
    <w:rsid w:val="00524001"/>
    <w:rsid w:val="0053313F"/>
    <w:rsid w:val="00563698"/>
    <w:rsid w:val="00564B63"/>
    <w:rsid w:val="00575DC7"/>
    <w:rsid w:val="00581995"/>
    <w:rsid w:val="005836C2"/>
    <w:rsid w:val="005A4A58"/>
    <w:rsid w:val="005A4EFD"/>
    <w:rsid w:val="005A5ABE"/>
    <w:rsid w:val="005C066B"/>
    <w:rsid w:val="005C2ECC"/>
    <w:rsid w:val="005C6744"/>
    <w:rsid w:val="005E419E"/>
    <w:rsid w:val="005E4C80"/>
    <w:rsid w:val="005F63BD"/>
    <w:rsid w:val="00611CF1"/>
    <w:rsid w:val="00617D11"/>
    <w:rsid w:val="006201D9"/>
    <w:rsid w:val="006277DB"/>
    <w:rsid w:val="00631719"/>
    <w:rsid w:val="00635B7B"/>
    <w:rsid w:val="006370B7"/>
    <w:rsid w:val="00655B98"/>
    <w:rsid w:val="0066744B"/>
    <w:rsid w:val="006710E6"/>
    <w:rsid w:val="00686973"/>
    <w:rsid w:val="00696B2D"/>
    <w:rsid w:val="006A2656"/>
    <w:rsid w:val="006A3475"/>
    <w:rsid w:val="006A6342"/>
    <w:rsid w:val="006B2214"/>
    <w:rsid w:val="006B6C9C"/>
    <w:rsid w:val="006C7AE3"/>
    <w:rsid w:val="006D55E8"/>
    <w:rsid w:val="006E1921"/>
    <w:rsid w:val="006E699C"/>
    <w:rsid w:val="006F36F9"/>
    <w:rsid w:val="0070576B"/>
    <w:rsid w:val="00713335"/>
    <w:rsid w:val="00726629"/>
    <w:rsid w:val="00727C2F"/>
    <w:rsid w:val="00735F13"/>
    <w:rsid w:val="007575CC"/>
    <w:rsid w:val="007717F2"/>
    <w:rsid w:val="00772E3B"/>
    <w:rsid w:val="00777418"/>
    <w:rsid w:val="0078134C"/>
    <w:rsid w:val="007A47E9"/>
    <w:rsid w:val="007A5830"/>
    <w:rsid w:val="007D21FB"/>
    <w:rsid w:val="00801154"/>
    <w:rsid w:val="00801256"/>
    <w:rsid w:val="008264FC"/>
    <w:rsid w:val="008407A7"/>
    <w:rsid w:val="008703CB"/>
    <w:rsid w:val="00870FB1"/>
    <w:rsid w:val="008B61AF"/>
    <w:rsid w:val="008C33C2"/>
    <w:rsid w:val="008C6137"/>
    <w:rsid w:val="008D0DEB"/>
    <w:rsid w:val="008E2DB4"/>
    <w:rsid w:val="008F08AB"/>
    <w:rsid w:val="00901DD5"/>
    <w:rsid w:val="00901E77"/>
    <w:rsid w:val="0090735B"/>
    <w:rsid w:val="00912D5E"/>
    <w:rsid w:val="00934340"/>
    <w:rsid w:val="00956DC7"/>
    <w:rsid w:val="00966CD3"/>
    <w:rsid w:val="00987A20"/>
    <w:rsid w:val="009A0E15"/>
    <w:rsid w:val="009D4037"/>
    <w:rsid w:val="009F0592"/>
    <w:rsid w:val="009F7612"/>
    <w:rsid w:val="00A01A84"/>
    <w:rsid w:val="00A02407"/>
    <w:rsid w:val="00A20E72"/>
    <w:rsid w:val="00A246DC"/>
    <w:rsid w:val="00A47BAF"/>
    <w:rsid w:val="00A542D3"/>
    <w:rsid w:val="00A5784F"/>
    <w:rsid w:val="00A807B1"/>
    <w:rsid w:val="00A835D7"/>
    <w:rsid w:val="00A8436E"/>
    <w:rsid w:val="00A91506"/>
    <w:rsid w:val="00A95B66"/>
    <w:rsid w:val="00AB190D"/>
    <w:rsid w:val="00AE0667"/>
    <w:rsid w:val="00B23CD4"/>
    <w:rsid w:val="00B41E0A"/>
    <w:rsid w:val="00B56DE0"/>
    <w:rsid w:val="00B71F12"/>
    <w:rsid w:val="00B76FEC"/>
    <w:rsid w:val="00B82ADA"/>
    <w:rsid w:val="00B915DA"/>
    <w:rsid w:val="00B96B1E"/>
    <w:rsid w:val="00BB2A6F"/>
    <w:rsid w:val="00BD1614"/>
    <w:rsid w:val="00BD382C"/>
    <w:rsid w:val="00BD5C12"/>
    <w:rsid w:val="00BD5DA6"/>
    <w:rsid w:val="00BF7D25"/>
    <w:rsid w:val="00C010C0"/>
    <w:rsid w:val="00C0405F"/>
    <w:rsid w:val="00C33083"/>
    <w:rsid w:val="00C40CB5"/>
    <w:rsid w:val="00C546C4"/>
    <w:rsid w:val="00C54CE6"/>
    <w:rsid w:val="00C575E2"/>
    <w:rsid w:val="00C7368B"/>
    <w:rsid w:val="00C92746"/>
    <w:rsid w:val="00CC4DC5"/>
    <w:rsid w:val="00CE1A7C"/>
    <w:rsid w:val="00CE496F"/>
    <w:rsid w:val="00CF04C5"/>
    <w:rsid w:val="00D0464B"/>
    <w:rsid w:val="00D12C74"/>
    <w:rsid w:val="00D2263F"/>
    <w:rsid w:val="00D270FA"/>
    <w:rsid w:val="00D27467"/>
    <w:rsid w:val="00D56483"/>
    <w:rsid w:val="00D5658F"/>
    <w:rsid w:val="00D56AD6"/>
    <w:rsid w:val="00D70019"/>
    <w:rsid w:val="00D74B58"/>
    <w:rsid w:val="00D82ABE"/>
    <w:rsid w:val="00D91C14"/>
    <w:rsid w:val="00DA4ABA"/>
    <w:rsid w:val="00DA685B"/>
    <w:rsid w:val="00DA742B"/>
    <w:rsid w:val="00DC5925"/>
    <w:rsid w:val="00DF25C1"/>
    <w:rsid w:val="00DF48F7"/>
    <w:rsid w:val="00DF4964"/>
    <w:rsid w:val="00DF4D73"/>
    <w:rsid w:val="00DF79B0"/>
    <w:rsid w:val="00E1047D"/>
    <w:rsid w:val="00E4050B"/>
    <w:rsid w:val="00E443FA"/>
    <w:rsid w:val="00E54FCE"/>
    <w:rsid w:val="00E5778D"/>
    <w:rsid w:val="00E60DA1"/>
    <w:rsid w:val="00E921A2"/>
    <w:rsid w:val="00E93D35"/>
    <w:rsid w:val="00EA45DB"/>
    <w:rsid w:val="00EC1877"/>
    <w:rsid w:val="00EC30E4"/>
    <w:rsid w:val="00ED2CD9"/>
    <w:rsid w:val="00F02583"/>
    <w:rsid w:val="00F07DA7"/>
    <w:rsid w:val="00F3254F"/>
    <w:rsid w:val="00F564C1"/>
    <w:rsid w:val="00F77FA2"/>
    <w:rsid w:val="00F8357A"/>
    <w:rsid w:val="00F87F33"/>
    <w:rsid w:val="00FA1B77"/>
    <w:rsid w:val="00FB4B65"/>
    <w:rsid w:val="00FB74B8"/>
    <w:rsid w:val="00FC49E0"/>
    <w:rsid w:val="00FF0484"/>
    <w:rsid w:val="00FF4E5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F7E724"/>
  <w15:docId w15:val="{F7996034-3CD0-499A-8D2F-018CE164A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10E6"/>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fr-FR" w:eastAsia="en-US"/>
    </w:rPr>
  </w:style>
  <w:style w:type="paragraph" w:styleId="Heading1">
    <w:name w:val="heading 1"/>
    <w:basedOn w:val="Normal"/>
    <w:next w:val="Normal"/>
    <w:qFormat/>
    <w:rsid w:val="005A4EFD"/>
    <w:pPr>
      <w:keepNext/>
      <w:keepLines/>
      <w:spacing w:before="480"/>
      <w:ind w:left="567" w:hanging="567"/>
      <w:outlineLvl w:val="0"/>
    </w:pPr>
    <w:rPr>
      <w:b/>
      <w:sz w:val="28"/>
    </w:rPr>
  </w:style>
  <w:style w:type="paragraph" w:styleId="Heading2">
    <w:name w:val="heading 2"/>
    <w:basedOn w:val="Heading1"/>
    <w:next w:val="Normal"/>
    <w:qFormat/>
    <w:rsid w:val="00686973"/>
    <w:pPr>
      <w:spacing w:before="320"/>
      <w:outlineLvl w:val="1"/>
    </w:pPr>
    <w:rPr>
      <w:sz w:val="24"/>
    </w:rPr>
  </w:style>
  <w:style w:type="paragraph" w:styleId="Heading3">
    <w:name w:val="heading 3"/>
    <w:basedOn w:val="Heading1"/>
    <w:next w:val="Normal"/>
    <w:qFormat/>
    <w:rsid w:val="00686973"/>
    <w:pPr>
      <w:spacing w:before="200"/>
      <w:outlineLvl w:val="2"/>
    </w:pPr>
    <w:rPr>
      <w:sz w:val="24"/>
    </w:rPr>
  </w:style>
  <w:style w:type="paragraph" w:styleId="Heading4">
    <w:name w:val="heading 4"/>
    <w:basedOn w:val="Heading3"/>
    <w:next w:val="Normal"/>
    <w:qFormat/>
    <w:rsid w:val="003A0B7D"/>
    <w:pPr>
      <w:ind w:left="1134" w:hanging="1134"/>
      <w:outlineLvl w:val="3"/>
    </w:pPr>
  </w:style>
  <w:style w:type="paragraph" w:styleId="Heading5">
    <w:name w:val="heading 5"/>
    <w:basedOn w:val="Heading4"/>
    <w:next w:val="Normal"/>
    <w:qFormat/>
    <w:rsid w:val="003A0B7D"/>
    <w:pPr>
      <w:outlineLvl w:val="4"/>
    </w:pPr>
  </w:style>
  <w:style w:type="paragraph" w:styleId="Heading6">
    <w:name w:val="heading 6"/>
    <w:basedOn w:val="Heading4"/>
    <w:next w:val="Normal"/>
    <w:qFormat/>
    <w:rsid w:val="003A0B7D"/>
    <w:pPr>
      <w:outlineLvl w:val="5"/>
    </w:pPr>
  </w:style>
  <w:style w:type="paragraph" w:styleId="Heading7">
    <w:name w:val="heading 7"/>
    <w:basedOn w:val="Heading4"/>
    <w:next w:val="Normal"/>
    <w:qFormat/>
    <w:rsid w:val="003A0B7D"/>
    <w:pPr>
      <w:ind w:left="1701" w:hanging="1701"/>
      <w:outlineLvl w:val="6"/>
    </w:pPr>
  </w:style>
  <w:style w:type="paragraph" w:styleId="Heading8">
    <w:name w:val="heading 8"/>
    <w:basedOn w:val="Heading4"/>
    <w:next w:val="Normal"/>
    <w:qFormat/>
    <w:rsid w:val="003A0B7D"/>
    <w:pPr>
      <w:ind w:left="1701" w:hanging="1701"/>
      <w:outlineLvl w:val="7"/>
    </w:pPr>
  </w:style>
  <w:style w:type="paragraph" w:styleId="Heading9">
    <w:name w:val="heading 9"/>
    <w:basedOn w:val="Heading4"/>
    <w:next w:val="Normal"/>
    <w:qFormat/>
    <w:rsid w:val="003A0B7D"/>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rsid w:val="003A0B7D"/>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7">
    <w:name w:val="toc 7"/>
    <w:basedOn w:val="Normal"/>
    <w:next w:val="Normal"/>
    <w:rsid w:val="003A0B7D"/>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3A0B7D"/>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3A0B7D"/>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Normal"/>
    <w:next w:val="Normal"/>
    <w:rsid w:val="003A0B7D"/>
    <w:pPr>
      <w:tabs>
        <w:tab w:val="clear" w:pos="567"/>
        <w:tab w:val="clear" w:pos="1134"/>
        <w:tab w:val="clear" w:pos="1701"/>
        <w:tab w:val="clear" w:pos="2268"/>
        <w:tab w:val="clear" w:pos="2835"/>
        <w:tab w:val="left" w:pos="964"/>
        <w:tab w:val="left" w:pos="8789"/>
        <w:tab w:val="right" w:pos="9639"/>
      </w:tabs>
      <w:ind w:left="964" w:hanging="964"/>
    </w:pPr>
  </w:style>
  <w:style w:type="paragraph" w:styleId="TOC3">
    <w:name w:val="toc 3"/>
    <w:basedOn w:val="Normal"/>
    <w:next w:val="Normal"/>
    <w:rsid w:val="003A0B7D"/>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2">
    <w:name w:val="toc 2"/>
    <w:basedOn w:val="Normal"/>
    <w:next w:val="Normal"/>
    <w:rsid w:val="003A0B7D"/>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1">
    <w:name w:val="toc 1"/>
    <w:basedOn w:val="Normal"/>
    <w:rsid w:val="003A0B7D"/>
    <w:pPr>
      <w:tabs>
        <w:tab w:val="clear" w:pos="567"/>
        <w:tab w:val="clear" w:pos="1134"/>
        <w:tab w:val="clear" w:pos="1701"/>
        <w:tab w:val="clear" w:pos="2268"/>
        <w:tab w:val="clear" w:pos="2835"/>
        <w:tab w:val="left" w:pos="964"/>
        <w:tab w:val="left" w:leader="dot" w:pos="8789"/>
        <w:tab w:val="right" w:pos="9639"/>
      </w:tabs>
      <w:spacing w:before="240"/>
      <w:ind w:left="964" w:hanging="964"/>
    </w:pPr>
  </w:style>
  <w:style w:type="paragraph" w:styleId="Date">
    <w:name w:val="Date"/>
    <w:basedOn w:val="Normal"/>
    <w:rsid w:val="003A0B7D"/>
    <w:pPr>
      <w:framePr w:hSpace="181" w:wrap="notBeside" w:vAnchor="page" w:hAnchor="page" w:x="1135" w:y="852"/>
      <w:tabs>
        <w:tab w:val="clear" w:pos="2268"/>
        <w:tab w:val="left" w:pos="1843"/>
        <w:tab w:val="left" w:pos="2269"/>
        <w:tab w:val="left" w:pos="3544"/>
        <w:tab w:val="left" w:pos="3969"/>
      </w:tabs>
      <w:spacing w:before="192" w:line="240" w:lineRule="atLeast"/>
      <w:jc w:val="center"/>
    </w:pPr>
    <w:rPr>
      <w:sz w:val="20"/>
    </w:rPr>
  </w:style>
  <w:style w:type="paragraph" w:styleId="Footer">
    <w:name w:val="footer"/>
    <w:basedOn w:val="Normal"/>
    <w:rsid w:val="003A0B7D"/>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rsid w:val="003A0B7D"/>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5A4EFD"/>
    <w:rPr>
      <w:rFonts w:ascii="Calibri" w:hAnsi="Calibri"/>
      <w:position w:val="6"/>
      <w:sz w:val="16"/>
    </w:rPr>
  </w:style>
  <w:style w:type="paragraph" w:styleId="FootnoteText">
    <w:name w:val="footnote text"/>
    <w:basedOn w:val="Normal"/>
    <w:rsid w:val="003A0B7D"/>
    <w:pPr>
      <w:keepLines/>
      <w:tabs>
        <w:tab w:val="left" w:pos="256"/>
      </w:tabs>
      <w:ind w:left="256" w:hanging="256"/>
    </w:pPr>
  </w:style>
  <w:style w:type="paragraph" w:styleId="NormalIndent">
    <w:name w:val="Normal Indent"/>
    <w:basedOn w:val="Normal"/>
    <w:rsid w:val="003A0B7D"/>
    <w:pPr>
      <w:ind w:left="567"/>
    </w:pPr>
  </w:style>
  <w:style w:type="paragraph" w:customStyle="1" w:styleId="Tablelegend">
    <w:name w:val="Table_legend"/>
    <w:basedOn w:val="Tabletext"/>
    <w:rsid w:val="003A0B7D"/>
    <w:pPr>
      <w:spacing w:before="120"/>
    </w:pPr>
  </w:style>
  <w:style w:type="paragraph" w:customStyle="1" w:styleId="Tabletext">
    <w:name w:val="Table_text"/>
    <w:basedOn w:val="Normal"/>
    <w:rsid w:val="00B82ADA"/>
    <w:pPr>
      <w:tabs>
        <w:tab w:val="clear" w:pos="1134"/>
        <w:tab w:val="clear" w:pos="1701"/>
        <w:tab w:val="clear" w:pos="2268"/>
        <w:tab w:val="clear" w:pos="2835"/>
        <w:tab w:val="left" w:pos="284"/>
      </w:tabs>
      <w:spacing w:before="40" w:after="40"/>
    </w:pPr>
    <w:rPr>
      <w:sz w:val="22"/>
    </w:rPr>
  </w:style>
  <w:style w:type="paragraph" w:customStyle="1" w:styleId="Tabletitle">
    <w:name w:val="Table_title"/>
    <w:basedOn w:val="TableNo"/>
    <w:next w:val="Tabletext"/>
    <w:rsid w:val="003A0B7D"/>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3A0B7D"/>
    <w:pPr>
      <w:keepNext/>
      <w:spacing w:before="560" w:after="120"/>
      <w:jc w:val="center"/>
    </w:pPr>
    <w:rPr>
      <w:caps/>
    </w:rPr>
  </w:style>
  <w:style w:type="paragraph" w:customStyle="1" w:styleId="enumlev1">
    <w:name w:val="enumlev1"/>
    <w:basedOn w:val="Normal"/>
    <w:rsid w:val="003A0B7D"/>
    <w:pPr>
      <w:spacing w:before="86"/>
      <w:ind w:left="567" w:hanging="567"/>
    </w:pPr>
  </w:style>
  <w:style w:type="paragraph" w:customStyle="1" w:styleId="enumlev2">
    <w:name w:val="enumlev2"/>
    <w:basedOn w:val="enumlev1"/>
    <w:rsid w:val="003A0B7D"/>
    <w:pPr>
      <w:ind w:left="1134"/>
    </w:pPr>
  </w:style>
  <w:style w:type="paragraph" w:customStyle="1" w:styleId="enumlev3">
    <w:name w:val="enumlev3"/>
    <w:basedOn w:val="enumlev2"/>
    <w:rsid w:val="003A0B7D"/>
    <w:pPr>
      <w:ind w:left="1701"/>
    </w:pPr>
  </w:style>
  <w:style w:type="paragraph" w:customStyle="1" w:styleId="Tablehead">
    <w:name w:val="Table_head"/>
    <w:basedOn w:val="Tabletext"/>
    <w:rsid w:val="00B82ADA"/>
    <w:pPr>
      <w:keepNext/>
      <w:keepLines/>
      <w:spacing w:before="80" w:after="80"/>
      <w:jc w:val="center"/>
    </w:pPr>
    <w:rPr>
      <w:b/>
    </w:rPr>
  </w:style>
  <w:style w:type="paragraph" w:customStyle="1" w:styleId="Normalaftertitle">
    <w:name w:val="Normal after title"/>
    <w:basedOn w:val="Normal"/>
    <w:next w:val="Normal"/>
    <w:rsid w:val="003A0B7D"/>
    <w:pPr>
      <w:spacing w:before="240"/>
    </w:pPr>
  </w:style>
  <w:style w:type="paragraph" w:customStyle="1" w:styleId="AnnexNo">
    <w:name w:val="Annex_No"/>
    <w:basedOn w:val="Normal"/>
    <w:next w:val="Annexref"/>
    <w:rsid w:val="00686973"/>
    <w:pPr>
      <w:spacing w:before="720"/>
      <w:jc w:val="center"/>
    </w:pPr>
    <w:rPr>
      <w:caps/>
      <w:sz w:val="28"/>
    </w:rPr>
  </w:style>
  <w:style w:type="paragraph" w:customStyle="1" w:styleId="Annexref">
    <w:name w:val="Annex_ref"/>
    <w:basedOn w:val="Normal"/>
    <w:next w:val="Annextitle"/>
    <w:rsid w:val="00686973"/>
    <w:pPr>
      <w:jc w:val="center"/>
    </w:pPr>
    <w:rPr>
      <w:sz w:val="28"/>
    </w:rPr>
  </w:style>
  <w:style w:type="paragraph" w:customStyle="1" w:styleId="Annextitle">
    <w:name w:val="Annex_title"/>
    <w:basedOn w:val="Normal"/>
    <w:next w:val="Normal"/>
    <w:rsid w:val="00686973"/>
    <w:pPr>
      <w:spacing w:before="240" w:after="240"/>
      <w:jc w:val="center"/>
    </w:pPr>
    <w:rPr>
      <w:b/>
      <w:sz w:val="28"/>
    </w:rPr>
  </w:style>
  <w:style w:type="paragraph" w:customStyle="1" w:styleId="AppendixNo">
    <w:name w:val="Appendix_No"/>
    <w:basedOn w:val="AnnexNo"/>
    <w:next w:val="Appendixref"/>
    <w:rsid w:val="00686973"/>
  </w:style>
  <w:style w:type="paragraph" w:customStyle="1" w:styleId="Appendixref">
    <w:name w:val="Appendix_ref"/>
    <w:basedOn w:val="Annexref"/>
    <w:next w:val="Appendixtitle"/>
    <w:rsid w:val="003A0B7D"/>
  </w:style>
  <w:style w:type="paragraph" w:customStyle="1" w:styleId="Appendixtitle">
    <w:name w:val="Appendix_title"/>
    <w:basedOn w:val="Annextitle"/>
    <w:next w:val="Normal"/>
    <w:rsid w:val="003A0B7D"/>
  </w:style>
  <w:style w:type="paragraph" w:customStyle="1" w:styleId="Reftitle">
    <w:name w:val="Ref_title"/>
    <w:basedOn w:val="Normal"/>
    <w:next w:val="Reftext"/>
    <w:rsid w:val="00686973"/>
    <w:pPr>
      <w:spacing w:before="480"/>
      <w:jc w:val="center"/>
    </w:pPr>
    <w:rPr>
      <w:caps/>
      <w:sz w:val="28"/>
    </w:rPr>
  </w:style>
  <w:style w:type="paragraph" w:customStyle="1" w:styleId="Reftext">
    <w:name w:val="Ref_text"/>
    <w:basedOn w:val="Normal"/>
    <w:rsid w:val="003A0B7D"/>
    <w:pPr>
      <w:ind w:left="567" w:hanging="567"/>
    </w:pPr>
  </w:style>
  <w:style w:type="paragraph" w:customStyle="1" w:styleId="Rectitle">
    <w:name w:val="Rec_title"/>
    <w:basedOn w:val="Normal"/>
    <w:next w:val="Heading1"/>
    <w:rsid w:val="005A4EFD"/>
    <w:pPr>
      <w:spacing w:before="240"/>
      <w:jc w:val="center"/>
    </w:pPr>
    <w:rPr>
      <w:b/>
      <w:sz w:val="28"/>
    </w:rPr>
  </w:style>
  <w:style w:type="paragraph" w:customStyle="1" w:styleId="Call">
    <w:name w:val="Call"/>
    <w:basedOn w:val="Normal"/>
    <w:next w:val="Normal"/>
    <w:rsid w:val="003A0B7D"/>
    <w:pPr>
      <w:keepNext/>
      <w:keepLines/>
      <w:tabs>
        <w:tab w:val="clear" w:pos="1134"/>
        <w:tab w:val="clear" w:pos="1701"/>
        <w:tab w:val="clear" w:pos="2268"/>
        <w:tab w:val="clear" w:pos="2835"/>
      </w:tabs>
      <w:spacing w:before="160"/>
      <w:ind w:left="567"/>
    </w:pPr>
    <w:rPr>
      <w:i/>
    </w:rPr>
  </w:style>
  <w:style w:type="paragraph" w:customStyle="1" w:styleId="RecNo">
    <w:name w:val="Rec_No"/>
    <w:basedOn w:val="Normal"/>
    <w:next w:val="Rectitle"/>
    <w:rsid w:val="00686973"/>
    <w:pPr>
      <w:spacing w:before="720"/>
      <w:jc w:val="center"/>
    </w:pPr>
    <w:rPr>
      <w:caps/>
      <w:sz w:val="28"/>
    </w:rPr>
  </w:style>
  <w:style w:type="paragraph" w:customStyle="1" w:styleId="toc0">
    <w:name w:val="toc 0"/>
    <w:basedOn w:val="Normal"/>
    <w:next w:val="TOC1"/>
    <w:rsid w:val="003A0B7D"/>
    <w:pPr>
      <w:tabs>
        <w:tab w:val="clear" w:pos="567"/>
        <w:tab w:val="clear" w:pos="1134"/>
        <w:tab w:val="clear" w:pos="1701"/>
        <w:tab w:val="clear" w:pos="2268"/>
        <w:tab w:val="clear" w:pos="2835"/>
        <w:tab w:val="right" w:pos="9781"/>
      </w:tabs>
    </w:pPr>
    <w:rPr>
      <w:b/>
    </w:rPr>
  </w:style>
  <w:style w:type="paragraph" w:customStyle="1" w:styleId="Part">
    <w:name w:val="Part"/>
    <w:basedOn w:val="Normal"/>
    <w:next w:val="Normal"/>
    <w:rsid w:val="00686973"/>
    <w:pPr>
      <w:tabs>
        <w:tab w:val="clear" w:pos="567"/>
        <w:tab w:val="clear" w:pos="1134"/>
        <w:tab w:val="clear" w:pos="1701"/>
        <w:tab w:val="clear" w:pos="2268"/>
        <w:tab w:val="clear" w:pos="2835"/>
      </w:tabs>
      <w:spacing w:before="600"/>
      <w:jc w:val="center"/>
    </w:pPr>
    <w:rPr>
      <w:caps/>
      <w:sz w:val="28"/>
    </w:rPr>
  </w:style>
  <w:style w:type="paragraph" w:customStyle="1" w:styleId="Note">
    <w:name w:val="Note"/>
    <w:basedOn w:val="Normal"/>
    <w:rsid w:val="003A0B7D"/>
    <w:pPr>
      <w:tabs>
        <w:tab w:val="clear" w:pos="567"/>
        <w:tab w:val="left" w:pos="851"/>
      </w:tabs>
    </w:pPr>
  </w:style>
  <w:style w:type="paragraph" w:customStyle="1" w:styleId="MinusFootnote">
    <w:name w:val="MinusFootnote"/>
    <w:basedOn w:val="Normal"/>
    <w:rsid w:val="003A0B7D"/>
    <w:pPr>
      <w:ind w:left="-1701" w:hanging="284"/>
    </w:pPr>
  </w:style>
  <w:style w:type="paragraph" w:customStyle="1" w:styleId="Title3">
    <w:name w:val="Title 3"/>
    <w:basedOn w:val="Title2"/>
    <w:next w:val="Normalaftertitle"/>
    <w:rsid w:val="003A0B7D"/>
    <w:rPr>
      <w:caps w:val="0"/>
    </w:rPr>
  </w:style>
  <w:style w:type="paragraph" w:customStyle="1" w:styleId="Title2">
    <w:name w:val="Title 2"/>
    <w:basedOn w:val="Source"/>
    <w:next w:val="Title3"/>
    <w:rsid w:val="003A0B7D"/>
    <w:pPr>
      <w:spacing w:before="240"/>
    </w:pPr>
    <w:rPr>
      <w:b w:val="0"/>
      <w:caps/>
    </w:rPr>
  </w:style>
  <w:style w:type="paragraph" w:customStyle="1" w:styleId="Source">
    <w:name w:val="Source"/>
    <w:basedOn w:val="Normal"/>
    <w:next w:val="Title1"/>
    <w:rsid w:val="00F564C1"/>
    <w:pPr>
      <w:spacing w:before="840"/>
      <w:jc w:val="center"/>
    </w:pPr>
    <w:rPr>
      <w:b/>
      <w:sz w:val="28"/>
    </w:rPr>
  </w:style>
  <w:style w:type="paragraph" w:customStyle="1" w:styleId="Title1">
    <w:name w:val="Title 1"/>
    <w:basedOn w:val="Source"/>
    <w:next w:val="Title2"/>
    <w:rsid w:val="003A0B7D"/>
    <w:pPr>
      <w:spacing w:before="240"/>
    </w:pPr>
    <w:rPr>
      <w:b w:val="0"/>
      <w:caps/>
    </w:rPr>
  </w:style>
  <w:style w:type="paragraph" w:customStyle="1" w:styleId="ArtNo">
    <w:name w:val="Art_No"/>
    <w:basedOn w:val="Normal"/>
    <w:next w:val="Arttitle"/>
    <w:rsid w:val="00686973"/>
    <w:pPr>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686973"/>
    <w:pPr>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3A0B7D"/>
  </w:style>
  <w:style w:type="paragraph" w:customStyle="1" w:styleId="Chaptitle">
    <w:name w:val="Chap_title"/>
    <w:basedOn w:val="Arttitle"/>
    <w:next w:val="Normal"/>
    <w:rsid w:val="003A0B7D"/>
  </w:style>
  <w:style w:type="paragraph" w:customStyle="1" w:styleId="Reasons">
    <w:name w:val="Reasons"/>
    <w:basedOn w:val="Normal"/>
    <w:qFormat/>
    <w:rsid w:val="003A0B7D"/>
  </w:style>
  <w:style w:type="paragraph" w:customStyle="1" w:styleId="ResNo">
    <w:name w:val="Res_No"/>
    <w:basedOn w:val="AnnexNo"/>
    <w:next w:val="Restitle"/>
    <w:rsid w:val="003A0B7D"/>
  </w:style>
  <w:style w:type="paragraph" w:customStyle="1" w:styleId="Restitle">
    <w:name w:val="Res_title"/>
    <w:basedOn w:val="Annextitle"/>
    <w:next w:val="Normal"/>
    <w:rsid w:val="005A4EFD"/>
  </w:style>
  <w:style w:type="paragraph" w:customStyle="1" w:styleId="AnnexNoS2">
    <w:name w:val="Annex_No_S2"/>
    <w:basedOn w:val="AnnexNo"/>
    <w:next w:val="AnnexrefS2"/>
    <w:rsid w:val="00686973"/>
    <w:pPr>
      <w:tabs>
        <w:tab w:val="clear" w:pos="567"/>
        <w:tab w:val="clear" w:pos="1134"/>
        <w:tab w:val="clear" w:pos="1701"/>
        <w:tab w:val="clear" w:pos="2268"/>
        <w:tab w:val="clear" w:pos="2835"/>
        <w:tab w:val="left" w:pos="851"/>
      </w:tabs>
      <w:jc w:val="left"/>
    </w:pPr>
    <w:rPr>
      <w:b/>
      <w:sz w:val="24"/>
    </w:rPr>
  </w:style>
  <w:style w:type="paragraph" w:customStyle="1" w:styleId="AnnexrefS2">
    <w:name w:val="Annex_ref_S2"/>
    <w:basedOn w:val="Annexref"/>
    <w:next w:val="AnnextitleS2"/>
    <w:rsid w:val="00686973"/>
    <w:pPr>
      <w:tabs>
        <w:tab w:val="clear" w:pos="567"/>
        <w:tab w:val="clear" w:pos="1134"/>
        <w:tab w:val="clear" w:pos="1701"/>
        <w:tab w:val="clear" w:pos="2268"/>
        <w:tab w:val="clear" w:pos="2835"/>
        <w:tab w:val="left" w:pos="851"/>
      </w:tabs>
      <w:jc w:val="left"/>
    </w:pPr>
    <w:rPr>
      <w:b/>
      <w:sz w:val="24"/>
    </w:rPr>
  </w:style>
  <w:style w:type="paragraph" w:customStyle="1" w:styleId="AnnextitleS2">
    <w:name w:val="Annex_title_S2"/>
    <w:basedOn w:val="Annextitle"/>
    <w:next w:val="NormalS2"/>
    <w:rsid w:val="00686973"/>
    <w:pPr>
      <w:tabs>
        <w:tab w:val="clear" w:pos="567"/>
        <w:tab w:val="clear" w:pos="1134"/>
        <w:tab w:val="clear" w:pos="1701"/>
        <w:tab w:val="clear" w:pos="2268"/>
        <w:tab w:val="clear" w:pos="2835"/>
        <w:tab w:val="left" w:pos="851"/>
      </w:tabs>
      <w:jc w:val="left"/>
    </w:pPr>
    <w:rPr>
      <w:sz w:val="24"/>
    </w:rPr>
  </w:style>
  <w:style w:type="paragraph" w:customStyle="1" w:styleId="NormalS2">
    <w:name w:val="Normal_S2"/>
    <w:basedOn w:val="Normal"/>
    <w:rsid w:val="003A0B7D"/>
    <w:pPr>
      <w:tabs>
        <w:tab w:val="clear" w:pos="567"/>
        <w:tab w:val="clear" w:pos="1134"/>
        <w:tab w:val="clear" w:pos="1701"/>
        <w:tab w:val="clear" w:pos="2268"/>
        <w:tab w:val="clear" w:pos="2835"/>
        <w:tab w:val="left" w:pos="851"/>
      </w:tabs>
    </w:pPr>
    <w:rPr>
      <w:b/>
    </w:rPr>
  </w:style>
  <w:style w:type="paragraph" w:customStyle="1" w:styleId="Section1">
    <w:name w:val="Section 1"/>
    <w:basedOn w:val="ChapNo"/>
    <w:next w:val="Normal"/>
    <w:rsid w:val="003A0B7D"/>
    <w:rPr>
      <w:caps w:val="0"/>
    </w:rPr>
  </w:style>
  <w:style w:type="paragraph" w:customStyle="1" w:styleId="Section2">
    <w:name w:val="Section 2"/>
    <w:basedOn w:val="Section1"/>
    <w:next w:val="Normal"/>
    <w:rsid w:val="003A0B7D"/>
    <w:pPr>
      <w:spacing w:before="240"/>
    </w:pPr>
    <w:rPr>
      <w:b/>
      <w:i/>
    </w:rPr>
  </w:style>
  <w:style w:type="paragraph" w:customStyle="1" w:styleId="AppendixNoS2">
    <w:name w:val="Appendix_No_S2"/>
    <w:basedOn w:val="AppendixNo"/>
    <w:next w:val="AppendixrefS2"/>
    <w:rsid w:val="00686973"/>
    <w:pPr>
      <w:tabs>
        <w:tab w:val="clear" w:pos="567"/>
        <w:tab w:val="clear" w:pos="1134"/>
        <w:tab w:val="clear" w:pos="1701"/>
        <w:tab w:val="clear" w:pos="2268"/>
        <w:tab w:val="clear" w:pos="2835"/>
        <w:tab w:val="left" w:pos="851"/>
      </w:tabs>
      <w:jc w:val="left"/>
    </w:pPr>
    <w:rPr>
      <w:b/>
      <w:sz w:val="24"/>
    </w:rPr>
  </w:style>
  <w:style w:type="paragraph" w:customStyle="1" w:styleId="AppendixrefS2">
    <w:name w:val="Appendix_ref_S2"/>
    <w:basedOn w:val="Appendixref"/>
    <w:next w:val="AnnextitleS2"/>
    <w:rsid w:val="00686973"/>
    <w:pPr>
      <w:tabs>
        <w:tab w:val="clear" w:pos="567"/>
        <w:tab w:val="clear" w:pos="1134"/>
        <w:tab w:val="clear" w:pos="1701"/>
        <w:tab w:val="clear" w:pos="2268"/>
        <w:tab w:val="clear" w:pos="2835"/>
        <w:tab w:val="left" w:pos="851"/>
      </w:tabs>
      <w:jc w:val="left"/>
    </w:pPr>
    <w:rPr>
      <w:b/>
      <w:sz w:val="24"/>
    </w:rPr>
  </w:style>
  <w:style w:type="paragraph" w:customStyle="1" w:styleId="AppendixtitleS2">
    <w:name w:val="Appendix_title_S2"/>
    <w:basedOn w:val="Appendixtitle"/>
    <w:next w:val="NormalS2"/>
    <w:rsid w:val="00686973"/>
    <w:pPr>
      <w:tabs>
        <w:tab w:val="clear" w:pos="567"/>
        <w:tab w:val="clear" w:pos="1134"/>
        <w:tab w:val="clear" w:pos="1701"/>
        <w:tab w:val="clear" w:pos="2268"/>
        <w:tab w:val="clear" w:pos="2835"/>
        <w:tab w:val="left" w:pos="851"/>
      </w:tabs>
      <w:jc w:val="left"/>
    </w:pPr>
    <w:rPr>
      <w:sz w:val="24"/>
    </w:rPr>
  </w:style>
  <w:style w:type="paragraph" w:customStyle="1" w:styleId="ArtNoS2">
    <w:name w:val="Art_No_S2"/>
    <w:basedOn w:val="ArtNo"/>
    <w:next w:val="ArttitleS2"/>
    <w:rsid w:val="00686973"/>
    <w:pPr>
      <w:tabs>
        <w:tab w:val="left" w:pos="851"/>
      </w:tabs>
      <w:jc w:val="left"/>
    </w:pPr>
    <w:rPr>
      <w:b/>
      <w:sz w:val="24"/>
    </w:rPr>
  </w:style>
  <w:style w:type="paragraph" w:customStyle="1" w:styleId="ArttitleS2">
    <w:name w:val="Art_title_S2"/>
    <w:basedOn w:val="Arttitle"/>
    <w:next w:val="NormalS2"/>
    <w:rsid w:val="00686973"/>
    <w:pPr>
      <w:tabs>
        <w:tab w:val="left" w:pos="851"/>
      </w:tabs>
      <w:jc w:val="left"/>
    </w:pPr>
    <w:rPr>
      <w:sz w:val="24"/>
    </w:rPr>
  </w:style>
  <w:style w:type="paragraph" w:customStyle="1" w:styleId="ChapNoS2">
    <w:name w:val="Chap_No_S2"/>
    <w:basedOn w:val="ChapNo"/>
    <w:next w:val="ChaptitleS2"/>
    <w:rsid w:val="005A4EFD"/>
    <w:pPr>
      <w:tabs>
        <w:tab w:val="left" w:pos="851"/>
      </w:tabs>
      <w:jc w:val="left"/>
    </w:pPr>
    <w:rPr>
      <w:b/>
      <w:sz w:val="24"/>
    </w:rPr>
  </w:style>
  <w:style w:type="paragraph" w:customStyle="1" w:styleId="ChaptitleS2">
    <w:name w:val="Chap_title_S2"/>
    <w:basedOn w:val="Chaptitle"/>
    <w:next w:val="NormalS2"/>
    <w:rsid w:val="00686973"/>
    <w:pPr>
      <w:tabs>
        <w:tab w:val="left" w:pos="851"/>
      </w:tabs>
      <w:jc w:val="left"/>
    </w:pPr>
    <w:rPr>
      <w:sz w:val="24"/>
    </w:rPr>
  </w:style>
  <w:style w:type="paragraph" w:customStyle="1" w:styleId="enumlev1S2">
    <w:name w:val="enumlev1_S2"/>
    <w:basedOn w:val="enumlev1"/>
    <w:rsid w:val="003A0B7D"/>
    <w:pPr>
      <w:tabs>
        <w:tab w:val="clear" w:pos="567"/>
        <w:tab w:val="clear" w:pos="1134"/>
        <w:tab w:val="clear" w:pos="1701"/>
        <w:tab w:val="clear" w:pos="2268"/>
        <w:tab w:val="clear" w:pos="2835"/>
        <w:tab w:val="left" w:pos="851"/>
      </w:tabs>
      <w:ind w:left="0" w:firstLine="0"/>
    </w:pPr>
    <w:rPr>
      <w:b/>
    </w:rPr>
  </w:style>
  <w:style w:type="paragraph" w:customStyle="1" w:styleId="enumlev2S2">
    <w:name w:val="enumlev2_S2"/>
    <w:basedOn w:val="enumlev2"/>
    <w:rsid w:val="003A0B7D"/>
    <w:pPr>
      <w:tabs>
        <w:tab w:val="clear" w:pos="567"/>
        <w:tab w:val="clear" w:pos="1134"/>
        <w:tab w:val="clear" w:pos="1701"/>
        <w:tab w:val="clear" w:pos="2268"/>
        <w:tab w:val="clear" w:pos="2835"/>
        <w:tab w:val="left" w:pos="851"/>
      </w:tabs>
      <w:ind w:left="0" w:firstLine="0"/>
    </w:pPr>
    <w:rPr>
      <w:b/>
    </w:rPr>
  </w:style>
  <w:style w:type="paragraph" w:customStyle="1" w:styleId="enumlev3S2">
    <w:name w:val="enumlev3_S2"/>
    <w:basedOn w:val="enumlev3"/>
    <w:rsid w:val="003A0B7D"/>
    <w:pPr>
      <w:tabs>
        <w:tab w:val="clear" w:pos="567"/>
        <w:tab w:val="clear" w:pos="1134"/>
        <w:tab w:val="clear" w:pos="1701"/>
        <w:tab w:val="clear" w:pos="2268"/>
        <w:tab w:val="clear" w:pos="2835"/>
        <w:tab w:val="left" w:pos="851"/>
      </w:tabs>
      <w:ind w:left="0" w:firstLine="0"/>
    </w:pPr>
    <w:rPr>
      <w:b/>
    </w:rPr>
  </w:style>
  <w:style w:type="paragraph" w:customStyle="1" w:styleId="FootnoteTextS2">
    <w:name w:val="Footnote Text_S2"/>
    <w:basedOn w:val="FootnoteText"/>
    <w:rsid w:val="003A0B7D"/>
    <w:pPr>
      <w:tabs>
        <w:tab w:val="clear" w:pos="256"/>
        <w:tab w:val="clear" w:pos="567"/>
        <w:tab w:val="clear" w:pos="1134"/>
        <w:tab w:val="clear" w:pos="1701"/>
        <w:tab w:val="clear" w:pos="2268"/>
        <w:tab w:val="clear" w:pos="2835"/>
        <w:tab w:val="left" w:pos="851"/>
      </w:tabs>
      <w:ind w:left="0" w:firstLine="0"/>
    </w:pPr>
    <w:rPr>
      <w:b/>
    </w:rPr>
  </w:style>
  <w:style w:type="paragraph" w:customStyle="1" w:styleId="Heading1S2">
    <w:name w:val="Heading 1_S2"/>
    <w:basedOn w:val="Heading1"/>
    <w:next w:val="NormalS2"/>
    <w:rsid w:val="00686973"/>
    <w:pPr>
      <w:tabs>
        <w:tab w:val="clear" w:pos="567"/>
        <w:tab w:val="clear" w:pos="1134"/>
        <w:tab w:val="clear" w:pos="1701"/>
        <w:tab w:val="clear" w:pos="2268"/>
        <w:tab w:val="clear" w:pos="2835"/>
        <w:tab w:val="left" w:pos="851"/>
      </w:tabs>
      <w:ind w:left="0" w:firstLine="0"/>
      <w:outlineLvl w:val="9"/>
    </w:pPr>
    <w:rPr>
      <w:sz w:val="24"/>
    </w:rPr>
  </w:style>
  <w:style w:type="paragraph" w:customStyle="1" w:styleId="Heading2S2">
    <w:name w:val="Heading 2_S2"/>
    <w:basedOn w:val="Heading2"/>
    <w:next w:val="NormalS2"/>
    <w:rsid w:val="003A0B7D"/>
    <w:pPr>
      <w:tabs>
        <w:tab w:val="clear" w:pos="567"/>
        <w:tab w:val="clear" w:pos="1134"/>
        <w:tab w:val="clear" w:pos="1701"/>
        <w:tab w:val="clear" w:pos="2268"/>
        <w:tab w:val="clear" w:pos="2835"/>
        <w:tab w:val="left" w:pos="851"/>
      </w:tabs>
    </w:pPr>
  </w:style>
  <w:style w:type="paragraph" w:customStyle="1" w:styleId="Heading3S2">
    <w:name w:val="Heading 3_S2"/>
    <w:basedOn w:val="Heading3"/>
    <w:next w:val="NormalS2"/>
    <w:rsid w:val="003A0B7D"/>
    <w:pPr>
      <w:tabs>
        <w:tab w:val="clear" w:pos="567"/>
        <w:tab w:val="clear" w:pos="1134"/>
        <w:tab w:val="clear" w:pos="1701"/>
        <w:tab w:val="clear" w:pos="2268"/>
        <w:tab w:val="clear" w:pos="2835"/>
        <w:tab w:val="left" w:pos="851"/>
      </w:tabs>
    </w:pPr>
  </w:style>
  <w:style w:type="paragraph" w:customStyle="1" w:styleId="Heading4S2">
    <w:name w:val="Heading 4_S2"/>
    <w:basedOn w:val="Heading4"/>
    <w:next w:val="NormalS2"/>
    <w:rsid w:val="003A0B7D"/>
    <w:pPr>
      <w:tabs>
        <w:tab w:val="clear" w:pos="567"/>
        <w:tab w:val="clear" w:pos="1134"/>
        <w:tab w:val="clear" w:pos="1701"/>
        <w:tab w:val="clear" w:pos="2268"/>
        <w:tab w:val="clear" w:pos="2835"/>
        <w:tab w:val="left" w:pos="851"/>
      </w:tabs>
    </w:pPr>
  </w:style>
  <w:style w:type="paragraph" w:customStyle="1" w:styleId="Heading5S2">
    <w:name w:val="Heading 5_S2"/>
    <w:basedOn w:val="Heading5"/>
    <w:next w:val="NormalS2"/>
    <w:rsid w:val="003A0B7D"/>
    <w:pPr>
      <w:tabs>
        <w:tab w:val="clear" w:pos="567"/>
        <w:tab w:val="clear" w:pos="1134"/>
        <w:tab w:val="clear" w:pos="1701"/>
        <w:tab w:val="clear" w:pos="2268"/>
        <w:tab w:val="clear" w:pos="2835"/>
        <w:tab w:val="left" w:pos="851"/>
      </w:tabs>
    </w:pPr>
  </w:style>
  <w:style w:type="paragraph" w:customStyle="1" w:styleId="Heading6S2">
    <w:name w:val="Heading 6_S2"/>
    <w:basedOn w:val="Heading6"/>
    <w:next w:val="NormalS2"/>
    <w:rsid w:val="003A0B7D"/>
    <w:pPr>
      <w:tabs>
        <w:tab w:val="clear" w:pos="567"/>
        <w:tab w:val="clear" w:pos="1134"/>
        <w:tab w:val="clear" w:pos="1701"/>
        <w:tab w:val="clear" w:pos="2268"/>
        <w:tab w:val="clear" w:pos="2835"/>
        <w:tab w:val="left" w:pos="851"/>
      </w:tabs>
    </w:pPr>
  </w:style>
  <w:style w:type="paragraph" w:customStyle="1" w:styleId="Heading7S2">
    <w:name w:val="Heading 7_S2"/>
    <w:basedOn w:val="Heading7"/>
    <w:next w:val="NormalS2"/>
    <w:rsid w:val="003A0B7D"/>
    <w:pPr>
      <w:tabs>
        <w:tab w:val="clear" w:pos="567"/>
        <w:tab w:val="clear" w:pos="1134"/>
        <w:tab w:val="clear" w:pos="1701"/>
        <w:tab w:val="clear" w:pos="2268"/>
        <w:tab w:val="clear" w:pos="2835"/>
        <w:tab w:val="left" w:pos="851"/>
      </w:tabs>
    </w:pPr>
  </w:style>
  <w:style w:type="paragraph" w:customStyle="1" w:styleId="Heading8S2">
    <w:name w:val="Heading 8_S2"/>
    <w:basedOn w:val="Heading8"/>
    <w:next w:val="NormalS2"/>
    <w:rsid w:val="003A0B7D"/>
    <w:pPr>
      <w:tabs>
        <w:tab w:val="clear" w:pos="567"/>
        <w:tab w:val="clear" w:pos="1134"/>
        <w:tab w:val="clear" w:pos="1701"/>
        <w:tab w:val="clear" w:pos="2268"/>
        <w:tab w:val="clear" w:pos="2835"/>
        <w:tab w:val="left" w:pos="851"/>
      </w:tabs>
    </w:pPr>
  </w:style>
  <w:style w:type="paragraph" w:customStyle="1" w:styleId="Heading9S2">
    <w:name w:val="Heading 9_S2"/>
    <w:basedOn w:val="Heading9"/>
    <w:next w:val="NormalS2"/>
    <w:rsid w:val="003A0B7D"/>
    <w:pPr>
      <w:tabs>
        <w:tab w:val="clear" w:pos="567"/>
        <w:tab w:val="clear" w:pos="1134"/>
        <w:tab w:val="clear" w:pos="1701"/>
        <w:tab w:val="clear" w:pos="2268"/>
        <w:tab w:val="clear" w:pos="2835"/>
        <w:tab w:val="left" w:pos="851"/>
      </w:tabs>
    </w:pPr>
  </w:style>
  <w:style w:type="paragraph" w:customStyle="1" w:styleId="NormalaftertitleS2">
    <w:name w:val="Normal after title_S2"/>
    <w:basedOn w:val="Normalaftertitle"/>
    <w:next w:val="NormalS2"/>
    <w:rsid w:val="003A0B7D"/>
    <w:pPr>
      <w:keepNext/>
      <w:keepLines/>
      <w:tabs>
        <w:tab w:val="clear" w:pos="567"/>
        <w:tab w:val="clear" w:pos="1134"/>
        <w:tab w:val="clear" w:pos="1701"/>
        <w:tab w:val="clear" w:pos="2268"/>
        <w:tab w:val="clear" w:pos="2835"/>
        <w:tab w:val="left" w:pos="851"/>
      </w:tabs>
    </w:pPr>
    <w:rPr>
      <w:b/>
    </w:rPr>
  </w:style>
  <w:style w:type="paragraph" w:customStyle="1" w:styleId="NormalIndentS2">
    <w:name w:val="Normal Indent_S2"/>
    <w:basedOn w:val="NormalIndent"/>
    <w:rsid w:val="003A0B7D"/>
    <w:pPr>
      <w:tabs>
        <w:tab w:val="clear" w:pos="567"/>
        <w:tab w:val="clear" w:pos="1134"/>
        <w:tab w:val="clear" w:pos="1701"/>
        <w:tab w:val="clear" w:pos="2268"/>
        <w:tab w:val="clear" w:pos="2835"/>
        <w:tab w:val="left" w:pos="851"/>
      </w:tabs>
      <w:ind w:left="0"/>
    </w:pPr>
    <w:rPr>
      <w:b/>
    </w:rPr>
  </w:style>
  <w:style w:type="paragraph" w:customStyle="1" w:styleId="ReasonsS2">
    <w:name w:val="Reasons_S2"/>
    <w:basedOn w:val="Reasons"/>
    <w:rsid w:val="003A0B7D"/>
    <w:pPr>
      <w:tabs>
        <w:tab w:val="clear" w:pos="567"/>
        <w:tab w:val="clear" w:pos="1134"/>
        <w:tab w:val="clear" w:pos="1701"/>
        <w:tab w:val="clear" w:pos="2268"/>
        <w:tab w:val="clear" w:pos="2835"/>
        <w:tab w:val="left" w:pos="851"/>
      </w:tabs>
    </w:pPr>
    <w:rPr>
      <w:b/>
    </w:rPr>
  </w:style>
  <w:style w:type="paragraph" w:customStyle="1" w:styleId="RecNoS2">
    <w:name w:val="Rec_No_S2"/>
    <w:basedOn w:val="RecNo"/>
    <w:next w:val="RectitleS2"/>
    <w:rsid w:val="00686973"/>
    <w:pPr>
      <w:tabs>
        <w:tab w:val="clear" w:pos="567"/>
        <w:tab w:val="clear" w:pos="1134"/>
        <w:tab w:val="clear" w:pos="1701"/>
        <w:tab w:val="clear" w:pos="2268"/>
        <w:tab w:val="clear" w:pos="2835"/>
        <w:tab w:val="left" w:pos="851"/>
      </w:tabs>
      <w:jc w:val="left"/>
    </w:pPr>
    <w:rPr>
      <w:b/>
      <w:sz w:val="24"/>
    </w:rPr>
  </w:style>
  <w:style w:type="paragraph" w:customStyle="1" w:styleId="RectitleS2">
    <w:name w:val="Rec_title_S2"/>
    <w:basedOn w:val="Rectitle"/>
    <w:next w:val="Heading1S2"/>
    <w:rsid w:val="00686973"/>
    <w:pPr>
      <w:tabs>
        <w:tab w:val="clear" w:pos="567"/>
        <w:tab w:val="clear" w:pos="1134"/>
        <w:tab w:val="clear" w:pos="1701"/>
        <w:tab w:val="clear" w:pos="2268"/>
        <w:tab w:val="clear" w:pos="2835"/>
        <w:tab w:val="left" w:pos="851"/>
      </w:tabs>
      <w:jc w:val="left"/>
    </w:pPr>
    <w:rPr>
      <w:caps/>
      <w:sz w:val="24"/>
    </w:rPr>
  </w:style>
  <w:style w:type="paragraph" w:customStyle="1" w:styleId="ReftextS2">
    <w:name w:val="Ref_text_S2"/>
    <w:basedOn w:val="Reftext"/>
    <w:rsid w:val="003A0B7D"/>
    <w:pPr>
      <w:tabs>
        <w:tab w:val="clear" w:pos="567"/>
        <w:tab w:val="clear" w:pos="1134"/>
        <w:tab w:val="clear" w:pos="1701"/>
        <w:tab w:val="clear" w:pos="2268"/>
        <w:tab w:val="clear" w:pos="2835"/>
        <w:tab w:val="left" w:pos="851"/>
      </w:tabs>
      <w:ind w:left="0" w:firstLine="0"/>
    </w:pPr>
    <w:rPr>
      <w:b/>
    </w:rPr>
  </w:style>
  <w:style w:type="paragraph" w:customStyle="1" w:styleId="ReftitleS2">
    <w:name w:val="Ref_title_S2"/>
    <w:basedOn w:val="Reftitle"/>
    <w:next w:val="ReftextS2"/>
    <w:rsid w:val="00686973"/>
    <w:pPr>
      <w:tabs>
        <w:tab w:val="clear" w:pos="567"/>
        <w:tab w:val="clear" w:pos="1134"/>
        <w:tab w:val="clear" w:pos="1701"/>
        <w:tab w:val="clear" w:pos="2268"/>
        <w:tab w:val="clear" w:pos="2835"/>
        <w:tab w:val="left" w:pos="851"/>
      </w:tabs>
      <w:jc w:val="left"/>
    </w:pPr>
    <w:rPr>
      <w:b/>
      <w:caps w:val="0"/>
      <w:sz w:val="24"/>
    </w:rPr>
  </w:style>
  <w:style w:type="paragraph" w:customStyle="1" w:styleId="ResNoS2">
    <w:name w:val="Res_No_S2"/>
    <w:basedOn w:val="ResNo"/>
    <w:next w:val="RestitleS2"/>
    <w:rsid w:val="00686973"/>
    <w:pPr>
      <w:tabs>
        <w:tab w:val="clear" w:pos="567"/>
        <w:tab w:val="clear" w:pos="1134"/>
        <w:tab w:val="clear" w:pos="1701"/>
        <w:tab w:val="clear" w:pos="2268"/>
        <w:tab w:val="clear" w:pos="2835"/>
        <w:tab w:val="left" w:pos="851"/>
      </w:tabs>
      <w:jc w:val="left"/>
    </w:pPr>
    <w:rPr>
      <w:b/>
      <w:sz w:val="24"/>
    </w:rPr>
  </w:style>
  <w:style w:type="paragraph" w:customStyle="1" w:styleId="RestitleS2">
    <w:name w:val="Res_title_S2"/>
    <w:basedOn w:val="Restitle"/>
    <w:next w:val="NormalS2"/>
    <w:rsid w:val="00686973"/>
    <w:pPr>
      <w:tabs>
        <w:tab w:val="clear" w:pos="567"/>
        <w:tab w:val="clear" w:pos="1134"/>
        <w:tab w:val="clear" w:pos="1701"/>
        <w:tab w:val="clear" w:pos="2268"/>
        <w:tab w:val="clear" w:pos="2835"/>
        <w:tab w:val="left" w:pos="851"/>
      </w:tabs>
      <w:jc w:val="left"/>
    </w:pPr>
    <w:rPr>
      <w:sz w:val="24"/>
    </w:rPr>
  </w:style>
  <w:style w:type="paragraph" w:customStyle="1" w:styleId="Section1S2">
    <w:name w:val="Section 1_S2"/>
    <w:basedOn w:val="Section1"/>
    <w:next w:val="NormalS2"/>
    <w:rsid w:val="00686973"/>
    <w:pPr>
      <w:tabs>
        <w:tab w:val="left" w:pos="851"/>
      </w:tabs>
      <w:jc w:val="left"/>
    </w:pPr>
    <w:rPr>
      <w:caps/>
      <w:sz w:val="24"/>
    </w:rPr>
  </w:style>
  <w:style w:type="paragraph" w:customStyle="1" w:styleId="Section2S2">
    <w:name w:val="Section 2_S2"/>
    <w:basedOn w:val="Section2"/>
    <w:next w:val="NormalS2"/>
    <w:rsid w:val="005A4EFD"/>
    <w:pPr>
      <w:tabs>
        <w:tab w:val="left" w:pos="851"/>
      </w:tabs>
      <w:jc w:val="left"/>
    </w:pPr>
    <w:rPr>
      <w:sz w:val="24"/>
    </w:rPr>
  </w:style>
  <w:style w:type="paragraph" w:customStyle="1" w:styleId="TableNoS2">
    <w:name w:val="Table_No_S2"/>
    <w:basedOn w:val="TableNo"/>
    <w:next w:val="TabletitleS2"/>
    <w:rsid w:val="003A0B7D"/>
    <w:pPr>
      <w:keepNext w:val="0"/>
      <w:tabs>
        <w:tab w:val="clear" w:pos="567"/>
        <w:tab w:val="clear" w:pos="1134"/>
        <w:tab w:val="clear" w:pos="1701"/>
        <w:tab w:val="clear" w:pos="2268"/>
        <w:tab w:val="clear" w:pos="2835"/>
        <w:tab w:val="left" w:pos="851"/>
      </w:tabs>
      <w:jc w:val="left"/>
    </w:pPr>
    <w:rPr>
      <w:b/>
    </w:rPr>
  </w:style>
  <w:style w:type="paragraph" w:customStyle="1" w:styleId="TabletitleS2">
    <w:name w:val="Table_title_S2"/>
    <w:basedOn w:val="Tabletitle"/>
    <w:next w:val="TabletextS2"/>
    <w:rsid w:val="003A0B7D"/>
    <w:pPr>
      <w:keepNext w:val="0"/>
      <w:tabs>
        <w:tab w:val="clear" w:pos="2948"/>
        <w:tab w:val="clear" w:pos="4082"/>
        <w:tab w:val="left" w:pos="851"/>
      </w:tabs>
      <w:jc w:val="left"/>
    </w:pPr>
  </w:style>
  <w:style w:type="paragraph" w:customStyle="1" w:styleId="TabletextS2">
    <w:name w:val="Table_text_S2"/>
    <w:basedOn w:val="Tabletext"/>
    <w:rsid w:val="003A0B7D"/>
    <w:pPr>
      <w:tabs>
        <w:tab w:val="left" w:pos="851"/>
      </w:tabs>
    </w:pPr>
    <w:rPr>
      <w:b/>
    </w:rPr>
  </w:style>
  <w:style w:type="paragraph" w:customStyle="1" w:styleId="TablelegendS2">
    <w:name w:val="Table_legend_S2"/>
    <w:basedOn w:val="Tablelegend"/>
    <w:rsid w:val="003A0B7D"/>
    <w:pPr>
      <w:tabs>
        <w:tab w:val="left" w:pos="851"/>
      </w:tabs>
      <w:spacing w:after="0"/>
    </w:pPr>
    <w:rPr>
      <w:b/>
    </w:rPr>
  </w:style>
  <w:style w:type="paragraph" w:customStyle="1" w:styleId="FooterS2">
    <w:name w:val="Footer_S2"/>
    <w:basedOn w:val="Footer"/>
    <w:rsid w:val="003A0B7D"/>
    <w:pPr>
      <w:tabs>
        <w:tab w:val="clear" w:pos="5954"/>
        <w:tab w:val="clear" w:pos="9639"/>
        <w:tab w:val="left" w:pos="3686"/>
        <w:tab w:val="right" w:pos="7655"/>
      </w:tabs>
      <w:ind w:left="-1985"/>
    </w:pPr>
  </w:style>
  <w:style w:type="paragraph" w:customStyle="1" w:styleId="HeaderS2">
    <w:name w:val="Header_S2"/>
    <w:basedOn w:val="Normal"/>
    <w:rsid w:val="003A0B7D"/>
    <w:pPr>
      <w:tabs>
        <w:tab w:val="clear" w:pos="567"/>
        <w:tab w:val="clear" w:pos="1134"/>
        <w:tab w:val="clear" w:pos="1701"/>
        <w:tab w:val="clear" w:pos="2268"/>
        <w:tab w:val="clear" w:pos="2835"/>
      </w:tabs>
      <w:spacing w:before="0"/>
      <w:ind w:left="-1985"/>
      <w:jc w:val="center"/>
    </w:pPr>
    <w:rPr>
      <w:sz w:val="22"/>
    </w:rPr>
  </w:style>
  <w:style w:type="paragraph" w:customStyle="1" w:styleId="Artheading">
    <w:name w:val="Art_heading"/>
    <w:basedOn w:val="Normal"/>
    <w:next w:val="Normalaftertitle"/>
    <w:rsid w:val="003A0B7D"/>
    <w:pPr>
      <w:tabs>
        <w:tab w:val="clear" w:pos="567"/>
        <w:tab w:val="clear" w:pos="1134"/>
        <w:tab w:val="clear" w:pos="1701"/>
        <w:tab w:val="clear" w:pos="2268"/>
        <w:tab w:val="clear" w:pos="2835"/>
      </w:tabs>
      <w:spacing w:before="480"/>
      <w:jc w:val="center"/>
    </w:pPr>
    <w:rPr>
      <w:b/>
    </w:rPr>
  </w:style>
  <w:style w:type="paragraph" w:customStyle="1" w:styleId="ArtheadingS2">
    <w:name w:val="Art_heading_S2"/>
    <w:basedOn w:val="Artheading"/>
    <w:next w:val="NormalaftertitleS2"/>
    <w:rsid w:val="003A0B7D"/>
    <w:pPr>
      <w:tabs>
        <w:tab w:val="left" w:pos="851"/>
      </w:tabs>
      <w:jc w:val="left"/>
    </w:pPr>
  </w:style>
  <w:style w:type="paragraph" w:customStyle="1" w:styleId="NoteS2">
    <w:name w:val="Note_S2"/>
    <w:basedOn w:val="Note"/>
    <w:rsid w:val="003A0B7D"/>
    <w:pPr>
      <w:tabs>
        <w:tab w:val="clear" w:pos="1134"/>
        <w:tab w:val="clear" w:pos="1701"/>
        <w:tab w:val="clear" w:pos="2268"/>
        <w:tab w:val="clear" w:pos="2835"/>
      </w:tabs>
    </w:pPr>
    <w:rPr>
      <w:b/>
    </w:rPr>
  </w:style>
  <w:style w:type="paragraph" w:customStyle="1" w:styleId="Heading1c">
    <w:name w:val="Heading 1c"/>
    <w:basedOn w:val="Heading1"/>
    <w:next w:val="Normal"/>
    <w:rsid w:val="00CC4DC5"/>
    <w:pPr>
      <w:ind w:left="0" w:firstLine="0"/>
      <w:jc w:val="center"/>
      <w:outlineLvl w:val="9"/>
    </w:pPr>
  </w:style>
  <w:style w:type="paragraph" w:customStyle="1" w:styleId="Heading2i">
    <w:name w:val="Heading 2i"/>
    <w:basedOn w:val="Heading2"/>
    <w:next w:val="Normal"/>
    <w:rsid w:val="005A4EFD"/>
    <w:rPr>
      <w:b w:val="0"/>
      <w:i/>
    </w:rPr>
  </w:style>
  <w:style w:type="paragraph" w:customStyle="1" w:styleId="Heading1cS2">
    <w:name w:val="Heading 1c_S2"/>
    <w:basedOn w:val="Heading1c"/>
    <w:next w:val="NormalS2"/>
    <w:rsid w:val="00686973"/>
    <w:pPr>
      <w:tabs>
        <w:tab w:val="clear" w:pos="567"/>
        <w:tab w:val="clear" w:pos="1134"/>
        <w:tab w:val="clear" w:pos="1701"/>
        <w:tab w:val="clear" w:pos="2268"/>
        <w:tab w:val="clear" w:pos="2835"/>
        <w:tab w:val="left" w:pos="851"/>
      </w:tabs>
      <w:jc w:val="left"/>
    </w:pPr>
    <w:rPr>
      <w:sz w:val="24"/>
    </w:rPr>
  </w:style>
  <w:style w:type="paragraph" w:customStyle="1" w:styleId="FirstFooter">
    <w:name w:val="FirstFooter"/>
    <w:basedOn w:val="Footer"/>
    <w:rsid w:val="003A0B7D"/>
    <w:rPr>
      <w:caps w:val="0"/>
    </w:rPr>
  </w:style>
  <w:style w:type="paragraph" w:customStyle="1" w:styleId="Headingb">
    <w:name w:val="Heading_b"/>
    <w:basedOn w:val="Heading3"/>
    <w:next w:val="Normal"/>
    <w:uiPriority w:val="99"/>
    <w:rsid w:val="003A0B7D"/>
    <w:pPr>
      <w:spacing w:before="160"/>
      <w:outlineLvl w:val="0"/>
    </w:pPr>
  </w:style>
  <w:style w:type="paragraph" w:styleId="TOC9">
    <w:name w:val="toc 9"/>
    <w:basedOn w:val="Normal"/>
    <w:next w:val="Normal"/>
    <w:rsid w:val="003A0B7D"/>
    <w:pPr>
      <w:tabs>
        <w:tab w:val="clear" w:pos="567"/>
        <w:tab w:val="clear" w:pos="1134"/>
        <w:tab w:val="clear" w:pos="1701"/>
        <w:tab w:val="clear" w:pos="2268"/>
        <w:tab w:val="clear" w:pos="2835"/>
        <w:tab w:val="right" w:leader="dot" w:pos="9645"/>
      </w:tabs>
      <w:ind w:left="1920"/>
    </w:pPr>
  </w:style>
  <w:style w:type="paragraph" w:customStyle="1" w:styleId="Headingi">
    <w:name w:val="Heading_i"/>
    <w:basedOn w:val="Heading3"/>
    <w:next w:val="Normal"/>
    <w:rsid w:val="005A4EFD"/>
    <w:pPr>
      <w:spacing w:before="160"/>
      <w:outlineLvl w:val="0"/>
    </w:pPr>
    <w:rPr>
      <w:b w:val="0"/>
      <w:i/>
    </w:rPr>
  </w:style>
  <w:style w:type="paragraph" w:customStyle="1" w:styleId="HeadingbS2">
    <w:name w:val="Headingb_S2"/>
    <w:basedOn w:val="Headingb"/>
    <w:next w:val="NormalS2"/>
    <w:rsid w:val="003A0B7D"/>
    <w:pPr>
      <w:tabs>
        <w:tab w:val="clear" w:pos="567"/>
        <w:tab w:val="clear" w:pos="1134"/>
        <w:tab w:val="clear" w:pos="1701"/>
        <w:tab w:val="clear" w:pos="2268"/>
        <w:tab w:val="clear" w:pos="2835"/>
        <w:tab w:val="left" w:pos="851"/>
      </w:tabs>
    </w:pPr>
  </w:style>
  <w:style w:type="paragraph" w:customStyle="1" w:styleId="HeadingiS2">
    <w:name w:val="Headingi_S2"/>
    <w:basedOn w:val="Headingi"/>
    <w:next w:val="NormalS2"/>
    <w:rsid w:val="003A0B7D"/>
    <w:pPr>
      <w:tabs>
        <w:tab w:val="clear" w:pos="567"/>
        <w:tab w:val="clear" w:pos="1134"/>
        <w:tab w:val="clear" w:pos="1701"/>
        <w:tab w:val="clear" w:pos="2268"/>
        <w:tab w:val="clear" w:pos="2835"/>
        <w:tab w:val="left" w:pos="851"/>
      </w:tabs>
    </w:pPr>
    <w:rPr>
      <w:b/>
      <w:i w:val="0"/>
    </w:rPr>
  </w:style>
  <w:style w:type="paragraph" w:customStyle="1" w:styleId="Heading2iS2">
    <w:name w:val="Heading 2i_S2"/>
    <w:basedOn w:val="Heading2i"/>
    <w:next w:val="NormalS2"/>
    <w:rsid w:val="003A0B7D"/>
    <w:pPr>
      <w:tabs>
        <w:tab w:val="clear" w:pos="567"/>
        <w:tab w:val="clear" w:pos="1134"/>
        <w:tab w:val="clear" w:pos="1701"/>
        <w:tab w:val="clear" w:pos="2268"/>
        <w:tab w:val="clear" w:pos="2835"/>
        <w:tab w:val="left" w:pos="851"/>
      </w:tabs>
    </w:pPr>
    <w:rPr>
      <w:b/>
      <w:i w:val="0"/>
    </w:rPr>
  </w:style>
  <w:style w:type="character" w:styleId="PageNumber">
    <w:name w:val="page number"/>
    <w:basedOn w:val="DefaultParagraphFont"/>
    <w:rsid w:val="005A4EFD"/>
    <w:rPr>
      <w:rFonts w:ascii="Calibri" w:hAnsi="Calibri"/>
    </w:rPr>
  </w:style>
  <w:style w:type="character" w:styleId="Hyperlink">
    <w:name w:val="Hyperlink"/>
    <w:basedOn w:val="DefaultParagraphFont"/>
    <w:uiPriority w:val="99"/>
    <w:rsid w:val="006E699C"/>
    <w:rPr>
      <w:rFonts w:ascii="Calibri" w:hAnsi="Calibri"/>
      <w:color w:val="0070C0"/>
      <w:u w:val="single"/>
    </w:rPr>
  </w:style>
  <w:style w:type="paragraph" w:customStyle="1" w:styleId="firstfooter0">
    <w:name w:val="firstfooter"/>
    <w:basedOn w:val="Normal"/>
    <w:rsid w:val="00966CD3"/>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Normalpv">
    <w:name w:val="Normal pv"/>
    <w:basedOn w:val="Normal"/>
    <w:rsid w:val="003A0B7D"/>
    <w:pPr>
      <w:tabs>
        <w:tab w:val="clear" w:pos="567"/>
        <w:tab w:val="clear" w:pos="1134"/>
        <w:tab w:val="clear" w:pos="1701"/>
        <w:tab w:val="clear" w:pos="2268"/>
        <w:tab w:val="clear" w:pos="2835"/>
        <w:tab w:val="left" w:pos="794"/>
        <w:tab w:val="left" w:pos="1191"/>
        <w:tab w:val="left" w:pos="1588"/>
        <w:tab w:val="left" w:pos="1985"/>
      </w:tabs>
    </w:pPr>
  </w:style>
  <w:style w:type="paragraph" w:customStyle="1" w:styleId="Heading1pv">
    <w:name w:val="Heading 1pv"/>
    <w:basedOn w:val="Heading1"/>
    <w:next w:val="Normalpv"/>
    <w:rsid w:val="003A0B7D"/>
    <w:pPr>
      <w:tabs>
        <w:tab w:val="clear" w:pos="567"/>
        <w:tab w:val="clear" w:pos="1134"/>
        <w:tab w:val="clear" w:pos="1701"/>
        <w:tab w:val="clear" w:pos="2268"/>
        <w:tab w:val="clear" w:pos="2835"/>
        <w:tab w:val="left" w:pos="794"/>
        <w:tab w:val="left" w:pos="1191"/>
        <w:tab w:val="left" w:pos="1588"/>
        <w:tab w:val="left" w:pos="1985"/>
      </w:tabs>
      <w:ind w:left="794" w:hanging="794"/>
    </w:pPr>
  </w:style>
  <w:style w:type="paragraph" w:customStyle="1" w:styleId="Heading2pv">
    <w:name w:val="Heading 2pv"/>
    <w:basedOn w:val="Heading1pv"/>
    <w:next w:val="Normalpv"/>
    <w:rsid w:val="00686973"/>
    <w:pPr>
      <w:spacing w:before="320"/>
      <w:outlineLvl w:val="1"/>
    </w:pPr>
    <w:rPr>
      <w:sz w:val="24"/>
    </w:rPr>
  </w:style>
  <w:style w:type="paragraph" w:customStyle="1" w:styleId="Heading3pv">
    <w:name w:val="Heading 3pv"/>
    <w:basedOn w:val="Heading1pv"/>
    <w:next w:val="Normalpv"/>
    <w:rsid w:val="00686973"/>
    <w:pPr>
      <w:spacing w:before="200"/>
      <w:outlineLvl w:val="2"/>
    </w:pPr>
    <w:rPr>
      <w:sz w:val="24"/>
    </w:rPr>
  </w:style>
  <w:style w:type="paragraph" w:customStyle="1" w:styleId="NormalendS2">
    <w:name w:val="Normal_end_S2"/>
    <w:basedOn w:val="Normal"/>
    <w:qFormat/>
    <w:rsid w:val="006C7AE3"/>
  </w:style>
  <w:style w:type="paragraph" w:customStyle="1" w:styleId="Dectitle">
    <w:name w:val="Dec_title"/>
    <w:basedOn w:val="Restitle"/>
    <w:next w:val="Normalaftertitle"/>
    <w:qFormat/>
    <w:rsid w:val="00C92746"/>
  </w:style>
  <w:style w:type="paragraph" w:customStyle="1" w:styleId="DecNo">
    <w:name w:val="Dec_No"/>
    <w:basedOn w:val="ResNo"/>
    <w:next w:val="Dectitle"/>
    <w:qFormat/>
    <w:rsid w:val="00C92746"/>
  </w:style>
  <w:style w:type="paragraph" w:customStyle="1" w:styleId="DectitleS2">
    <w:name w:val="Dec_title_S2"/>
    <w:basedOn w:val="RestitleS2"/>
    <w:next w:val="Normal"/>
    <w:qFormat/>
    <w:rsid w:val="00C92746"/>
  </w:style>
  <w:style w:type="paragraph" w:customStyle="1" w:styleId="DecNoS2">
    <w:name w:val="Dec_No_S2"/>
    <w:basedOn w:val="ResNoS2"/>
    <w:next w:val="DectitleS2"/>
    <w:qFormat/>
    <w:rsid w:val="00C92746"/>
  </w:style>
  <w:style w:type="paragraph" w:customStyle="1" w:styleId="SectionNo">
    <w:name w:val="Section_No"/>
    <w:basedOn w:val="ArtNo"/>
    <w:next w:val="Normal"/>
    <w:qFormat/>
    <w:rsid w:val="0090735B"/>
    <w:rPr>
      <w:lang w:val="en-GB"/>
    </w:rPr>
  </w:style>
  <w:style w:type="paragraph" w:customStyle="1" w:styleId="SectionNoS2">
    <w:name w:val="Section_No_S2"/>
    <w:basedOn w:val="ArtNoS2"/>
    <w:next w:val="Normal"/>
    <w:qFormat/>
    <w:rsid w:val="0090735B"/>
    <w:rPr>
      <w:lang w:val="en-GB"/>
    </w:rPr>
  </w:style>
  <w:style w:type="paragraph" w:customStyle="1" w:styleId="Sectiontitle">
    <w:name w:val="Section_title"/>
    <w:basedOn w:val="Arttitle"/>
    <w:next w:val="Normalaftertitle"/>
    <w:qFormat/>
    <w:rsid w:val="0090735B"/>
    <w:rPr>
      <w:lang w:val="en-GB"/>
    </w:rPr>
  </w:style>
  <w:style w:type="paragraph" w:customStyle="1" w:styleId="SectiontitleS2">
    <w:name w:val="Section_title_S2"/>
    <w:basedOn w:val="ArttitleS2"/>
    <w:next w:val="Normal"/>
    <w:qFormat/>
    <w:rsid w:val="0090735B"/>
    <w:rPr>
      <w:lang w:val="en-GB"/>
    </w:rPr>
  </w:style>
  <w:style w:type="paragraph" w:customStyle="1" w:styleId="Proposal">
    <w:name w:val="Proposal"/>
    <w:basedOn w:val="Normal"/>
    <w:next w:val="Normal"/>
    <w:rsid w:val="008B61AF"/>
    <w:pPr>
      <w:keepNext/>
      <w:tabs>
        <w:tab w:val="clear" w:pos="567"/>
        <w:tab w:val="clear" w:pos="1701"/>
        <w:tab w:val="clear" w:pos="2268"/>
        <w:tab w:val="clear" w:pos="2835"/>
      </w:tabs>
      <w:spacing w:before="240"/>
    </w:pPr>
    <w:rPr>
      <w:rFonts w:asciiTheme="minorHAnsi" w:hAnsi="Times New Roman Bold"/>
      <w:b/>
    </w:rPr>
  </w:style>
  <w:style w:type="paragraph" w:customStyle="1" w:styleId="Agendaitem">
    <w:name w:val="Agenda_item"/>
    <w:basedOn w:val="Normal"/>
    <w:next w:val="Normal"/>
    <w:qFormat/>
    <w:rsid w:val="00BD1614"/>
    <w:pPr>
      <w:tabs>
        <w:tab w:val="clear" w:pos="567"/>
        <w:tab w:val="clear" w:pos="1701"/>
        <w:tab w:val="clear" w:pos="2835"/>
        <w:tab w:val="left" w:pos="1871"/>
      </w:tabs>
      <w:overflowPunct/>
      <w:autoSpaceDE/>
      <w:autoSpaceDN/>
      <w:adjustRightInd/>
      <w:spacing w:before="240"/>
      <w:jc w:val="center"/>
      <w:textAlignment w:val="auto"/>
    </w:pPr>
    <w:rPr>
      <w:rFonts w:asciiTheme="minorHAnsi" w:hAnsiTheme="minorHAnsi"/>
      <w:sz w:val="28"/>
      <w:lang w:val="fr-CH"/>
    </w:rPr>
  </w:style>
  <w:style w:type="paragraph" w:customStyle="1" w:styleId="Committee">
    <w:name w:val="Committee"/>
    <w:basedOn w:val="Normal"/>
    <w:qFormat/>
    <w:rsid w:val="00BD1614"/>
    <w:pPr>
      <w:framePr w:hSpace="180" w:wrap="around" w:hAnchor="margin" w:y="-675"/>
      <w:tabs>
        <w:tab w:val="clear" w:pos="567"/>
        <w:tab w:val="clear" w:pos="1701"/>
        <w:tab w:val="clear" w:pos="2835"/>
        <w:tab w:val="left" w:pos="1871"/>
      </w:tabs>
      <w:spacing w:before="0" w:after="48" w:line="240" w:lineRule="atLeast"/>
    </w:pPr>
    <w:rPr>
      <w:rFonts w:asciiTheme="minorHAnsi" w:hAnsiTheme="minorHAnsi" w:cstheme="minorHAnsi"/>
      <w:b/>
      <w:szCs w:val="24"/>
      <w:lang w:val="en-US"/>
    </w:rPr>
  </w:style>
  <w:style w:type="character" w:customStyle="1" w:styleId="HeaderChar">
    <w:name w:val="Header Char"/>
    <w:basedOn w:val="DefaultParagraphFont"/>
    <w:link w:val="Header"/>
    <w:rsid w:val="00BD1614"/>
    <w:rPr>
      <w:rFonts w:ascii="Calibri" w:hAnsi="Calibri"/>
      <w:sz w:val="18"/>
      <w:lang w:val="fr-FR" w:eastAsia="en-US"/>
    </w:rPr>
  </w:style>
  <w:style w:type="paragraph" w:styleId="BalloonText">
    <w:name w:val="Balloon Text"/>
    <w:basedOn w:val="Normal"/>
    <w:link w:val="BalloonTextChar"/>
    <w:rsid w:val="00AE0667"/>
    <w:pPr>
      <w:spacing w:before="0"/>
    </w:pPr>
    <w:rPr>
      <w:rFonts w:ascii="Tahoma" w:hAnsi="Tahoma" w:cs="Tahoma"/>
      <w:sz w:val="16"/>
      <w:szCs w:val="16"/>
    </w:rPr>
  </w:style>
  <w:style w:type="character" w:customStyle="1" w:styleId="BalloonTextChar">
    <w:name w:val="Balloon Text Char"/>
    <w:basedOn w:val="DefaultParagraphFont"/>
    <w:link w:val="BalloonText"/>
    <w:rsid w:val="00AE0667"/>
    <w:rPr>
      <w:rFonts w:ascii="Tahoma" w:hAnsi="Tahoma" w:cs="Tahoma"/>
      <w:sz w:val="16"/>
      <w:szCs w:val="16"/>
      <w:lang w:val="fr-FR" w:eastAsia="en-US"/>
    </w:rPr>
  </w:style>
  <w:style w:type="paragraph" w:customStyle="1" w:styleId="OP">
    <w:name w:val="OP"/>
    <w:basedOn w:val="Normal"/>
    <w:next w:val="Normal"/>
    <w:qFormat/>
    <w:rsid w:val="00D5658F"/>
    <w:pPr>
      <w:pageBreakBefore/>
      <w:tabs>
        <w:tab w:val="clear" w:pos="1134"/>
        <w:tab w:val="clear" w:pos="2268"/>
        <w:tab w:val="right" w:pos="567"/>
        <w:tab w:val="left" w:pos="794"/>
        <w:tab w:val="left" w:pos="1191"/>
        <w:tab w:val="left" w:pos="1588"/>
        <w:tab w:val="left" w:pos="1985"/>
      </w:tabs>
      <w:spacing w:before="240" w:after="240" w:line="480" w:lineRule="atLeast"/>
      <w:jc w:val="center"/>
    </w:pPr>
    <w:rPr>
      <w:b/>
      <w:sz w:val="32"/>
      <w:lang w:val="en-GB"/>
    </w:rPr>
  </w:style>
  <w:style w:type="paragraph" w:customStyle="1" w:styleId="OPtitle">
    <w:name w:val="OP_title"/>
    <w:basedOn w:val="Normal"/>
    <w:next w:val="Normalaftertitle"/>
    <w:qFormat/>
    <w:rsid w:val="00D5658F"/>
    <w:pPr>
      <w:jc w:val="center"/>
    </w:pPr>
    <w:rPr>
      <w:b/>
      <w:bCs/>
      <w:lang w:val="en-GB"/>
    </w:rPr>
  </w:style>
  <w:style w:type="paragraph" w:customStyle="1" w:styleId="VolumeTitle">
    <w:name w:val="VolumeTitle"/>
    <w:basedOn w:val="Normal"/>
    <w:next w:val="Normal"/>
    <w:rsid w:val="00270B2F"/>
    <w:pPr>
      <w:tabs>
        <w:tab w:val="clear" w:pos="567"/>
        <w:tab w:val="clear" w:pos="1134"/>
        <w:tab w:val="clear" w:pos="1701"/>
        <w:tab w:val="clear" w:pos="2268"/>
        <w:tab w:val="clear" w:pos="2835"/>
      </w:tabs>
      <w:overflowPunct/>
      <w:autoSpaceDE/>
      <w:autoSpaceDN/>
      <w:adjustRightInd/>
      <w:spacing w:before="240" w:after="240"/>
      <w:jc w:val="center"/>
      <w:textAlignment w:val="auto"/>
    </w:pPr>
    <w:rPr>
      <w:rFonts w:asciiTheme="minorHAnsi" w:eastAsiaTheme="minorEastAsia" w:hAnsiTheme="minorHAnsi" w:cstheme="minorBidi"/>
      <w:b/>
      <w:bCs/>
      <w:caps/>
      <w:sz w:val="32"/>
      <w:szCs w:val="32"/>
      <w:lang w:val="en-US" w:eastAsia="zh-CN"/>
    </w:rPr>
  </w:style>
  <w:style w:type="character" w:customStyle="1" w:styleId="href">
    <w:name w:val="href"/>
    <w:basedOn w:val="DefaultParagraphFont"/>
    <w:rsid w:val="006710E6"/>
    <w:rPr>
      <w:color w:val="auto"/>
    </w:rPr>
  </w:style>
  <w:style w:type="character" w:styleId="UnresolvedMention">
    <w:name w:val="Unresolved Mention"/>
    <w:basedOn w:val="DefaultParagraphFont"/>
    <w:uiPriority w:val="99"/>
    <w:semiHidden/>
    <w:unhideWhenUsed/>
    <w:rsid w:val="007575CC"/>
    <w:rPr>
      <w:color w:val="605E5C"/>
      <w:shd w:val="clear" w:color="auto" w:fill="E1DFDD"/>
    </w:rPr>
  </w:style>
  <w:style w:type="character" w:styleId="FollowedHyperlink">
    <w:name w:val="FollowedHyperlink"/>
    <w:basedOn w:val="DefaultParagraphFont"/>
    <w:semiHidden/>
    <w:unhideWhenUsed/>
    <w:rsid w:val="00901E77"/>
    <w:rPr>
      <w:color w:val="800080" w:themeColor="followedHyperlink"/>
      <w:u w:val="single"/>
    </w:rPr>
  </w:style>
  <w:style w:type="paragraph" w:styleId="ListNumber">
    <w:name w:val="List Number"/>
    <w:basedOn w:val="Normal"/>
    <w:rsid w:val="00463A44"/>
    <w:pPr>
      <w:numPr>
        <w:numId w:val="1"/>
      </w:numPr>
      <w:contextualSpacing/>
    </w:pPr>
  </w:style>
  <w:style w:type="paragraph" w:styleId="Revision">
    <w:name w:val="Revision"/>
    <w:hidden/>
    <w:uiPriority w:val="99"/>
    <w:semiHidden/>
    <w:rsid w:val="00452B11"/>
    <w:rPr>
      <w:rFonts w:ascii="Calibri" w:hAnsi="Calibri"/>
      <w:sz w:val="24"/>
      <w:lang w:val="fr-FR" w:eastAsia="en-US"/>
    </w:rPr>
  </w:style>
  <w:style w:type="paragraph" w:customStyle="1" w:styleId="Tablefin">
    <w:name w:val="Table_fin"/>
    <w:basedOn w:val="Tabletext"/>
    <w:rsid w:val="00B82ADA"/>
    <w:pPr>
      <w:spacing w:before="0"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91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tu.int/md/S26-PP-C-00XX/en" TargetMode="External"/><Relationship Id="rId2" Type="http://schemas.openxmlformats.org/officeDocument/2006/relationships/numbering" Target="numbering.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hyperlink" Target="https://www.itu.int/md/S26-PP-C-0032/f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itu.int/md/S26-PP-C-00XX/en" TargetMode="External"/><Relationship Id="rId4" Type="http://schemas.openxmlformats.org/officeDocument/2006/relationships/settings" Target="settings.xml"/><Relationship Id="rId9" Type="http://schemas.openxmlformats.org/officeDocument/2006/relationships/hyperlink" Target="https://www.itu.int/md/S26-PP-C-0032/fr"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pp26.itu.int/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1525</Words>
  <Characters>9736</Characters>
  <Application>Microsoft Office Word</Application>
  <DocSecurity>0</DocSecurity>
  <Lines>256</Lines>
  <Paragraphs>87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11174</CharactersWithSpaces>
  <SharedDoc>false</SharedDoc>
  <HyperlinkBase/>
  <HLinks>
    <vt:vector size="6" baseType="variant">
      <vt:variant>
        <vt:i4>4194374</vt:i4>
      </vt:variant>
      <vt:variant>
        <vt:i4>15</vt:i4>
      </vt:variant>
      <vt:variant>
        <vt:i4>0</vt:i4>
      </vt:variant>
      <vt:variant>
        <vt:i4>5</vt:i4>
      </vt:variant>
      <vt:variant>
        <vt:lpwstr>http://www.itu.int/plenipotentiary/index.html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stratégique et plan financier de l'UIT pour la période 2028-2031</dc:title>
  <dc:subject>ITU Plenipotentiary Conference (PP-26)</dc:subject>
  <cp:keywords>PP-26, PP26, ITU</cp:keywords>
  <dc:description/>
  <dcterms:created xsi:type="dcterms:W3CDTF">2026-08-27T13:00:00Z</dcterms:created>
  <dcterms:modified xsi:type="dcterms:W3CDTF">2026-08-27T16:05:00Z</dcterms:modified>
  <cp:category>Conference document</cp:category>
</cp:coreProperties>
</file>