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horzAnchor="margin" w:tblpXSpec="center" w:tblpY="-674"/>
        <w:tblW w:w="10031" w:type="dxa"/>
        <w:tblLayout w:type="fixed"/>
        <w:tblLook w:val="0000" w:firstRow="0" w:lastRow="0" w:firstColumn="0" w:lastColumn="0" w:noHBand="0" w:noVBand="0"/>
      </w:tblPr>
      <w:tblGrid>
        <w:gridCol w:w="7230"/>
        <w:gridCol w:w="2801"/>
      </w:tblGrid>
      <w:tr w:rsidR="00161CDA" w14:paraId="51EB7602" w14:textId="77777777" w:rsidTr="004D7CC5">
        <w:trPr>
          <w:cantSplit/>
          <w:trHeight w:hRule="exact" w:val="1417"/>
        </w:trPr>
        <w:tc>
          <w:tcPr>
            <w:tcW w:w="10031" w:type="dxa"/>
            <w:gridSpan w:val="2"/>
            <w:tcMar>
              <w:left w:w="0" w:type="dxa"/>
              <w:right w:w="0" w:type="dxa"/>
            </w:tcMar>
            <w:vAlign w:val="center"/>
          </w:tcPr>
          <w:p w14:paraId="39CB93A2" w14:textId="77777777" w:rsidR="00161CDA" w:rsidRPr="00D96B4B" w:rsidRDefault="003038E3" w:rsidP="003038E3">
            <w:pPr>
              <w:spacing w:before="0" w:line="240" w:lineRule="atLeast"/>
              <w:rPr>
                <w:rFonts w:cstheme="minorHAnsi"/>
              </w:rPr>
            </w:pPr>
            <w:r>
              <w:rPr>
                <w:rFonts w:cstheme="minorHAnsi"/>
                <w:noProof/>
              </w:rPr>
              <w:drawing>
                <wp:anchor distT="0" distB="0" distL="0" distR="0" simplePos="0" relativeHeight="251658240" behindDoc="1" locked="0" layoutInCell="1" allowOverlap="1" wp14:anchorId="12F0D94A" wp14:editId="6AA9C97E">
                  <wp:simplePos x="0" y="0"/>
                  <wp:positionH relativeFrom="column">
                    <wp:posOffset>428</wp:posOffset>
                  </wp:positionH>
                  <wp:positionV relativeFrom="paragraph">
                    <wp:posOffset>24603</wp:posOffset>
                  </wp:positionV>
                  <wp:extent cx="6660000" cy="972000"/>
                  <wp:effectExtent l="0" t="0" r="0" b="0"/>
                  <wp:wrapTight wrapText="bothSides">
                    <wp:wrapPolygon edited="0">
                      <wp:start x="0" y="0"/>
                      <wp:lineTo x="0" y="21176"/>
                      <wp:lineTo x="21501" y="21176"/>
                      <wp:lineTo x="21501" y="0"/>
                      <wp:lineTo x="0" y="0"/>
                    </wp:wrapPolygon>
                  </wp:wrapTight>
                  <wp:docPr id="681229414" name="Picture 1" descr="A close-up of a da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229414" name="Picture 1" descr="A close-up of a date&#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6660000" cy="972000"/>
                          </a:xfrm>
                          <a:prstGeom prst="rect">
                            <a:avLst/>
                          </a:prstGeom>
                        </pic:spPr>
                      </pic:pic>
                    </a:graphicData>
                  </a:graphic>
                  <wp14:sizeRelH relativeFrom="margin">
                    <wp14:pctWidth>0</wp14:pctWidth>
                  </wp14:sizeRelH>
                  <wp14:sizeRelV relativeFrom="margin">
                    <wp14:pctHeight>0</wp14:pctHeight>
                  </wp14:sizeRelV>
                </wp:anchor>
              </w:drawing>
            </w:r>
          </w:p>
        </w:tc>
      </w:tr>
      <w:tr w:rsidR="00EF3B7A" w:rsidRPr="00617BE4" w14:paraId="141525A7" w14:textId="77777777" w:rsidTr="004D7CC5">
        <w:trPr>
          <w:cantSplit/>
          <w:trHeight w:val="283"/>
        </w:trPr>
        <w:tc>
          <w:tcPr>
            <w:tcW w:w="10031" w:type="dxa"/>
            <w:gridSpan w:val="2"/>
            <w:tcBorders>
              <w:bottom w:val="single" w:sz="12" w:space="0" w:color="71716F"/>
            </w:tcBorders>
          </w:tcPr>
          <w:p w14:paraId="511B017E" w14:textId="77777777" w:rsidR="00EF3B7A" w:rsidRPr="00D96B4B" w:rsidRDefault="00EF3B7A" w:rsidP="003038E3">
            <w:pPr>
              <w:spacing w:before="0"/>
              <w:rPr>
                <w:rFonts w:cstheme="minorHAnsi"/>
                <w:szCs w:val="24"/>
              </w:rPr>
            </w:pPr>
            <w:bookmarkStart w:id="0" w:name="ditulogo"/>
            <w:bookmarkStart w:id="1" w:name="dhead"/>
            <w:bookmarkEnd w:id="0"/>
          </w:p>
        </w:tc>
      </w:tr>
      <w:tr w:rsidR="001A16ED" w:rsidRPr="00C324A8" w14:paraId="1916E1F3" w14:textId="77777777" w:rsidTr="004D7CC5">
        <w:trPr>
          <w:cantSplit/>
          <w:trHeight w:val="255"/>
        </w:trPr>
        <w:tc>
          <w:tcPr>
            <w:tcW w:w="7230" w:type="dxa"/>
            <w:tcBorders>
              <w:top w:val="single" w:sz="12" w:space="0" w:color="71716F"/>
            </w:tcBorders>
          </w:tcPr>
          <w:p w14:paraId="0A523A35" w14:textId="77777777" w:rsidR="001A16ED" w:rsidRPr="00D96B4B" w:rsidRDefault="001A16ED" w:rsidP="003038E3">
            <w:pPr>
              <w:spacing w:before="0"/>
              <w:rPr>
                <w:rFonts w:cstheme="minorHAnsi"/>
                <w:b/>
                <w:smallCaps/>
                <w:sz w:val="20"/>
              </w:rPr>
            </w:pPr>
          </w:p>
        </w:tc>
        <w:tc>
          <w:tcPr>
            <w:tcW w:w="2801" w:type="dxa"/>
            <w:tcBorders>
              <w:top w:val="single" w:sz="12" w:space="0" w:color="71716F"/>
            </w:tcBorders>
            <w:tcMar>
              <w:right w:w="0" w:type="dxa"/>
            </w:tcMar>
          </w:tcPr>
          <w:p w14:paraId="0F8FC21F" w14:textId="77777777" w:rsidR="001A16ED" w:rsidRPr="00D96B4B" w:rsidRDefault="001A16ED" w:rsidP="003038E3">
            <w:pPr>
              <w:spacing w:before="0"/>
              <w:rPr>
                <w:rFonts w:cstheme="minorHAnsi"/>
                <w:sz w:val="20"/>
              </w:rPr>
            </w:pPr>
          </w:p>
        </w:tc>
      </w:tr>
      <w:tr w:rsidR="001A16ED" w:rsidRPr="00C324A8" w14:paraId="538D9A74" w14:textId="77777777" w:rsidTr="004D7CC5">
        <w:trPr>
          <w:cantSplit/>
          <w:trHeight w:val="23"/>
        </w:trPr>
        <w:tc>
          <w:tcPr>
            <w:tcW w:w="7230" w:type="dxa"/>
          </w:tcPr>
          <w:p w14:paraId="1DE6F415" w14:textId="77777777" w:rsidR="001A16ED" w:rsidRPr="00D96B4B" w:rsidRDefault="0044665A" w:rsidP="003038E3">
            <w:pPr>
              <w:pStyle w:val="Committee"/>
              <w:spacing w:after="0"/>
            </w:pPr>
            <w:bookmarkStart w:id="2" w:name="dnum" w:colFirst="1" w:colLast="1"/>
            <w:bookmarkStart w:id="3" w:name="dmeeting" w:colFirst="0" w:colLast="0"/>
            <w:bookmarkEnd w:id="1"/>
            <w:r>
              <w:t>PLENARY MEETING</w:t>
            </w:r>
          </w:p>
        </w:tc>
        <w:tc>
          <w:tcPr>
            <w:tcW w:w="2801" w:type="dxa"/>
            <w:tcMar>
              <w:right w:w="0" w:type="dxa"/>
            </w:tcMar>
          </w:tcPr>
          <w:p w14:paraId="402E8413" w14:textId="5100E611" w:rsidR="001A16ED" w:rsidRPr="00F44B1A" w:rsidRDefault="0044665A" w:rsidP="00AA6D0C">
            <w:pPr>
              <w:pStyle w:val="Data"/>
              <w:framePr w:hSpace="0" w:wrap="auto" w:hAnchor="text" w:xAlign="left" w:yAlign="inline"/>
            </w:pPr>
            <w:r>
              <w:t xml:space="preserve">Document </w:t>
            </w:r>
            <w:r w:rsidR="009F3168">
              <w:t>33</w:t>
            </w:r>
            <w:r>
              <w:t>-E</w:t>
            </w:r>
          </w:p>
        </w:tc>
      </w:tr>
      <w:tr w:rsidR="001A16ED" w:rsidRPr="00C324A8" w14:paraId="5BEC8C22" w14:textId="77777777" w:rsidTr="004D7CC5">
        <w:trPr>
          <w:cantSplit/>
          <w:trHeight w:val="23"/>
        </w:trPr>
        <w:tc>
          <w:tcPr>
            <w:tcW w:w="7230" w:type="dxa"/>
          </w:tcPr>
          <w:p w14:paraId="7A6B2DE7" w14:textId="77777777" w:rsidR="001A16ED" w:rsidRPr="00841AB4" w:rsidRDefault="001A16ED" w:rsidP="003038E3">
            <w:pPr>
              <w:tabs>
                <w:tab w:val="left" w:pos="851"/>
              </w:tabs>
              <w:spacing w:before="0"/>
              <w:rPr>
                <w:rFonts w:asciiTheme="minorHAnsi" w:hAnsiTheme="minorHAnsi" w:cstheme="minorHAnsi"/>
                <w:b/>
                <w:szCs w:val="24"/>
              </w:rPr>
            </w:pPr>
            <w:bookmarkStart w:id="4" w:name="ddate" w:colFirst="1" w:colLast="1"/>
            <w:bookmarkStart w:id="5" w:name="dblank" w:colFirst="0" w:colLast="0"/>
            <w:bookmarkEnd w:id="2"/>
            <w:bookmarkEnd w:id="3"/>
          </w:p>
        </w:tc>
        <w:tc>
          <w:tcPr>
            <w:tcW w:w="2801" w:type="dxa"/>
            <w:tcMar>
              <w:right w:w="0" w:type="dxa"/>
            </w:tcMar>
          </w:tcPr>
          <w:p w14:paraId="7CCCE7FB" w14:textId="1072E7D7" w:rsidR="001A16ED" w:rsidRPr="00D96B4B" w:rsidRDefault="00DE473B" w:rsidP="005E7454">
            <w:pPr>
              <w:pStyle w:val="Data"/>
              <w:framePr w:hSpace="0" w:wrap="auto" w:hAnchor="text" w:xAlign="left" w:yAlign="inline"/>
            </w:pPr>
            <w:r>
              <w:t>5 August</w:t>
            </w:r>
            <w:r w:rsidR="000128EF">
              <w:t xml:space="preserve"> 2026</w:t>
            </w:r>
          </w:p>
        </w:tc>
      </w:tr>
      <w:tr w:rsidR="001A16ED" w:rsidRPr="00C324A8" w14:paraId="0D205191" w14:textId="77777777" w:rsidTr="004D7CC5">
        <w:trPr>
          <w:cantSplit/>
          <w:trHeight w:val="23"/>
        </w:trPr>
        <w:tc>
          <w:tcPr>
            <w:tcW w:w="7230" w:type="dxa"/>
          </w:tcPr>
          <w:p w14:paraId="1CC8C93F" w14:textId="77777777" w:rsidR="001A16ED" w:rsidRPr="00D96B4B" w:rsidRDefault="001A16ED" w:rsidP="003038E3">
            <w:pPr>
              <w:tabs>
                <w:tab w:val="left" w:pos="851"/>
              </w:tabs>
              <w:spacing w:before="0"/>
              <w:rPr>
                <w:rFonts w:cstheme="minorHAnsi"/>
                <w:szCs w:val="24"/>
              </w:rPr>
            </w:pPr>
            <w:bookmarkStart w:id="6" w:name="dbluepink" w:colFirst="0" w:colLast="0"/>
            <w:bookmarkStart w:id="7" w:name="dorlang" w:colFirst="1" w:colLast="1"/>
            <w:bookmarkEnd w:id="4"/>
            <w:bookmarkEnd w:id="5"/>
          </w:p>
        </w:tc>
        <w:tc>
          <w:tcPr>
            <w:tcW w:w="2801" w:type="dxa"/>
            <w:tcMar>
              <w:right w:w="0" w:type="dxa"/>
            </w:tcMar>
          </w:tcPr>
          <w:p w14:paraId="5DDD4802" w14:textId="77777777" w:rsidR="001A16ED" w:rsidRPr="00D96B4B" w:rsidRDefault="0044665A" w:rsidP="005E7454">
            <w:pPr>
              <w:pStyle w:val="Data"/>
              <w:framePr w:hSpace="0" w:wrap="auto" w:hAnchor="text" w:xAlign="left" w:yAlign="inline"/>
            </w:pPr>
            <w:r>
              <w:t>Original: English</w:t>
            </w:r>
          </w:p>
        </w:tc>
      </w:tr>
      <w:tr w:rsidR="001A16ED" w:rsidRPr="00C324A8" w14:paraId="2C62D559" w14:textId="77777777" w:rsidTr="004D7CC5">
        <w:trPr>
          <w:cantSplit/>
          <w:trHeight w:val="23"/>
        </w:trPr>
        <w:tc>
          <w:tcPr>
            <w:tcW w:w="10031" w:type="dxa"/>
            <w:gridSpan w:val="2"/>
          </w:tcPr>
          <w:p w14:paraId="2BE5DD2D" w14:textId="77777777" w:rsidR="001A16ED" w:rsidRPr="00D96B4B" w:rsidRDefault="001A16ED" w:rsidP="003038E3">
            <w:pPr>
              <w:tabs>
                <w:tab w:val="left" w:pos="993"/>
              </w:tabs>
              <w:rPr>
                <w:rFonts w:ascii="Verdana" w:hAnsi="Verdana"/>
                <w:b/>
                <w:szCs w:val="24"/>
              </w:rPr>
            </w:pPr>
          </w:p>
        </w:tc>
      </w:tr>
      <w:tr w:rsidR="001A16ED" w:rsidRPr="00C324A8" w14:paraId="131270D7" w14:textId="77777777" w:rsidTr="004D7CC5">
        <w:trPr>
          <w:cantSplit/>
          <w:trHeight w:val="23"/>
        </w:trPr>
        <w:tc>
          <w:tcPr>
            <w:tcW w:w="10031" w:type="dxa"/>
            <w:gridSpan w:val="2"/>
          </w:tcPr>
          <w:p w14:paraId="669F948A" w14:textId="0AF3DB32" w:rsidR="001A16ED" w:rsidRDefault="00C86AAA" w:rsidP="003038E3">
            <w:pPr>
              <w:pStyle w:val="Source"/>
            </w:pPr>
            <w:r>
              <w:t>Report by the Secretary-General</w:t>
            </w:r>
          </w:p>
        </w:tc>
      </w:tr>
      <w:tr w:rsidR="001A16ED" w:rsidRPr="00C324A8" w14:paraId="4C638A95" w14:textId="77777777" w:rsidTr="004D7CC5">
        <w:trPr>
          <w:cantSplit/>
          <w:trHeight w:val="23"/>
        </w:trPr>
        <w:tc>
          <w:tcPr>
            <w:tcW w:w="10031" w:type="dxa"/>
            <w:gridSpan w:val="2"/>
          </w:tcPr>
          <w:p w14:paraId="457FA180" w14:textId="4A2783EA" w:rsidR="001A16ED" w:rsidRDefault="00EB1757" w:rsidP="003038E3">
            <w:pPr>
              <w:pStyle w:val="Title1"/>
            </w:pPr>
            <w:r w:rsidRPr="00C86AAA">
              <w:rPr>
                <w:caps w:val="0"/>
              </w:rPr>
              <w:t>ITU STRATEGIC AND FINANCIAL PLANS 2028-2031</w:t>
            </w:r>
          </w:p>
        </w:tc>
      </w:tr>
      <w:tr w:rsidR="001A16ED" w:rsidRPr="00C324A8" w14:paraId="1F936D88" w14:textId="77777777" w:rsidTr="004D7CC5">
        <w:trPr>
          <w:cantSplit/>
          <w:trHeight w:val="23"/>
        </w:trPr>
        <w:tc>
          <w:tcPr>
            <w:tcW w:w="10031" w:type="dxa"/>
            <w:gridSpan w:val="2"/>
          </w:tcPr>
          <w:p w14:paraId="21C8633A" w14:textId="200F423C" w:rsidR="001A16ED" w:rsidRDefault="001A16ED" w:rsidP="003038E3">
            <w:pPr>
              <w:pStyle w:val="Title2"/>
            </w:pPr>
          </w:p>
        </w:tc>
      </w:tr>
      <w:tr w:rsidR="001A16ED" w:rsidRPr="00C324A8" w14:paraId="56950F8E" w14:textId="77777777" w:rsidTr="004D7CC5">
        <w:trPr>
          <w:cantSplit/>
          <w:trHeight w:val="23"/>
        </w:trPr>
        <w:tc>
          <w:tcPr>
            <w:tcW w:w="10031" w:type="dxa"/>
            <w:gridSpan w:val="2"/>
          </w:tcPr>
          <w:p w14:paraId="75DDBC7D" w14:textId="77777777" w:rsidR="001A16ED" w:rsidRPr="005C5824" w:rsidRDefault="001A16ED" w:rsidP="003038E3">
            <w:pPr>
              <w:pStyle w:val="Agendaitem"/>
              <w:rPr>
                <w:lang w:val="en-GB"/>
              </w:rPr>
            </w:pPr>
          </w:p>
        </w:tc>
      </w:tr>
      <w:bookmarkEnd w:id="6"/>
      <w:bookmarkEnd w:id="7"/>
    </w:tbl>
    <w:p w14:paraId="2F829613" w14:textId="77777777" w:rsidR="001A16ED" w:rsidRDefault="001A16ED" w:rsidP="00AB2D04"/>
    <w:p w14:paraId="5F2D155E" w14:textId="77777777" w:rsidR="00C86AAA" w:rsidRPr="00D21C12" w:rsidRDefault="00C86AAA" w:rsidP="00C86AAA">
      <w:pPr>
        <w:pStyle w:val="Title2"/>
        <w:jc w:val="left"/>
        <w:rPr>
          <w:rFonts w:asciiTheme="minorHAnsi" w:hAnsiTheme="minorHAnsi" w:cstheme="minorHAnsi"/>
          <w:caps w:val="0"/>
          <w:sz w:val="24"/>
          <w:szCs w:val="24"/>
        </w:rPr>
      </w:pPr>
    </w:p>
    <w:tbl>
      <w:tblPr>
        <w:tblW w:w="8080"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80"/>
      </w:tblGrid>
      <w:tr w:rsidR="00C86AAA" w:rsidRPr="00D21C12" w14:paraId="50BC2857" w14:textId="77777777" w:rsidTr="00C86AAA">
        <w:trPr>
          <w:cantSplit/>
        </w:trPr>
        <w:tc>
          <w:tcPr>
            <w:tcW w:w="8080" w:type="dxa"/>
            <w:tcBorders>
              <w:top w:val="single" w:sz="12" w:space="0" w:color="auto"/>
              <w:left w:val="single" w:sz="12" w:space="0" w:color="auto"/>
              <w:bottom w:val="single" w:sz="12" w:space="0" w:color="auto"/>
              <w:right w:val="single" w:sz="12" w:space="0" w:color="auto"/>
            </w:tcBorders>
          </w:tcPr>
          <w:p w14:paraId="5F99A418" w14:textId="77777777" w:rsidR="00C86AAA" w:rsidRPr="00C86AAA" w:rsidRDefault="00C86AAA" w:rsidP="00C86AAA">
            <w:pPr>
              <w:pStyle w:val="Headingb"/>
              <w:spacing w:before="120"/>
              <w:rPr>
                <w:rFonts w:asciiTheme="minorHAnsi" w:hAnsiTheme="minorHAnsi" w:cstheme="minorHAnsi"/>
                <w:bCs/>
                <w:szCs w:val="24"/>
              </w:rPr>
            </w:pPr>
            <w:bookmarkStart w:id="8" w:name="_Toc305764050"/>
            <w:r w:rsidRPr="00C86AAA">
              <w:rPr>
                <w:rFonts w:asciiTheme="minorHAnsi" w:hAnsiTheme="minorHAnsi" w:cstheme="minorHAnsi"/>
                <w:bCs/>
                <w:szCs w:val="24"/>
              </w:rPr>
              <w:t>Summary</w:t>
            </w:r>
            <w:bookmarkEnd w:id="8"/>
          </w:p>
          <w:p w14:paraId="24390A9B" w14:textId="411B47FA" w:rsidR="00C86AAA" w:rsidRPr="0008540E" w:rsidRDefault="00C86AAA" w:rsidP="00C86AAA">
            <w:pPr>
              <w:jc w:val="both"/>
            </w:pPr>
            <w:r>
              <w:t xml:space="preserve">This report presents, for consideration by the 2026 Plenipotentiary Conference, the results of the </w:t>
            </w:r>
            <w:r w:rsidR="009B1F66">
              <w:t>s</w:t>
            </w:r>
            <w:r>
              <w:t>ecretariat’s work to refine selected proposed targets and their associated indicators, following the request made by the 2026 session of the Council.</w:t>
            </w:r>
          </w:p>
          <w:p w14:paraId="52FD9C3F" w14:textId="77777777" w:rsidR="00C86AAA" w:rsidRPr="00C86AAA" w:rsidRDefault="00C86AAA" w:rsidP="00C86AAA">
            <w:pPr>
              <w:pStyle w:val="Headingb"/>
              <w:spacing w:before="120"/>
              <w:rPr>
                <w:rFonts w:asciiTheme="minorHAnsi" w:hAnsiTheme="minorHAnsi" w:cstheme="minorHAnsi"/>
                <w:bCs/>
                <w:szCs w:val="24"/>
              </w:rPr>
            </w:pPr>
            <w:bookmarkStart w:id="9" w:name="_Toc305764051"/>
            <w:r w:rsidRPr="00C86AAA">
              <w:rPr>
                <w:rFonts w:asciiTheme="minorHAnsi" w:hAnsiTheme="minorHAnsi" w:cstheme="minorHAnsi"/>
                <w:bCs/>
                <w:szCs w:val="24"/>
              </w:rPr>
              <w:t>Action required</w:t>
            </w:r>
            <w:bookmarkEnd w:id="9"/>
          </w:p>
          <w:p w14:paraId="0BD3A060" w14:textId="12111DC3" w:rsidR="00C86AAA" w:rsidRPr="00C86AAA" w:rsidRDefault="00C86AAA" w:rsidP="00C86AAA">
            <w:pPr>
              <w:spacing w:after="120"/>
            </w:pPr>
            <w:r>
              <w:t xml:space="preserve">The Plenipotentiary Conference is invited to </w:t>
            </w:r>
            <w:r w:rsidRPr="009B1F66">
              <w:rPr>
                <w:b/>
                <w:bCs/>
              </w:rPr>
              <w:t>consider</w:t>
            </w:r>
            <w:r>
              <w:t xml:space="preserve"> this report, together with </w:t>
            </w:r>
            <w:r w:rsidRPr="009B1F66">
              <w:t xml:space="preserve">Document </w:t>
            </w:r>
            <w:hyperlink r:id="rId12" w:history="1">
              <w:r w:rsidR="00FD7D56" w:rsidRPr="009B1F66">
                <w:rPr>
                  <w:rStyle w:val="Hyperlink"/>
                </w:rPr>
                <w:t>32</w:t>
              </w:r>
            </w:hyperlink>
            <w:r w:rsidRPr="009B1F66">
              <w:t>.</w:t>
            </w:r>
          </w:p>
        </w:tc>
      </w:tr>
    </w:tbl>
    <w:p w14:paraId="5D64648D" w14:textId="77777777" w:rsidR="00C86AAA" w:rsidRPr="00D21C12" w:rsidRDefault="00C86AAA" w:rsidP="00C86AAA">
      <w:pPr>
        <w:pStyle w:val="Title3"/>
        <w:jc w:val="left"/>
        <w:rPr>
          <w:rFonts w:asciiTheme="minorHAnsi" w:hAnsiTheme="minorHAnsi" w:cstheme="minorHAnsi"/>
          <w:sz w:val="24"/>
          <w:szCs w:val="24"/>
        </w:rPr>
      </w:pPr>
    </w:p>
    <w:p w14:paraId="1C861700" w14:textId="77777777" w:rsidR="00C86AAA" w:rsidRDefault="00C86AAA" w:rsidP="00C86AAA"/>
    <w:p w14:paraId="3FC4286D" w14:textId="77777777" w:rsidR="0008540E" w:rsidRDefault="001A16ED" w:rsidP="00004F8B">
      <w:r>
        <w:br w:type="page"/>
      </w:r>
    </w:p>
    <w:p w14:paraId="4B8F429F" w14:textId="2EC9D814" w:rsidR="00C86AAA" w:rsidRPr="0008540E" w:rsidRDefault="00C86AAA" w:rsidP="00EB1757">
      <w:pPr>
        <w:jc w:val="both"/>
      </w:pPr>
      <w:r>
        <w:lastRenderedPageBreak/>
        <w:t>This report is submitted to the 2026 Plenipotentiary Conference (PP-26) for its consideration, following the request made by the Council at its</w:t>
      </w:r>
      <w:r w:rsidRPr="00AA3D27">
        <w:rPr>
          <w:rFonts w:asciiTheme="minorHAnsi" w:hAnsiTheme="minorHAnsi" w:cstheme="minorHAnsi"/>
          <w:szCs w:val="24"/>
        </w:rPr>
        <w:t xml:space="preserve"> 2026 </w:t>
      </w:r>
      <w:r>
        <w:t>session for</w:t>
      </w:r>
      <w:r w:rsidRPr="00AA3D27">
        <w:rPr>
          <w:rFonts w:asciiTheme="minorHAnsi" w:hAnsiTheme="minorHAnsi" w:cstheme="minorHAnsi"/>
          <w:szCs w:val="24"/>
        </w:rPr>
        <w:t xml:space="preserve"> the </w:t>
      </w:r>
      <w:r w:rsidR="009B1F66">
        <w:rPr>
          <w:rFonts w:asciiTheme="minorHAnsi" w:hAnsiTheme="minorHAnsi" w:cstheme="minorHAnsi"/>
          <w:szCs w:val="24"/>
        </w:rPr>
        <w:t>s</w:t>
      </w:r>
      <w:r w:rsidRPr="00AA3D27">
        <w:rPr>
          <w:rFonts w:asciiTheme="minorHAnsi" w:hAnsiTheme="minorHAnsi" w:cstheme="minorHAnsi"/>
          <w:szCs w:val="24"/>
        </w:rPr>
        <w:t xml:space="preserve">ecretariat </w:t>
      </w:r>
      <w:r>
        <w:t xml:space="preserve">to </w:t>
      </w:r>
      <w:r w:rsidRPr="00AA3D27">
        <w:rPr>
          <w:rFonts w:asciiTheme="minorHAnsi" w:hAnsiTheme="minorHAnsi" w:cstheme="minorHAnsi"/>
          <w:szCs w:val="24"/>
        </w:rPr>
        <w:t xml:space="preserve">further </w:t>
      </w:r>
      <w:r>
        <w:t>consider</w:t>
      </w:r>
      <w:r w:rsidRPr="00AA3D27">
        <w:rPr>
          <w:rFonts w:asciiTheme="minorHAnsi" w:hAnsiTheme="minorHAnsi" w:cstheme="minorHAnsi"/>
          <w:szCs w:val="24"/>
        </w:rPr>
        <w:t xml:space="preserve"> and </w:t>
      </w:r>
      <w:r>
        <w:t>refine</w:t>
      </w:r>
      <w:r>
        <w:rPr>
          <w:rFonts w:asciiTheme="minorHAnsi" w:hAnsiTheme="minorHAnsi" w:cstheme="minorHAnsi"/>
          <w:szCs w:val="24"/>
        </w:rPr>
        <w:t xml:space="preserve"> </w:t>
      </w:r>
      <w:r w:rsidRPr="00115FC2">
        <w:rPr>
          <w:rFonts w:asciiTheme="minorHAnsi" w:hAnsiTheme="minorHAnsi" w:cstheme="minorHAnsi"/>
          <w:szCs w:val="24"/>
        </w:rPr>
        <w:t>selected proposed targets and their associated indicators</w:t>
      </w:r>
      <w:r>
        <w:t>, as detailed below:</w:t>
      </w:r>
    </w:p>
    <w:p w14:paraId="407BCF0C" w14:textId="5C05D5F1" w:rsidR="00C86AAA" w:rsidRPr="008F7431" w:rsidRDefault="002B3AE2" w:rsidP="00EB1757">
      <w:pPr>
        <w:pStyle w:val="enumlev1"/>
        <w:jc w:val="both"/>
      </w:pPr>
      <w:r>
        <w:t>–</w:t>
      </w:r>
      <w:r>
        <w:tab/>
      </w:r>
      <w:r w:rsidR="00C86AAA" w:rsidRPr="008F7431">
        <w:t>Target 1.5 (Resilient networks): to coordinate with the General Secretariat and relevant Bureaux to further explore the enhancement and possible inclusion of ITU submarine cable–related activities, supported by relevant statistics to substantiate their inclusion.</w:t>
      </w:r>
    </w:p>
    <w:p w14:paraId="68C2E64F" w14:textId="0E252998" w:rsidR="00C86AAA" w:rsidRPr="008F7431" w:rsidRDefault="002B3AE2" w:rsidP="00EB1757">
      <w:pPr>
        <w:pStyle w:val="enumlev1"/>
        <w:jc w:val="both"/>
      </w:pPr>
      <w:r>
        <w:t>–</w:t>
      </w:r>
      <w:r>
        <w:tab/>
      </w:r>
      <w:r w:rsidR="00C86AAA" w:rsidRPr="008F7431">
        <w:t xml:space="preserve">Target 1.6 (Avoidance of harmful interference): to work closely with the Director of the Radiocommunication Bureau </w:t>
      </w:r>
      <w:r w:rsidR="009B1F66">
        <w:t xml:space="preserve">(BR) </w:t>
      </w:r>
      <w:r w:rsidR="00C86AAA" w:rsidRPr="008F7431">
        <w:t>to identify improved indicators that more accurately reflect how the ITU addresses issues related to harmful interference.</w:t>
      </w:r>
    </w:p>
    <w:p w14:paraId="180A5492" w14:textId="3631A8BE" w:rsidR="00C86AAA" w:rsidRDefault="002B3AE2" w:rsidP="00EB1757">
      <w:pPr>
        <w:pStyle w:val="enumlev1"/>
        <w:jc w:val="both"/>
      </w:pPr>
      <w:r>
        <w:t>–</w:t>
      </w:r>
      <w:r>
        <w:tab/>
      </w:r>
      <w:r w:rsidR="00C86AAA" w:rsidRPr="008F7431">
        <w:t>Target 1.7 (Interoperability standards impact): to work closely with the Director of the Telecommunication Standardization Bureau to identify more appropriate indicators for this target.</w:t>
      </w:r>
    </w:p>
    <w:p w14:paraId="45DF2515" w14:textId="558E6B75" w:rsidR="00C86AAA" w:rsidRPr="0008540E" w:rsidRDefault="00C86AAA" w:rsidP="00EB1757">
      <w:pPr>
        <w:jc w:val="both"/>
      </w:pPr>
      <w:r w:rsidRPr="0097564A">
        <w:t>Following internal consultations</w:t>
      </w:r>
      <w:r>
        <w:t xml:space="preserve"> with the relevant Bureaux, this report presents the </w:t>
      </w:r>
      <w:r w:rsidR="009B1F66">
        <w:t>s</w:t>
      </w:r>
      <w:r>
        <w:t xml:space="preserve">ecretariat’s proposed refinements for consideration by PP-26, together with the outcomes of the Council Working Group for </w:t>
      </w:r>
      <w:r w:rsidR="009B1F66">
        <w:t>s</w:t>
      </w:r>
      <w:r>
        <w:t xml:space="preserve">trategic and </w:t>
      </w:r>
      <w:r w:rsidR="009B1F66">
        <w:t>f</w:t>
      </w:r>
      <w:r>
        <w:t xml:space="preserve">inancial </w:t>
      </w:r>
      <w:r w:rsidR="009B1F66">
        <w:t>p</w:t>
      </w:r>
      <w:r>
        <w:t xml:space="preserve">lans 2028-2031 (see Document </w:t>
      </w:r>
      <w:hyperlink r:id="rId13" w:history="1">
        <w:r w:rsidR="00863BEF">
          <w:rPr>
            <w:rStyle w:val="Hyperlink"/>
          </w:rPr>
          <w:t>32</w:t>
        </w:r>
      </w:hyperlink>
      <w:r>
        <w:t>).</w:t>
      </w:r>
    </w:p>
    <w:p w14:paraId="02D239DA" w14:textId="1F5834F2" w:rsidR="00C86AAA" w:rsidRPr="0008540E" w:rsidRDefault="00C86AAA" w:rsidP="00EB1757">
      <w:pPr>
        <w:jc w:val="both"/>
      </w:pPr>
      <w:r>
        <w:t xml:space="preserve">In reviewing proposed targets 1.5 and 1.6, </w:t>
      </w:r>
      <w:r w:rsidRPr="0097564A">
        <w:t xml:space="preserve">the </w:t>
      </w:r>
      <w:r w:rsidR="009B1F66" w:rsidRPr="0097564A">
        <w:t>s</w:t>
      </w:r>
      <w:r w:rsidRPr="0097564A">
        <w:t xml:space="preserve">ecretariat </w:t>
      </w:r>
      <w:r>
        <w:t>considered that the relevant</w:t>
      </w:r>
      <w:r w:rsidRPr="0097564A">
        <w:t xml:space="preserve"> areas </w:t>
      </w:r>
      <w:r>
        <w:t xml:space="preserve">of work would be more appropriately reflected </w:t>
      </w:r>
      <w:r w:rsidRPr="0097564A">
        <w:t>a</w:t>
      </w:r>
      <w:r>
        <w:t>t the level of o</w:t>
      </w:r>
      <w:r w:rsidRPr="0097564A">
        <w:t>utcomes within the results framework</w:t>
      </w:r>
      <w:r>
        <w:t>. This</w:t>
      </w:r>
      <w:r w:rsidRPr="0097564A">
        <w:t xml:space="preserve"> approach </w:t>
      </w:r>
      <w:r>
        <w:t>would better capture the nature of</w:t>
      </w:r>
      <w:r w:rsidRPr="0097564A">
        <w:t xml:space="preserve"> ITU’s work and </w:t>
      </w:r>
      <w:r>
        <w:t>support</w:t>
      </w:r>
      <w:r w:rsidRPr="0097564A">
        <w:t xml:space="preserve"> its effective tracking through SMART indicators.</w:t>
      </w:r>
    </w:p>
    <w:p w14:paraId="2729F123" w14:textId="21C847D4" w:rsidR="00C86AAA" w:rsidRPr="0008540E" w:rsidRDefault="32E0D164" w:rsidP="00EB1757">
      <w:pPr>
        <w:jc w:val="both"/>
      </w:pPr>
      <w:r>
        <w:t xml:space="preserve">With respect to Target 1.5, traditional indicators, such as quality of service and quality of experience, do not fully capture network resilience. Resilience also requires attention to redundancy, diversity, survivability, restoration capability, cybersecurity, and preparedness for both physical and cyber disruptions. The report therefore presents additional indicators that complement areas already covered in the proposed results framework, including cybersecurity and preparedness, and emerging telecommunications. This is increasingly important as digital public services, cloud platforms, monitoring systems, and cross-border data flows all depend on continuous and reliable connectivity. In line with Council guidance, submarine cable resilience should also be explicitly recognized as part of critical international connectivity infrastructure. This includes national protection </w:t>
      </w:r>
      <w:r w:rsidR="0C49921A">
        <w:t xml:space="preserve">guidelines and </w:t>
      </w:r>
      <w:r>
        <w:t xml:space="preserve">policies, </w:t>
      </w:r>
      <w:r w:rsidR="7972DD7F">
        <w:t xml:space="preserve">response </w:t>
      </w:r>
      <w:r>
        <w:t xml:space="preserve">coordination mechanisms for repair and restoration, </w:t>
      </w:r>
      <w:r w:rsidR="31B46902">
        <w:t>ITU standards adopted</w:t>
      </w:r>
      <w:r>
        <w:t xml:space="preserve"> to ensure route diversity and </w:t>
      </w:r>
      <w:r w:rsidR="2EF85DD5">
        <w:t xml:space="preserve">strategies to </w:t>
      </w:r>
      <w:r>
        <w:t>reduce single points of failure in international connectivity, and the progressive adoption of emerging technologies, including network monitoring and automated resilience mechanisms for critical telecommunications infrastructure, including submarine cable systems, to support early fault detection, predictive maintenance, and faster restoration of services.</w:t>
      </w:r>
    </w:p>
    <w:p w14:paraId="235CEA13" w14:textId="77777777" w:rsidR="00C86AAA" w:rsidRPr="0008540E" w:rsidRDefault="00C86AAA" w:rsidP="00EB1757">
      <w:pPr>
        <w:jc w:val="both"/>
      </w:pPr>
      <w:r>
        <w:t>The report</w:t>
      </w:r>
      <w:r w:rsidRPr="003F68DD">
        <w:t xml:space="preserve"> builds on established ITU work across </w:t>
      </w:r>
      <w:r>
        <w:t>standardization</w:t>
      </w:r>
      <w:r w:rsidRPr="003F68DD">
        <w:t xml:space="preserve">, development, and policy support. </w:t>
      </w:r>
      <w:r>
        <w:t>Relevant</w:t>
      </w:r>
      <w:r w:rsidRPr="003F68DD">
        <w:t xml:space="preserve"> references </w:t>
      </w:r>
      <w:r>
        <w:t xml:space="preserve">may </w:t>
      </w:r>
      <w:r w:rsidRPr="003F68DD">
        <w:t xml:space="preserve">include ITU-T </w:t>
      </w:r>
      <w:r>
        <w:t>Recommendations</w:t>
      </w:r>
      <w:r w:rsidRPr="003F68DD">
        <w:t xml:space="preserve"> on reliability and resilience, ITU-D emergency telecommunications work, and network resilience initiatives</w:t>
      </w:r>
      <w:r>
        <w:t xml:space="preserve">, which can be tracked through the </w:t>
      </w:r>
      <w:r w:rsidRPr="00E659EE">
        <w:t>ITU ICT Regulatory Tracker</w:t>
      </w:r>
      <w:r>
        <w:t xml:space="preserve"> and ITU-D surveys, s</w:t>
      </w:r>
      <w:r w:rsidRPr="00977C31">
        <w:t>upplemented by case-based reporting</w:t>
      </w:r>
      <w:r>
        <w:t>.</w:t>
      </w:r>
    </w:p>
    <w:p w14:paraId="33A0557E" w14:textId="46CFC187" w:rsidR="00C86AAA" w:rsidRDefault="00C86AAA" w:rsidP="00EB1757">
      <w:pPr>
        <w:jc w:val="both"/>
      </w:pPr>
      <w:r>
        <w:t xml:space="preserve">On this basis, the </w:t>
      </w:r>
      <w:r w:rsidR="009B1F66">
        <w:t>s</w:t>
      </w:r>
      <w:r>
        <w:t xml:space="preserve">ecretariat would like to present </w:t>
      </w:r>
      <w:r w:rsidRPr="00D702B4">
        <w:t xml:space="preserve">three </w:t>
      </w:r>
      <w:r>
        <w:t xml:space="preserve">new outcomes under the </w:t>
      </w:r>
      <w:r w:rsidRPr="00D702B4">
        <w:t>priority on “Inclusive and secure telecommunication/ICT infrastructure and services”</w:t>
      </w:r>
      <w:r>
        <w:t>:</w:t>
      </w:r>
    </w:p>
    <w:p w14:paraId="7C40A12C" w14:textId="77777777" w:rsidR="002B3AE2" w:rsidRDefault="002B3AE2" w:rsidP="00D857CA">
      <w:pPr>
        <w:pStyle w:val="Blanc"/>
      </w:pPr>
    </w:p>
    <w:tbl>
      <w:tblPr>
        <w:tblW w:w="96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3094"/>
        <w:gridCol w:w="3841"/>
      </w:tblGrid>
      <w:tr w:rsidR="002B3AE2" w:rsidRPr="002B3AE2" w14:paraId="6DFE6593" w14:textId="77777777" w:rsidTr="516D9FC5">
        <w:trPr>
          <w:cantSplit/>
          <w:jc w:val="center"/>
        </w:trPr>
        <w:tc>
          <w:tcPr>
            <w:tcW w:w="2700" w:type="dxa"/>
          </w:tcPr>
          <w:p w14:paraId="3C13349B" w14:textId="38F58BC0" w:rsidR="002B3AE2" w:rsidRPr="002B3AE2" w:rsidRDefault="002B3AE2" w:rsidP="005E56B5">
            <w:pPr>
              <w:pStyle w:val="Tablehead"/>
            </w:pPr>
            <w:r w:rsidRPr="002B3AE2">
              <w:lastRenderedPageBreak/>
              <w:t xml:space="preserve">Priority </w:t>
            </w:r>
          </w:p>
        </w:tc>
        <w:tc>
          <w:tcPr>
            <w:tcW w:w="3094" w:type="dxa"/>
          </w:tcPr>
          <w:p w14:paraId="47D5E5F1" w14:textId="18151358" w:rsidR="002B3AE2" w:rsidRPr="002B3AE2" w:rsidRDefault="002B3AE2" w:rsidP="005E56B5">
            <w:pPr>
              <w:pStyle w:val="Tablehead"/>
            </w:pPr>
            <w:r w:rsidRPr="002B3AE2">
              <w:t xml:space="preserve">Outcome </w:t>
            </w:r>
          </w:p>
        </w:tc>
        <w:tc>
          <w:tcPr>
            <w:tcW w:w="3841" w:type="dxa"/>
          </w:tcPr>
          <w:p w14:paraId="73E331E7" w14:textId="322E2E66" w:rsidR="002B3AE2" w:rsidRPr="002B3AE2" w:rsidRDefault="002B3AE2" w:rsidP="005E56B5">
            <w:pPr>
              <w:pStyle w:val="Tablehead"/>
            </w:pPr>
            <w:r w:rsidRPr="002B3AE2">
              <w:t>Outcome indicator</w:t>
            </w:r>
          </w:p>
        </w:tc>
      </w:tr>
      <w:tr w:rsidR="00C86AAA" w:rsidRPr="008058A2" w14:paraId="2C2967F4" w14:textId="77777777" w:rsidTr="516D9FC5">
        <w:trPr>
          <w:cantSplit/>
          <w:jc w:val="center"/>
        </w:trPr>
        <w:tc>
          <w:tcPr>
            <w:tcW w:w="2700" w:type="dxa"/>
            <w:vMerge w:val="restart"/>
          </w:tcPr>
          <w:p w14:paraId="502FED1E" w14:textId="77777777" w:rsidR="00C86AAA" w:rsidRPr="005E56B5" w:rsidRDefault="00C86AAA" w:rsidP="005E56B5">
            <w:pPr>
              <w:pStyle w:val="Tabletext"/>
            </w:pPr>
            <w:r w:rsidRPr="005E56B5">
              <w:t>Inclusive and secure telecommunication / ICT infrastructure and services</w:t>
            </w:r>
          </w:p>
        </w:tc>
        <w:tc>
          <w:tcPr>
            <w:tcW w:w="3094" w:type="dxa"/>
          </w:tcPr>
          <w:p w14:paraId="59A8690B" w14:textId="4B7434D6" w:rsidR="00C86AAA" w:rsidRPr="005E56B5" w:rsidRDefault="005E56B5" w:rsidP="005E56B5">
            <w:pPr>
              <w:pStyle w:val="Tabletext"/>
              <w:ind w:left="284" w:hanging="284"/>
            </w:pPr>
            <w:r>
              <w:t>–</w:t>
            </w:r>
            <w:r>
              <w:tab/>
            </w:r>
            <w:r w:rsidR="00C86AAA" w:rsidRPr="005E56B5">
              <w:t>Network redundancy and diversity regulation</w:t>
            </w:r>
          </w:p>
        </w:tc>
        <w:tc>
          <w:tcPr>
            <w:tcW w:w="3841" w:type="dxa"/>
          </w:tcPr>
          <w:p w14:paraId="2CD2C056" w14:textId="04D20D53" w:rsidR="00C86AAA" w:rsidRPr="005E56B5" w:rsidRDefault="005E56B5" w:rsidP="005E56B5">
            <w:pPr>
              <w:pStyle w:val="Tabletext"/>
              <w:ind w:left="284" w:hanging="284"/>
            </w:pPr>
            <w:r>
              <w:t>–</w:t>
            </w:r>
            <w:r w:rsidR="00C86AAA" w:rsidRPr="005E56B5">
              <w:tab/>
              <w:t>Member States requiring operators to implement redundancy and route diversity for critical infrastructure including international connectivity</w:t>
            </w:r>
          </w:p>
        </w:tc>
      </w:tr>
      <w:tr w:rsidR="00C86AAA" w:rsidRPr="008058A2" w14:paraId="3779A1C9" w14:textId="77777777" w:rsidTr="516D9FC5">
        <w:trPr>
          <w:cantSplit/>
          <w:jc w:val="center"/>
        </w:trPr>
        <w:tc>
          <w:tcPr>
            <w:tcW w:w="2700" w:type="dxa"/>
            <w:vMerge/>
          </w:tcPr>
          <w:p w14:paraId="4B85C4C5" w14:textId="77777777" w:rsidR="00C86AAA" w:rsidRPr="005E56B5" w:rsidRDefault="00C86AAA" w:rsidP="005E56B5">
            <w:pPr>
              <w:pStyle w:val="Tabletext"/>
            </w:pPr>
          </w:p>
        </w:tc>
        <w:tc>
          <w:tcPr>
            <w:tcW w:w="3094" w:type="dxa"/>
          </w:tcPr>
          <w:p w14:paraId="65DA9E31" w14:textId="3F680DDE" w:rsidR="00C86AAA" w:rsidRPr="005E56B5" w:rsidRDefault="005E56B5" w:rsidP="005E56B5">
            <w:pPr>
              <w:pStyle w:val="Tabletext"/>
              <w:ind w:left="284" w:hanging="284"/>
            </w:pPr>
            <w:r>
              <w:t>–</w:t>
            </w:r>
            <w:r w:rsidR="00C86AAA" w:rsidRPr="005E56B5">
              <w:tab/>
              <w:t>Outage monitoring and response capability</w:t>
            </w:r>
          </w:p>
        </w:tc>
        <w:tc>
          <w:tcPr>
            <w:tcW w:w="3841" w:type="dxa"/>
          </w:tcPr>
          <w:p w14:paraId="0EF3BBD5" w14:textId="284811ED" w:rsidR="00C86AAA" w:rsidRPr="005E56B5" w:rsidRDefault="005E56B5" w:rsidP="005E56B5">
            <w:pPr>
              <w:pStyle w:val="Tabletext"/>
              <w:ind w:left="284" w:hanging="284"/>
            </w:pPr>
            <w:r>
              <w:t>–</w:t>
            </w:r>
            <w:r>
              <w:tab/>
            </w:r>
            <w:r w:rsidR="00C86AAA" w:rsidRPr="005E56B5">
              <w:t>Member States with mechanisms to monitor, report and respond to major network outages affecting critical services</w:t>
            </w:r>
          </w:p>
        </w:tc>
      </w:tr>
      <w:tr w:rsidR="00C86AAA" w:rsidRPr="008058A2" w14:paraId="66A403A4" w14:textId="77777777" w:rsidTr="516D9FC5">
        <w:trPr>
          <w:cantSplit/>
          <w:jc w:val="center"/>
        </w:trPr>
        <w:tc>
          <w:tcPr>
            <w:tcW w:w="2700" w:type="dxa"/>
            <w:vMerge/>
          </w:tcPr>
          <w:p w14:paraId="504079D4" w14:textId="77777777" w:rsidR="00C86AAA" w:rsidRPr="005E56B5" w:rsidRDefault="00C86AAA" w:rsidP="005E56B5">
            <w:pPr>
              <w:pStyle w:val="Tabletext"/>
            </w:pPr>
          </w:p>
        </w:tc>
        <w:tc>
          <w:tcPr>
            <w:tcW w:w="3094" w:type="dxa"/>
          </w:tcPr>
          <w:p w14:paraId="548EA3BD" w14:textId="1D791F99" w:rsidR="00C86AAA" w:rsidRPr="005E56B5" w:rsidRDefault="005E56B5" w:rsidP="005E56B5">
            <w:pPr>
              <w:pStyle w:val="Tabletext"/>
              <w:ind w:left="284" w:hanging="284"/>
            </w:pPr>
            <w:r>
              <w:t>–</w:t>
            </w:r>
            <w:r>
              <w:tab/>
            </w:r>
            <w:r w:rsidR="00C86AAA" w:rsidRPr="005E56B5">
              <w:t>Submarine cable resilience measures</w:t>
            </w:r>
          </w:p>
        </w:tc>
        <w:tc>
          <w:tcPr>
            <w:tcW w:w="3841" w:type="dxa"/>
          </w:tcPr>
          <w:p w14:paraId="7F2C6ECF" w14:textId="1924C1F6" w:rsidR="00C86AAA" w:rsidRPr="005E56B5" w:rsidRDefault="005E56B5" w:rsidP="005E56B5">
            <w:pPr>
              <w:pStyle w:val="Tabletext"/>
              <w:ind w:left="284" w:hanging="284"/>
            </w:pPr>
            <w:r>
              <w:t>–</w:t>
            </w:r>
            <w:r w:rsidR="00C86AAA" w:rsidRPr="005E56B5">
              <w:tab/>
              <w:t>Member States implementing policies or coordination mechanisms for submarine cable</w:t>
            </w:r>
            <w:r w:rsidR="00701389">
              <w:t xml:space="preserve"> resilience (</w:t>
            </w:r>
            <w:r w:rsidR="000E4840">
              <w:t>i.e.</w:t>
            </w:r>
            <w:r w:rsidR="00C86AAA" w:rsidRPr="005E56B5">
              <w:t xml:space="preserve"> protection, route diversity and restoration preparedness, including monitoring and automated resilience capabilities for fault detection, predictive maintenance and service restoration</w:t>
            </w:r>
            <w:r w:rsidR="000E4840">
              <w:t>)</w:t>
            </w:r>
          </w:p>
        </w:tc>
      </w:tr>
    </w:tbl>
    <w:p w14:paraId="3D2CA1F0" w14:textId="77777777" w:rsidR="00C86AAA" w:rsidRDefault="00C86AAA" w:rsidP="005E56B5">
      <w:pPr>
        <w:pStyle w:val="Tablefin"/>
      </w:pPr>
    </w:p>
    <w:p w14:paraId="744D5B96" w14:textId="0B65C12B" w:rsidR="00C86AAA" w:rsidRPr="0008540E" w:rsidRDefault="00C86AAA" w:rsidP="005E56B5">
      <w:pPr>
        <w:jc w:val="both"/>
      </w:pPr>
      <w:r w:rsidRPr="009B1F66">
        <w:rPr>
          <w:spacing w:val="-2"/>
        </w:rPr>
        <w:t xml:space="preserve">Regarding Target 1.6, the </w:t>
      </w:r>
      <w:r w:rsidR="009B1F66" w:rsidRPr="009B1F66">
        <w:rPr>
          <w:spacing w:val="-2"/>
        </w:rPr>
        <w:t>s</w:t>
      </w:r>
      <w:r w:rsidRPr="009B1F66">
        <w:rPr>
          <w:spacing w:val="-2"/>
        </w:rPr>
        <w:t xml:space="preserve">ecretariat recommends </w:t>
      </w:r>
      <w:r w:rsidR="009F534B">
        <w:rPr>
          <w:spacing w:val="-2"/>
        </w:rPr>
        <w:t>not retaining</w:t>
      </w:r>
      <w:r w:rsidR="002B34C1">
        <w:rPr>
          <w:spacing w:val="-2"/>
        </w:rPr>
        <w:t xml:space="preserve"> it as a separate target</w:t>
      </w:r>
      <w:r w:rsidR="33F70934" w:rsidRPr="009B1F66">
        <w:rPr>
          <w:spacing w:val="-2"/>
        </w:rPr>
        <w:t xml:space="preserve"> and </w:t>
      </w:r>
      <w:r w:rsidR="001D7445">
        <w:rPr>
          <w:spacing w:val="-2"/>
        </w:rPr>
        <w:t>instead reflecting</w:t>
      </w:r>
      <w:r w:rsidRPr="009B1F66">
        <w:rPr>
          <w:spacing w:val="-2"/>
        </w:rPr>
        <w:t xml:space="preserve"> “Radio-frequency</w:t>
      </w:r>
      <w:r>
        <w:t xml:space="preserve"> spectrum free of harmful interference” as an</w:t>
      </w:r>
      <w:r w:rsidR="40B70E8D">
        <w:t>other</w:t>
      </w:r>
      <w:r>
        <w:t xml:space="preserve"> outcome under the priority on “Spectrum use for space and terrestrial services”, as currently reflected in the Strategic Plan 2024-2027.</w:t>
      </w:r>
    </w:p>
    <w:p w14:paraId="56BF7CCE" w14:textId="77777777" w:rsidR="00C86AAA" w:rsidRPr="0008540E" w:rsidRDefault="00C86AAA" w:rsidP="005E56B5">
      <w:pPr>
        <w:jc w:val="both"/>
      </w:pPr>
      <w:r>
        <w:t>This proposed outcome</w:t>
      </w:r>
      <w:r w:rsidRPr="00005982">
        <w:t xml:space="preserve"> addresses a distinct and complementary dimension of spectrum use. While current Outcome 1 (</w:t>
      </w:r>
      <w:r w:rsidRPr="00005982">
        <w:rPr>
          <w:i/>
        </w:rPr>
        <w:t>Radio-frequency spectrum and orbit resources are used efficiently, economically, rationally and equitably</w:t>
      </w:r>
      <w:r w:rsidRPr="00005982">
        <w:t xml:space="preserve">) captures the principles of efficiency, economy, rationality and equity, the proposed Outcome 2 would introduce the criterion of freedom from harmful interference, ensuring that spectrum use is not only </w:t>
      </w:r>
      <w:r>
        <w:t>optimized</w:t>
      </w:r>
      <w:r w:rsidRPr="00005982">
        <w:t xml:space="preserve"> but also reliable. Protection from harmful interference </w:t>
      </w:r>
      <w:r>
        <w:t>remains</w:t>
      </w:r>
      <w:r w:rsidRPr="00005982">
        <w:t xml:space="preserve"> a foundational, permanent and cross-cutting objective of </w:t>
      </w:r>
      <w:r>
        <w:t xml:space="preserve">the </w:t>
      </w:r>
      <w:r w:rsidRPr="00005982">
        <w:t>Radiocommunication Sector (ITU-R) work and deliverables.</w:t>
      </w:r>
    </w:p>
    <w:p w14:paraId="0B23D9A9" w14:textId="59F5C9FA" w:rsidR="00C86AAA" w:rsidRPr="0008540E" w:rsidRDefault="35C2C6CF" w:rsidP="005E56B5">
      <w:pPr>
        <w:jc w:val="both"/>
      </w:pPr>
      <w:r>
        <w:t>Since</w:t>
      </w:r>
      <w:r w:rsidR="00C86AAA">
        <w:t xml:space="preserve"> the number of reported and resolved harmful interference cases </w:t>
      </w:r>
      <w:r w:rsidR="001A7B7E">
        <w:t xml:space="preserve">is an </w:t>
      </w:r>
      <w:r w:rsidR="00C86AAA">
        <w:t>operational BR procedural metrics rather than strategic performance indicators</w:t>
      </w:r>
      <w:r w:rsidR="00C95252">
        <w:t>,</w:t>
      </w:r>
      <w:r w:rsidR="5DF01470">
        <w:t xml:space="preserve"> </w:t>
      </w:r>
      <w:r w:rsidR="00C95252">
        <w:t xml:space="preserve">such cases </w:t>
      </w:r>
      <w:r w:rsidR="5DF01470">
        <w:t xml:space="preserve">would fit as outcome indicators of Outcome 2 </w:t>
      </w:r>
    </w:p>
    <w:p w14:paraId="7961CE4E" w14:textId="77777777" w:rsidR="00C86AAA" w:rsidRPr="0008540E" w:rsidRDefault="00C86AAA" w:rsidP="005E56B5">
      <w:pPr>
        <w:jc w:val="both"/>
      </w:pPr>
      <w:r>
        <w:t>The proposed amendment, for consideration by PP-26, is as follows:</w:t>
      </w:r>
    </w:p>
    <w:p w14:paraId="38348318" w14:textId="6410C7C8" w:rsidR="00C86AAA" w:rsidRPr="003A7934" w:rsidRDefault="00C86AAA" w:rsidP="00D857CA">
      <w:pPr>
        <w:pStyle w:val="Blanc"/>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9"/>
        <w:gridCol w:w="3898"/>
        <w:gridCol w:w="3898"/>
      </w:tblGrid>
      <w:tr w:rsidR="002B3AE2" w:rsidRPr="009173C5" w14:paraId="4F8AC10E" w14:textId="77777777" w:rsidTr="00D857CA">
        <w:trPr>
          <w:trHeight w:val="97"/>
        </w:trPr>
        <w:tc>
          <w:tcPr>
            <w:tcW w:w="954" w:type="pct"/>
          </w:tcPr>
          <w:p w14:paraId="054209DE" w14:textId="1A5FDDB6" w:rsidR="002B3AE2" w:rsidRPr="005E56B5" w:rsidRDefault="002B3AE2" w:rsidP="005E56B5">
            <w:pPr>
              <w:pStyle w:val="Tablehead"/>
              <w:rPr>
                <w:szCs w:val="22"/>
              </w:rPr>
            </w:pPr>
            <w:r w:rsidRPr="005E56B5">
              <w:t xml:space="preserve">Priority </w:t>
            </w:r>
          </w:p>
        </w:tc>
        <w:tc>
          <w:tcPr>
            <w:tcW w:w="2023" w:type="pct"/>
          </w:tcPr>
          <w:p w14:paraId="51814D88" w14:textId="6EB65580" w:rsidR="002B3AE2" w:rsidRPr="009173C5" w:rsidRDefault="002B3AE2" w:rsidP="005E56B5">
            <w:pPr>
              <w:pStyle w:val="Tablehead"/>
              <w:rPr>
                <w:rFonts w:cs="Calibri"/>
                <w:szCs w:val="22"/>
              </w:rPr>
            </w:pPr>
            <w:r>
              <w:t xml:space="preserve">Outcome </w:t>
            </w:r>
          </w:p>
        </w:tc>
        <w:tc>
          <w:tcPr>
            <w:tcW w:w="2023" w:type="pct"/>
          </w:tcPr>
          <w:p w14:paraId="688849F9" w14:textId="2938EA03" w:rsidR="002B3AE2" w:rsidRPr="009173C5" w:rsidRDefault="002B3AE2" w:rsidP="005E56B5">
            <w:pPr>
              <w:pStyle w:val="Tablehead"/>
              <w:rPr>
                <w:rFonts w:cs="Calibri"/>
                <w:szCs w:val="22"/>
              </w:rPr>
            </w:pPr>
            <w:r>
              <w:t xml:space="preserve">Outcome indicator </w:t>
            </w:r>
          </w:p>
        </w:tc>
      </w:tr>
      <w:tr w:rsidR="00C86AAA" w:rsidRPr="009173C5" w14:paraId="5E9EC944" w14:textId="77777777" w:rsidTr="00D857CA">
        <w:trPr>
          <w:trHeight w:val="97"/>
        </w:trPr>
        <w:tc>
          <w:tcPr>
            <w:tcW w:w="954" w:type="pct"/>
          </w:tcPr>
          <w:p w14:paraId="5195F3D4" w14:textId="77777777" w:rsidR="00C86AAA" w:rsidRPr="005E56B5" w:rsidRDefault="00C86AAA" w:rsidP="005E56B5">
            <w:pPr>
              <w:pStyle w:val="Tabletext"/>
              <w:rPr>
                <w:b/>
                <w:szCs w:val="22"/>
              </w:rPr>
            </w:pPr>
            <w:r w:rsidRPr="005E56B5">
              <w:rPr>
                <w:b/>
                <w:szCs w:val="22"/>
              </w:rPr>
              <w:t>Spectrum use for space and terrestrial services</w:t>
            </w:r>
          </w:p>
        </w:tc>
        <w:tc>
          <w:tcPr>
            <w:tcW w:w="2023" w:type="pct"/>
          </w:tcPr>
          <w:p w14:paraId="00B7EA21" w14:textId="69CFB0C1" w:rsidR="00C86AAA" w:rsidRPr="009173C5" w:rsidRDefault="005E56B5" w:rsidP="005E56B5">
            <w:pPr>
              <w:pStyle w:val="Tabletext"/>
              <w:ind w:left="284" w:hanging="284"/>
              <w:rPr>
                <w:szCs w:val="22"/>
              </w:rPr>
            </w:pPr>
            <w:r>
              <w:rPr>
                <w:rFonts w:cs="Calibri"/>
                <w:szCs w:val="22"/>
              </w:rPr>
              <w:t>–</w:t>
            </w:r>
            <w:r w:rsidR="00C86AAA" w:rsidRPr="009173C5">
              <w:rPr>
                <w:rFonts w:cs="Calibri"/>
                <w:szCs w:val="22"/>
              </w:rPr>
              <w:tab/>
            </w:r>
            <w:r w:rsidR="00C86AAA" w:rsidRPr="009173C5">
              <w:rPr>
                <w:szCs w:val="22"/>
              </w:rPr>
              <w:t>Radio-frequency spectrum free of harmful interference</w:t>
            </w:r>
          </w:p>
        </w:tc>
        <w:tc>
          <w:tcPr>
            <w:tcW w:w="2023" w:type="pct"/>
          </w:tcPr>
          <w:p w14:paraId="2A9DACDC" w14:textId="68CD7E95" w:rsidR="00C86AAA" w:rsidRPr="009173C5" w:rsidRDefault="005E56B5" w:rsidP="005E56B5">
            <w:pPr>
              <w:pStyle w:val="Tabletext"/>
              <w:ind w:left="284" w:hanging="284"/>
              <w:rPr>
                <w:szCs w:val="22"/>
              </w:rPr>
            </w:pPr>
            <w:r>
              <w:rPr>
                <w:rFonts w:cs="Calibri"/>
                <w:szCs w:val="22"/>
              </w:rPr>
              <w:t>–</w:t>
            </w:r>
            <w:r w:rsidR="00C86AAA" w:rsidRPr="009173C5">
              <w:rPr>
                <w:rFonts w:cs="Calibri"/>
                <w:szCs w:val="22"/>
              </w:rPr>
              <w:tab/>
            </w:r>
            <w:r w:rsidR="00C86AAA" w:rsidRPr="009173C5">
              <w:rPr>
                <w:szCs w:val="22"/>
              </w:rPr>
              <w:t xml:space="preserve">Number of cases of harmful interference (to frequency assignments pertaining to space services) reported to the BR in the one year of the reporting period </w:t>
            </w:r>
          </w:p>
          <w:p w14:paraId="7DFD4897" w14:textId="33C862F4" w:rsidR="00C86AAA" w:rsidRPr="009173C5" w:rsidRDefault="005E56B5" w:rsidP="005E56B5">
            <w:pPr>
              <w:pStyle w:val="Tabletext"/>
              <w:ind w:left="284" w:hanging="284"/>
              <w:rPr>
                <w:szCs w:val="22"/>
              </w:rPr>
            </w:pPr>
            <w:r>
              <w:rPr>
                <w:rFonts w:cs="Calibri"/>
                <w:szCs w:val="22"/>
              </w:rPr>
              <w:t>–</w:t>
            </w:r>
            <w:r w:rsidR="00C86AAA" w:rsidRPr="009173C5">
              <w:rPr>
                <w:rFonts w:cs="Calibri"/>
                <w:szCs w:val="22"/>
              </w:rPr>
              <w:tab/>
            </w:r>
            <w:r w:rsidR="00C86AAA" w:rsidRPr="009173C5">
              <w:rPr>
                <w:szCs w:val="22"/>
              </w:rPr>
              <w:t>Number of cases of harmful interference (to frequency assignments pertaining to space services) reported to the BR that are pending resolution</w:t>
            </w:r>
          </w:p>
          <w:p w14:paraId="78D6B7EF" w14:textId="05F9D154" w:rsidR="00C86AAA" w:rsidRPr="009173C5" w:rsidRDefault="005E56B5" w:rsidP="005E56B5">
            <w:pPr>
              <w:pStyle w:val="Tabletext"/>
              <w:ind w:left="284" w:hanging="284"/>
              <w:rPr>
                <w:szCs w:val="22"/>
              </w:rPr>
            </w:pPr>
            <w:r>
              <w:rPr>
                <w:rFonts w:cs="Calibri"/>
                <w:szCs w:val="22"/>
              </w:rPr>
              <w:lastRenderedPageBreak/>
              <w:t>–</w:t>
            </w:r>
            <w:r w:rsidR="00C86AAA" w:rsidRPr="009173C5">
              <w:rPr>
                <w:rFonts w:cs="Calibri"/>
                <w:szCs w:val="22"/>
              </w:rPr>
              <w:tab/>
            </w:r>
            <w:r w:rsidR="00C86AAA" w:rsidRPr="009173C5">
              <w:rPr>
                <w:szCs w:val="22"/>
              </w:rPr>
              <w:t>Number of cases of harmful interference (to assignments pertaining to terrestrial services) reported to the BR in the one year of the reporting period</w:t>
            </w:r>
          </w:p>
          <w:p w14:paraId="605B43C8" w14:textId="43F53C95" w:rsidR="00C86AAA" w:rsidRPr="009173C5" w:rsidRDefault="005E56B5" w:rsidP="005E56B5">
            <w:pPr>
              <w:pStyle w:val="Tabletext"/>
              <w:ind w:left="284" w:hanging="284"/>
              <w:rPr>
                <w:szCs w:val="22"/>
              </w:rPr>
            </w:pPr>
            <w:r>
              <w:rPr>
                <w:rFonts w:cs="Calibri"/>
                <w:szCs w:val="22"/>
              </w:rPr>
              <w:t>–</w:t>
            </w:r>
            <w:r w:rsidR="00C86AAA" w:rsidRPr="009173C5">
              <w:rPr>
                <w:rFonts w:cs="Calibri"/>
                <w:szCs w:val="22"/>
              </w:rPr>
              <w:tab/>
            </w:r>
            <w:r w:rsidR="00C86AAA" w:rsidRPr="009173C5">
              <w:rPr>
                <w:szCs w:val="22"/>
              </w:rPr>
              <w:t>Number of cases of harmful interference (to assignments pertaining to terrestrial services) reported to the BR that are pending resolution</w:t>
            </w:r>
          </w:p>
          <w:p w14:paraId="28444884" w14:textId="4871F03C" w:rsidR="00C86AAA" w:rsidRPr="009173C5" w:rsidRDefault="005E56B5" w:rsidP="005E56B5">
            <w:pPr>
              <w:pStyle w:val="Tabletext"/>
              <w:ind w:left="284" w:hanging="284"/>
              <w:rPr>
                <w:szCs w:val="22"/>
              </w:rPr>
            </w:pPr>
            <w:r>
              <w:rPr>
                <w:rFonts w:cs="Calibri"/>
                <w:szCs w:val="22"/>
              </w:rPr>
              <w:t>–</w:t>
            </w:r>
            <w:r w:rsidR="00C86AAA" w:rsidRPr="009173C5">
              <w:rPr>
                <w:rFonts w:cs="Calibri"/>
                <w:szCs w:val="22"/>
              </w:rPr>
              <w:tab/>
            </w:r>
            <w:r w:rsidR="00C86AAA" w:rsidRPr="009173C5">
              <w:rPr>
                <w:szCs w:val="22"/>
              </w:rPr>
              <w:t xml:space="preserve">Number of cases which BR has taken appropriate actions with relevant procedure (e.g. in accordance with RR </w:t>
            </w:r>
            <w:r w:rsidR="00C76CA6">
              <w:rPr>
                <w:szCs w:val="22"/>
              </w:rPr>
              <w:t>Nos.</w:t>
            </w:r>
            <w:r w:rsidR="00C86AAA" w:rsidRPr="009173C5">
              <w:rPr>
                <w:szCs w:val="22"/>
              </w:rPr>
              <w:t xml:space="preserve"> 15.41, 15.42, etc.)</w:t>
            </w:r>
          </w:p>
        </w:tc>
      </w:tr>
    </w:tbl>
    <w:p w14:paraId="0C9C2354" w14:textId="77777777" w:rsidR="00C86AAA" w:rsidRDefault="00C86AAA" w:rsidP="00C76CA6">
      <w:pPr>
        <w:pStyle w:val="Tablefin"/>
      </w:pPr>
    </w:p>
    <w:p w14:paraId="5D03F706" w14:textId="36BFB77D" w:rsidR="00C86AAA" w:rsidRPr="0008540E" w:rsidRDefault="00C86AAA" w:rsidP="00C86AAA">
      <w:pPr>
        <w:jc w:val="both"/>
      </w:pPr>
      <w:r>
        <w:t xml:space="preserve">For Target 1.7, standards interoperability is a proposed priority that aims to reflect the impact of ITU’s work in the ICT sector and the wider economy. On that basis, the </w:t>
      </w:r>
      <w:r w:rsidR="009B1F66">
        <w:t>s</w:t>
      </w:r>
      <w:r>
        <w:t>ecretariat would like to present, as a starting point, one indicator that b</w:t>
      </w:r>
      <w:r w:rsidRPr="00E30D94">
        <w:t>est</w:t>
      </w:r>
      <w:r>
        <w:t xml:space="preserve"> fits</w:t>
      </w:r>
      <w:r w:rsidRPr="00E30D94">
        <w:t xml:space="preserve"> </w:t>
      </w:r>
      <w:r>
        <w:t>at the</w:t>
      </w:r>
      <w:r w:rsidRPr="00E30D94">
        <w:t xml:space="preserve"> </w:t>
      </w:r>
      <w:r>
        <w:t>i</w:t>
      </w:r>
      <w:r w:rsidRPr="00E30D94">
        <w:t>mpact level</w:t>
      </w:r>
      <w:r>
        <w:t>.</w:t>
      </w:r>
    </w:p>
    <w:p w14:paraId="7C289324" w14:textId="77777777" w:rsidR="00C86AAA" w:rsidRPr="0008540E" w:rsidRDefault="00C86AAA" w:rsidP="00C86AAA">
      <w:pPr>
        <w:jc w:val="both"/>
      </w:pPr>
      <w:r>
        <w:t>A large majority of the world’s Internet video runs on ITU-standardized compression. Expressed as a share, this indicator can evolve over time, reflect real competition from other codecs, and provide a representative way to show that most of the world’s video runs on standards that ITU helps set.</w:t>
      </w:r>
    </w:p>
    <w:p w14:paraId="3BA1D6D9" w14:textId="77777777" w:rsidR="00C86AAA" w:rsidRPr="0008540E" w:rsidRDefault="00C86AAA" w:rsidP="00C86AAA">
      <w:pPr>
        <w:jc w:val="both"/>
      </w:pPr>
      <w:r>
        <w:t>O</w:t>
      </w:r>
      <w:r w:rsidRPr="00C476C8">
        <w:t xml:space="preserve">ver time, the success stories </w:t>
      </w:r>
      <w:r>
        <w:t xml:space="preserve">methodology being developed within the Telecommunication Standardization Advisory Group (TSAG) should help identify further indicators to reflect ITU’s impact, while supporting a </w:t>
      </w:r>
      <w:r w:rsidRPr="00C476C8">
        <w:t xml:space="preserve">composite view of </w:t>
      </w:r>
      <w:r>
        <w:t xml:space="preserve">standards interoperability </w:t>
      </w:r>
      <w:r w:rsidRPr="00C476C8">
        <w:t xml:space="preserve">impact rather than a </w:t>
      </w:r>
      <w:r>
        <w:t>set</w:t>
      </w:r>
      <w:r w:rsidRPr="00C476C8">
        <w:t xml:space="preserve"> of separate </w:t>
      </w:r>
      <w:r>
        <w:t>indicators linked to specific standards.</w:t>
      </w:r>
    </w:p>
    <w:p w14:paraId="4ABC0598" w14:textId="77777777" w:rsidR="00C86AAA" w:rsidRPr="0008540E" w:rsidRDefault="00C86AAA" w:rsidP="00C86AAA">
      <w:pPr>
        <w:jc w:val="both"/>
      </w:pPr>
      <w:r>
        <w:t>The proposed target indicator is as follows:</w:t>
      </w:r>
    </w:p>
    <w:p w14:paraId="2A2F6BFE" w14:textId="4F5886C7" w:rsidR="00C86AAA" w:rsidRPr="00016914" w:rsidRDefault="00C86AAA" w:rsidP="00D857CA">
      <w:pPr>
        <w:pStyle w:val="Blanc"/>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7"/>
        <w:gridCol w:w="4818"/>
      </w:tblGrid>
      <w:tr w:rsidR="002B3AE2" w14:paraId="51CFFF31" w14:textId="77777777" w:rsidTr="00D857CA">
        <w:trPr>
          <w:trHeight w:val="98"/>
        </w:trPr>
        <w:tc>
          <w:tcPr>
            <w:tcW w:w="2500" w:type="pct"/>
          </w:tcPr>
          <w:p w14:paraId="56204824" w14:textId="2D96EC2E" w:rsidR="002B3AE2" w:rsidRPr="00D21C12" w:rsidRDefault="002B3AE2" w:rsidP="00C76CA6">
            <w:pPr>
              <w:pStyle w:val="Tablehead"/>
            </w:pPr>
            <w:r w:rsidRPr="00016914">
              <w:t>Target</w:t>
            </w:r>
            <w:r>
              <w:t xml:space="preserve"> </w:t>
            </w:r>
          </w:p>
        </w:tc>
        <w:tc>
          <w:tcPr>
            <w:tcW w:w="2500" w:type="pct"/>
          </w:tcPr>
          <w:p w14:paraId="2F7C6233" w14:textId="37F4D501" w:rsidR="002B3AE2" w:rsidRDefault="002B3AE2" w:rsidP="00C76CA6">
            <w:pPr>
              <w:pStyle w:val="Tablehead"/>
              <w:rPr>
                <w:rFonts w:cs="Calibri"/>
                <w:szCs w:val="22"/>
              </w:rPr>
            </w:pPr>
            <w:r>
              <w:t xml:space="preserve">Target indicator </w:t>
            </w:r>
          </w:p>
        </w:tc>
      </w:tr>
      <w:tr w:rsidR="00C86AAA" w14:paraId="656DCD78" w14:textId="77777777" w:rsidTr="00D857CA">
        <w:trPr>
          <w:trHeight w:val="98"/>
        </w:trPr>
        <w:tc>
          <w:tcPr>
            <w:tcW w:w="2500" w:type="pct"/>
          </w:tcPr>
          <w:p w14:paraId="784EA598" w14:textId="77777777" w:rsidR="00C86AAA" w:rsidRPr="00282CCC" w:rsidRDefault="00C86AAA" w:rsidP="00C76CA6">
            <w:pPr>
              <w:pStyle w:val="Tabletext"/>
            </w:pPr>
            <w:r w:rsidRPr="00D21C12">
              <w:br w:type="page"/>
            </w:r>
            <w:r w:rsidRPr="00496F5F">
              <w:t>1.7: Interoperability standards impact</w:t>
            </w:r>
          </w:p>
        </w:tc>
        <w:tc>
          <w:tcPr>
            <w:tcW w:w="2500" w:type="pct"/>
          </w:tcPr>
          <w:p w14:paraId="7C33AC81" w14:textId="4B34B40E" w:rsidR="00C86AAA" w:rsidRDefault="00C76CA6" w:rsidP="00C76CA6">
            <w:pPr>
              <w:pStyle w:val="Tabletext"/>
              <w:ind w:left="284" w:hanging="284"/>
            </w:pPr>
            <w:r>
              <w:rPr>
                <w:rFonts w:cs="Calibri"/>
                <w:szCs w:val="22"/>
              </w:rPr>
              <w:t>–</w:t>
            </w:r>
            <w:r w:rsidR="00C86AAA">
              <w:rPr>
                <w:rFonts w:cs="Calibri"/>
                <w:szCs w:val="22"/>
              </w:rPr>
              <w:tab/>
            </w:r>
            <w:r w:rsidR="00C86AAA" w:rsidRPr="00DB09AC">
              <w:t>Share of global video traffic carried by ITU-standardized codecs (%)</w:t>
            </w:r>
            <w:r w:rsidR="002B3AE2">
              <w:t xml:space="preserve"> </w:t>
            </w:r>
          </w:p>
        </w:tc>
      </w:tr>
    </w:tbl>
    <w:p w14:paraId="1F703679" w14:textId="77777777" w:rsidR="00C76CA6" w:rsidRDefault="00C76CA6" w:rsidP="00C76CA6">
      <w:pPr>
        <w:pStyle w:val="Tablefin"/>
      </w:pPr>
    </w:p>
    <w:p w14:paraId="40705121" w14:textId="4E771396" w:rsidR="00C86AAA" w:rsidRPr="00072617" w:rsidRDefault="00C86AAA" w:rsidP="00C76CA6">
      <w:pPr>
        <w:jc w:val="both"/>
      </w:pPr>
      <w:proofErr w:type="gramStart"/>
      <w:r w:rsidRPr="00264AF3">
        <w:t xml:space="preserve">In </w:t>
      </w:r>
      <w:r w:rsidR="00490AD8" w:rsidRPr="00490AD8">
        <w:t>the course of</w:t>
      </w:r>
      <w:proofErr w:type="gramEnd"/>
      <w:r w:rsidR="00490AD8" w:rsidRPr="00490AD8">
        <w:t xml:space="preserve"> the consultations</w:t>
      </w:r>
      <w:r w:rsidR="00490AD8">
        <w:t xml:space="preserve"> con</w:t>
      </w:r>
      <w:r w:rsidR="003B1630">
        <w:t>d</w:t>
      </w:r>
      <w:r w:rsidR="00490AD8">
        <w:t>u</w:t>
      </w:r>
      <w:r w:rsidR="003B1630">
        <w:t>cted</w:t>
      </w:r>
      <w:r w:rsidR="001C3753">
        <w:t>,</w:t>
      </w:r>
      <w:r w:rsidR="00490AD8" w:rsidRPr="00490AD8">
        <w:t xml:space="preserve"> </w:t>
      </w:r>
      <w:r w:rsidRPr="00264AF3">
        <w:t xml:space="preserve">the </w:t>
      </w:r>
      <w:r w:rsidR="009B1F66" w:rsidRPr="00264AF3">
        <w:t>s</w:t>
      </w:r>
      <w:r w:rsidRPr="00264AF3">
        <w:t xml:space="preserve">ecretariat </w:t>
      </w:r>
      <w:r w:rsidR="00C867FE">
        <w:t xml:space="preserve">also </w:t>
      </w:r>
      <w:r w:rsidRPr="00264AF3">
        <w:t>identified</w:t>
      </w:r>
      <w:r w:rsidR="00C867FE">
        <w:t xml:space="preserve"> the following</w:t>
      </w:r>
      <w:r w:rsidRPr="00264AF3">
        <w:t xml:space="preserve"> forward-looking outcome indicator for consideration by PP</w:t>
      </w:r>
      <w:r w:rsidRPr="00264AF3">
        <w:rPr>
          <w:rFonts w:ascii="Cambria Math" w:hAnsi="Cambria Math" w:cs="Cambria Math"/>
        </w:rPr>
        <w:t>‑</w:t>
      </w:r>
      <w:r w:rsidRPr="00264AF3">
        <w:t>26. The same numbering system that once enabled universal telephony is now extending connectivity by allowing satellites to link directly to handsets beyond the reach of terrestrial networks. In this context, the proposed outcome indicator is as follows</w:t>
      </w:r>
      <w:r w:rsidRPr="00072617">
        <w:rPr>
          <w:rFonts w:asciiTheme="minorHAnsi" w:hAnsiTheme="minorHAnsi" w:cstheme="minorHAnsi"/>
          <w:szCs w:val="24"/>
        </w:rPr>
        <w:t>:</w:t>
      </w:r>
    </w:p>
    <w:p w14:paraId="2FE54557" w14:textId="0F0A92E5" w:rsidR="00C86AAA" w:rsidRPr="00072617" w:rsidRDefault="00C86AAA" w:rsidP="00D857CA">
      <w:pPr>
        <w:pStyle w:val="Blanc"/>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2"/>
        <w:gridCol w:w="3776"/>
        <w:gridCol w:w="3777"/>
      </w:tblGrid>
      <w:tr w:rsidR="002B3AE2" w:rsidRPr="008058A2" w14:paraId="7FF9F8B1" w14:textId="77777777" w:rsidTr="00D857CA">
        <w:trPr>
          <w:trHeight w:val="97"/>
        </w:trPr>
        <w:tc>
          <w:tcPr>
            <w:tcW w:w="1080" w:type="pct"/>
          </w:tcPr>
          <w:p w14:paraId="7CAB5974" w14:textId="230A590D" w:rsidR="002B3AE2" w:rsidRPr="00C76CA6" w:rsidRDefault="002B3AE2" w:rsidP="00C76CA6">
            <w:pPr>
              <w:pStyle w:val="Tablehead"/>
            </w:pPr>
            <w:r w:rsidRPr="00C76CA6">
              <w:t xml:space="preserve">Priority </w:t>
            </w:r>
          </w:p>
        </w:tc>
        <w:tc>
          <w:tcPr>
            <w:tcW w:w="1960" w:type="pct"/>
          </w:tcPr>
          <w:p w14:paraId="5493BB77" w14:textId="147CDC7F" w:rsidR="002B3AE2" w:rsidRPr="00C76CA6" w:rsidRDefault="002B3AE2" w:rsidP="00C76CA6">
            <w:pPr>
              <w:pStyle w:val="Tablehead"/>
            </w:pPr>
            <w:r w:rsidRPr="00C76CA6">
              <w:t xml:space="preserve">Outcome </w:t>
            </w:r>
          </w:p>
        </w:tc>
        <w:tc>
          <w:tcPr>
            <w:tcW w:w="1960" w:type="pct"/>
          </w:tcPr>
          <w:p w14:paraId="428B95AD" w14:textId="23B216B0" w:rsidR="002B3AE2" w:rsidRPr="00C76CA6" w:rsidRDefault="002B3AE2" w:rsidP="00C76CA6">
            <w:pPr>
              <w:pStyle w:val="Tablehead"/>
            </w:pPr>
            <w:r w:rsidRPr="00C76CA6">
              <w:t>Outcome indicator</w:t>
            </w:r>
          </w:p>
        </w:tc>
      </w:tr>
      <w:tr w:rsidR="00C86AAA" w:rsidRPr="008058A2" w14:paraId="2BC17E66" w14:textId="77777777" w:rsidTr="00D857CA">
        <w:trPr>
          <w:trHeight w:val="97"/>
        </w:trPr>
        <w:tc>
          <w:tcPr>
            <w:tcW w:w="1080" w:type="pct"/>
          </w:tcPr>
          <w:p w14:paraId="09A1F918" w14:textId="77777777" w:rsidR="00C86AAA" w:rsidRPr="00C76CA6" w:rsidRDefault="00C86AAA" w:rsidP="00C76CA6">
            <w:pPr>
              <w:pStyle w:val="Tabletext"/>
              <w:rPr>
                <w:b/>
                <w:bCs/>
              </w:rPr>
            </w:pPr>
            <w:r w:rsidRPr="00C76CA6">
              <w:rPr>
                <w:b/>
                <w:bCs/>
              </w:rPr>
              <w:t>Global telecommunications / ICTs interoperability and innovation</w:t>
            </w:r>
          </w:p>
        </w:tc>
        <w:tc>
          <w:tcPr>
            <w:tcW w:w="1960" w:type="pct"/>
          </w:tcPr>
          <w:p w14:paraId="25DDC312" w14:textId="57D84FE2" w:rsidR="00C86AAA" w:rsidRPr="00072617" w:rsidRDefault="00C76CA6" w:rsidP="00C76CA6">
            <w:pPr>
              <w:pStyle w:val="Tabletext"/>
              <w:ind w:left="284" w:hanging="284"/>
            </w:pPr>
            <w:r>
              <w:t>–</w:t>
            </w:r>
            <w:r w:rsidR="00C86AAA" w:rsidRPr="00C76CA6">
              <w:tab/>
            </w:r>
            <w:r w:rsidR="00C86AAA" w:rsidRPr="00072617">
              <w:t>Enhanced Performance, Reliability and Coordination of Global Telecommunication Networks and Services</w:t>
            </w:r>
          </w:p>
        </w:tc>
        <w:tc>
          <w:tcPr>
            <w:tcW w:w="1960" w:type="pct"/>
          </w:tcPr>
          <w:p w14:paraId="4791499A" w14:textId="075127A8" w:rsidR="00C86AAA" w:rsidRPr="00072617" w:rsidRDefault="00C76CA6" w:rsidP="00C76CA6">
            <w:pPr>
              <w:pStyle w:val="Tabletext"/>
              <w:ind w:left="284" w:hanging="284"/>
            </w:pPr>
            <w:r>
              <w:t>–</w:t>
            </w:r>
            <w:r w:rsidR="00C86AAA" w:rsidRPr="00C76CA6">
              <w:tab/>
            </w:r>
            <w:r w:rsidRPr="00072617">
              <w:t xml:space="preserve">Number </w:t>
            </w:r>
            <w:r w:rsidR="00C86AAA" w:rsidRPr="00072617">
              <w:t>of new IoT, satellite and emerging-service networks using ITU international numbering, per year</w:t>
            </w:r>
          </w:p>
        </w:tc>
      </w:tr>
    </w:tbl>
    <w:p w14:paraId="48F8BB05" w14:textId="77777777" w:rsidR="00D66E3F" w:rsidRDefault="00D66E3F" w:rsidP="00D66E3F">
      <w:pPr>
        <w:pStyle w:val="Tablefin"/>
      </w:pPr>
    </w:p>
    <w:p w14:paraId="3D7259BB" w14:textId="49A3035B" w:rsidR="00C86AAA" w:rsidRPr="0008540E" w:rsidRDefault="00D66E3F" w:rsidP="00D66E3F">
      <w:pPr>
        <w:jc w:val="center"/>
      </w:pPr>
      <w:r>
        <w:t>______________</w:t>
      </w:r>
    </w:p>
    <w:sectPr w:rsidR="00C86AAA" w:rsidRPr="0008540E" w:rsidSect="00361097">
      <w:headerReference w:type="default" r:id="rId14"/>
      <w:footerReference w:type="first" r:id="rId15"/>
      <w:type w:val="continuous"/>
      <w:pgSz w:w="11913"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E39CF8" w14:textId="77777777" w:rsidR="00B85B86" w:rsidRDefault="00B85B86">
      <w:r>
        <w:separator/>
      </w:r>
    </w:p>
  </w:endnote>
  <w:endnote w:type="continuationSeparator" w:id="0">
    <w:p w14:paraId="1664CFE2" w14:textId="77777777" w:rsidR="00B85B86" w:rsidRDefault="00B85B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3A2EA" w14:textId="77777777" w:rsidR="00A516BB" w:rsidRPr="003F2E54" w:rsidRDefault="00AB2D04" w:rsidP="003F2E54">
    <w:pPr>
      <w:pStyle w:val="firstfooter0"/>
      <w:spacing w:before="0" w:beforeAutospacing="0" w:after="0" w:afterAutospacing="0"/>
      <w:jc w:val="center"/>
      <w:rPr>
        <w:rFonts w:asciiTheme="minorHAnsi" w:hAnsiTheme="minorHAnsi"/>
        <w:sz w:val="18"/>
        <w:szCs w:val="18"/>
        <w:lang w:val="en-GB"/>
      </w:rPr>
    </w:pPr>
    <w:r>
      <w:rPr>
        <w:rFonts w:ascii="Symbol" w:hAnsi="Symbol"/>
        <w:sz w:val="22"/>
        <w:szCs w:val="20"/>
        <w:lang w:val="en-GB"/>
      </w:rPr>
      <w:t></w:t>
    </w:r>
    <w:r>
      <w:rPr>
        <w:sz w:val="20"/>
        <w:szCs w:val="20"/>
        <w:lang w:val="en-GB"/>
      </w:rPr>
      <w:t xml:space="preserve"> </w:t>
    </w:r>
    <w:hyperlink r:id="rId1" w:history="1">
      <w:proofErr w:type="spellStart"/>
      <w:r w:rsidRPr="00895033">
        <w:rPr>
          <w:rStyle w:val="Hyperlink"/>
          <w:sz w:val="22"/>
          <w:szCs w:val="22"/>
          <w:lang w:val="en-GB"/>
        </w:rPr>
        <w:t>www.itu.int</w:t>
      </w:r>
      <w:proofErr w:type="spellEnd"/>
      <w:r w:rsidRPr="00895033">
        <w:rPr>
          <w:rStyle w:val="Hyperlink"/>
          <w:sz w:val="22"/>
          <w:szCs w:val="22"/>
          <w:lang w:val="en-GB"/>
        </w:rPr>
        <w:t>/plenipotentiary/</w:t>
      </w:r>
    </w:hyperlink>
    <w:r>
      <w:rPr>
        <w:sz w:val="20"/>
        <w:szCs w:val="20"/>
        <w:lang w:val="en-GB"/>
      </w:rPr>
      <w:t xml:space="preserve"> </w:t>
    </w:r>
    <w:r>
      <w:rPr>
        <w:rFonts w:ascii="Symbol" w:hAnsi="Symbol"/>
        <w:sz w:val="22"/>
        <w:szCs w:val="20"/>
        <w:lang w:val="en-GB"/>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7730B1" w14:textId="77777777" w:rsidR="00B85B86" w:rsidRDefault="00B85B86">
      <w:r>
        <w:t>____________________</w:t>
      </w:r>
    </w:p>
  </w:footnote>
  <w:footnote w:type="continuationSeparator" w:id="0">
    <w:p w14:paraId="3B56A7B6" w14:textId="77777777" w:rsidR="00B85B86" w:rsidRDefault="00B85B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031C1" w14:textId="77777777" w:rsidR="000507C1" w:rsidRDefault="000507C1" w:rsidP="00CE1B90">
    <w:pPr>
      <w:pStyle w:val="Header"/>
    </w:pPr>
    <w:r>
      <w:fldChar w:fldCharType="begin"/>
    </w:r>
    <w:r>
      <w:instrText xml:space="preserve"> PAGE   \* MERGEFORMAT </w:instrText>
    </w:r>
    <w:r>
      <w:fldChar w:fldCharType="separate"/>
    </w:r>
    <w:r w:rsidR="006F794B">
      <w:rPr>
        <w:noProof/>
      </w:rPr>
      <w:t>2</w:t>
    </w:r>
    <w:r>
      <w:fldChar w:fldCharType="end"/>
    </w:r>
  </w:p>
  <w:p w14:paraId="7D218D41" w14:textId="697C74A0" w:rsidR="00CE1B90" w:rsidRDefault="00CE1B90" w:rsidP="004F7925">
    <w:pPr>
      <w:pStyle w:val="Header"/>
    </w:pPr>
    <w:proofErr w:type="spellStart"/>
    <w:r>
      <w:t>PP</w:t>
    </w:r>
    <w:r w:rsidR="000235EC">
      <w:t>2</w:t>
    </w:r>
    <w:r w:rsidR="00EF3B7A">
      <w:t>6</w:t>
    </w:r>
    <w:proofErr w:type="spellEnd"/>
    <w:r>
      <w:t>/</w:t>
    </w:r>
    <w:r w:rsidR="00863BEF">
      <w:t>33</w:t>
    </w:r>
    <w:r w:rsidR="0044665A">
      <w: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43A901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142186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19681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276D8A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6E2B4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0694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08A055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48AD9B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65491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B66F14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7376DA2"/>
    <w:multiLevelType w:val="hybridMultilevel"/>
    <w:tmpl w:val="DE0E3940"/>
    <w:lvl w:ilvl="0" w:tplc="B9C4400E">
      <w:start w:val="2927"/>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0FB2EEF"/>
    <w:multiLevelType w:val="hybridMultilevel"/>
    <w:tmpl w:val="E42044D2"/>
    <w:lvl w:ilvl="0" w:tplc="A150EE12">
      <w:start w:val="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54517434">
    <w:abstractNumId w:val="9"/>
  </w:num>
  <w:num w:numId="2" w16cid:durableId="1650473550">
    <w:abstractNumId w:val="7"/>
  </w:num>
  <w:num w:numId="3" w16cid:durableId="1661887266">
    <w:abstractNumId w:val="6"/>
  </w:num>
  <w:num w:numId="4" w16cid:durableId="1298608211">
    <w:abstractNumId w:val="5"/>
  </w:num>
  <w:num w:numId="5" w16cid:durableId="1184128122">
    <w:abstractNumId w:val="4"/>
  </w:num>
  <w:num w:numId="6" w16cid:durableId="1412199952">
    <w:abstractNumId w:val="8"/>
  </w:num>
  <w:num w:numId="7" w16cid:durableId="437944225">
    <w:abstractNumId w:val="3"/>
  </w:num>
  <w:num w:numId="8" w16cid:durableId="708798396">
    <w:abstractNumId w:val="2"/>
  </w:num>
  <w:num w:numId="9" w16cid:durableId="1967658439">
    <w:abstractNumId w:val="1"/>
  </w:num>
  <w:num w:numId="10" w16cid:durableId="1995139557">
    <w:abstractNumId w:val="0"/>
  </w:num>
  <w:num w:numId="11" w16cid:durableId="447353186">
    <w:abstractNumId w:val="8"/>
  </w:num>
  <w:num w:numId="12" w16cid:durableId="1857694748">
    <w:abstractNumId w:val="3"/>
  </w:num>
  <w:num w:numId="13" w16cid:durableId="1790590483">
    <w:abstractNumId w:val="2"/>
  </w:num>
  <w:num w:numId="14" w16cid:durableId="452985970">
    <w:abstractNumId w:val="1"/>
  </w:num>
  <w:num w:numId="15" w16cid:durableId="1814907856">
    <w:abstractNumId w:val="0"/>
  </w:num>
  <w:num w:numId="16" w16cid:durableId="284433838">
    <w:abstractNumId w:val="10"/>
  </w:num>
  <w:num w:numId="17" w16cid:durableId="6882644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DateAndTime/>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3101"/>
    <w:rsid w:val="00000AF8"/>
    <w:rsid w:val="00001935"/>
    <w:rsid w:val="000035FC"/>
    <w:rsid w:val="000048E4"/>
    <w:rsid w:val="00004F8B"/>
    <w:rsid w:val="00010B2A"/>
    <w:rsid w:val="00011208"/>
    <w:rsid w:val="000125C8"/>
    <w:rsid w:val="000125D7"/>
    <w:rsid w:val="000128EF"/>
    <w:rsid w:val="000143FA"/>
    <w:rsid w:val="00014808"/>
    <w:rsid w:val="00015E97"/>
    <w:rsid w:val="000235EC"/>
    <w:rsid w:val="00041924"/>
    <w:rsid w:val="00046403"/>
    <w:rsid w:val="000507C1"/>
    <w:rsid w:val="00053B97"/>
    <w:rsid w:val="000563AC"/>
    <w:rsid w:val="00057570"/>
    <w:rsid w:val="0006412E"/>
    <w:rsid w:val="00070BBF"/>
    <w:rsid w:val="000751AC"/>
    <w:rsid w:val="00081B43"/>
    <w:rsid w:val="00082EB9"/>
    <w:rsid w:val="000842DF"/>
    <w:rsid w:val="0008540E"/>
    <w:rsid w:val="00094B4F"/>
    <w:rsid w:val="000A1015"/>
    <w:rsid w:val="000B03F9"/>
    <w:rsid w:val="000B0A77"/>
    <w:rsid w:val="000B0D6C"/>
    <w:rsid w:val="000B596F"/>
    <w:rsid w:val="000B5BB9"/>
    <w:rsid w:val="000B7152"/>
    <w:rsid w:val="000C4701"/>
    <w:rsid w:val="000D7D05"/>
    <w:rsid w:val="000E4840"/>
    <w:rsid w:val="000E4C7A"/>
    <w:rsid w:val="000E5E15"/>
    <w:rsid w:val="000F5A9A"/>
    <w:rsid w:val="000F73D1"/>
    <w:rsid w:val="001001C5"/>
    <w:rsid w:val="00105EFE"/>
    <w:rsid w:val="00106777"/>
    <w:rsid w:val="00114122"/>
    <w:rsid w:val="0011489E"/>
    <w:rsid w:val="00114BA3"/>
    <w:rsid w:val="00115DEC"/>
    <w:rsid w:val="0012014C"/>
    <w:rsid w:val="00123F09"/>
    <w:rsid w:val="00127FA6"/>
    <w:rsid w:val="00132DB9"/>
    <w:rsid w:val="00136175"/>
    <w:rsid w:val="00140FF0"/>
    <w:rsid w:val="00142F28"/>
    <w:rsid w:val="0014312D"/>
    <w:rsid w:val="00146057"/>
    <w:rsid w:val="00161C12"/>
    <w:rsid w:val="00161CDA"/>
    <w:rsid w:val="0016633C"/>
    <w:rsid w:val="00171990"/>
    <w:rsid w:val="00195B70"/>
    <w:rsid w:val="001A0EEB"/>
    <w:rsid w:val="001A16ED"/>
    <w:rsid w:val="001A239B"/>
    <w:rsid w:val="001A289B"/>
    <w:rsid w:val="001A30D8"/>
    <w:rsid w:val="001A37E7"/>
    <w:rsid w:val="001A7B7E"/>
    <w:rsid w:val="001B18AB"/>
    <w:rsid w:val="001B302D"/>
    <w:rsid w:val="001B52E8"/>
    <w:rsid w:val="001B70D1"/>
    <w:rsid w:val="001C2D51"/>
    <w:rsid w:val="001C3753"/>
    <w:rsid w:val="001C3804"/>
    <w:rsid w:val="001D3322"/>
    <w:rsid w:val="001D7445"/>
    <w:rsid w:val="001E01A5"/>
    <w:rsid w:val="001E18AB"/>
    <w:rsid w:val="001E1C8F"/>
    <w:rsid w:val="001F0B24"/>
    <w:rsid w:val="001F4060"/>
    <w:rsid w:val="001F4406"/>
    <w:rsid w:val="002061ED"/>
    <w:rsid w:val="00206E63"/>
    <w:rsid w:val="002115E0"/>
    <w:rsid w:val="00215F12"/>
    <w:rsid w:val="00226AA8"/>
    <w:rsid w:val="0023201B"/>
    <w:rsid w:val="00232B31"/>
    <w:rsid w:val="00235A3B"/>
    <w:rsid w:val="00243BE4"/>
    <w:rsid w:val="00257188"/>
    <w:rsid w:val="002578B4"/>
    <w:rsid w:val="00260D44"/>
    <w:rsid w:val="002631DC"/>
    <w:rsid w:val="002646C6"/>
    <w:rsid w:val="00267D12"/>
    <w:rsid w:val="00281792"/>
    <w:rsid w:val="0028799E"/>
    <w:rsid w:val="002944A7"/>
    <w:rsid w:val="0029594A"/>
    <w:rsid w:val="002962A8"/>
    <w:rsid w:val="002A0FCE"/>
    <w:rsid w:val="002A10A5"/>
    <w:rsid w:val="002A2E2C"/>
    <w:rsid w:val="002A56C0"/>
    <w:rsid w:val="002B34C1"/>
    <w:rsid w:val="002B3AE2"/>
    <w:rsid w:val="002E0796"/>
    <w:rsid w:val="002E77F4"/>
    <w:rsid w:val="002F36B9"/>
    <w:rsid w:val="002F5FA2"/>
    <w:rsid w:val="003038E3"/>
    <w:rsid w:val="003126B0"/>
    <w:rsid w:val="00314127"/>
    <w:rsid w:val="00314C12"/>
    <w:rsid w:val="003261C3"/>
    <w:rsid w:val="00340380"/>
    <w:rsid w:val="003453DA"/>
    <w:rsid w:val="003531C4"/>
    <w:rsid w:val="00357754"/>
    <w:rsid w:val="003578E4"/>
    <w:rsid w:val="00361097"/>
    <w:rsid w:val="003650E2"/>
    <w:rsid w:val="00373A0D"/>
    <w:rsid w:val="003740BC"/>
    <w:rsid w:val="00375076"/>
    <w:rsid w:val="00375BBA"/>
    <w:rsid w:val="0037713B"/>
    <w:rsid w:val="003826EA"/>
    <w:rsid w:val="003839EE"/>
    <w:rsid w:val="00393B3D"/>
    <w:rsid w:val="00395CE4"/>
    <w:rsid w:val="003A1D2E"/>
    <w:rsid w:val="003A32AD"/>
    <w:rsid w:val="003A33F1"/>
    <w:rsid w:val="003A3938"/>
    <w:rsid w:val="003A4E67"/>
    <w:rsid w:val="003A5FFB"/>
    <w:rsid w:val="003A7923"/>
    <w:rsid w:val="003A7FB6"/>
    <w:rsid w:val="003B1630"/>
    <w:rsid w:val="003B3751"/>
    <w:rsid w:val="003B5F58"/>
    <w:rsid w:val="003C35BA"/>
    <w:rsid w:val="003E73FD"/>
    <w:rsid w:val="003F0763"/>
    <w:rsid w:val="003F2121"/>
    <w:rsid w:val="003F2E54"/>
    <w:rsid w:val="003F5771"/>
    <w:rsid w:val="003F61F3"/>
    <w:rsid w:val="004014B0"/>
    <w:rsid w:val="004059B0"/>
    <w:rsid w:val="00406C9C"/>
    <w:rsid w:val="00407A26"/>
    <w:rsid w:val="004113EA"/>
    <w:rsid w:val="00425067"/>
    <w:rsid w:val="00426AC1"/>
    <w:rsid w:val="004321DC"/>
    <w:rsid w:val="00435AA4"/>
    <w:rsid w:val="00435EA8"/>
    <w:rsid w:val="004360BB"/>
    <w:rsid w:val="0044665A"/>
    <w:rsid w:val="004529ED"/>
    <w:rsid w:val="0045533C"/>
    <w:rsid w:val="004606DA"/>
    <w:rsid w:val="00463092"/>
    <w:rsid w:val="004676C0"/>
    <w:rsid w:val="00474E00"/>
    <w:rsid w:val="004835DB"/>
    <w:rsid w:val="00490AD8"/>
    <w:rsid w:val="00491D2D"/>
    <w:rsid w:val="00494797"/>
    <w:rsid w:val="004B0108"/>
    <w:rsid w:val="004B0C10"/>
    <w:rsid w:val="004B167B"/>
    <w:rsid w:val="004B492A"/>
    <w:rsid w:val="004C0EF7"/>
    <w:rsid w:val="004C19D7"/>
    <w:rsid w:val="004C1EC0"/>
    <w:rsid w:val="004C297B"/>
    <w:rsid w:val="004C3F66"/>
    <w:rsid w:val="004C73C9"/>
    <w:rsid w:val="004D0210"/>
    <w:rsid w:val="004D3101"/>
    <w:rsid w:val="004D7CA6"/>
    <w:rsid w:val="004D7CC5"/>
    <w:rsid w:val="004E01FA"/>
    <w:rsid w:val="004E6764"/>
    <w:rsid w:val="004F041D"/>
    <w:rsid w:val="004F1C55"/>
    <w:rsid w:val="004F7925"/>
    <w:rsid w:val="0050048C"/>
    <w:rsid w:val="00504FE5"/>
    <w:rsid w:val="00507348"/>
    <w:rsid w:val="00515BAF"/>
    <w:rsid w:val="00522C97"/>
    <w:rsid w:val="005356FD"/>
    <w:rsid w:val="00547D75"/>
    <w:rsid w:val="00550614"/>
    <w:rsid w:val="00551C8B"/>
    <w:rsid w:val="00554715"/>
    <w:rsid w:val="00554E24"/>
    <w:rsid w:val="00555A0F"/>
    <w:rsid w:val="00567130"/>
    <w:rsid w:val="0056798D"/>
    <w:rsid w:val="0057034B"/>
    <w:rsid w:val="00581E8F"/>
    <w:rsid w:val="00586A98"/>
    <w:rsid w:val="00586F0E"/>
    <w:rsid w:val="00591C15"/>
    <w:rsid w:val="005927A4"/>
    <w:rsid w:val="00592E8C"/>
    <w:rsid w:val="00596B48"/>
    <w:rsid w:val="005B10E8"/>
    <w:rsid w:val="005B5026"/>
    <w:rsid w:val="005B661F"/>
    <w:rsid w:val="005C27A2"/>
    <w:rsid w:val="005C3315"/>
    <w:rsid w:val="005C5824"/>
    <w:rsid w:val="005E1CC3"/>
    <w:rsid w:val="005E56B5"/>
    <w:rsid w:val="005E61E1"/>
    <w:rsid w:val="005E7454"/>
    <w:rsid w:val="005F05C8"/>
    <w:rsid w:val="00604079"/>
    <w:rsid w:val="00606A6A"/>
    <w:rsid w:val="0061707E"/>
    <w:rsid w:val="006178FB"/>
    <w:rsid w:val="00617BE4"/>
    <w:rsid w:val="00620233"/>
    <w:rsid w:val="00627DF4"/>
    <w:rsid w:val="006349EF"/>
    <w:rsid w:val="006404B0"/>
    <w:rsid w:val="0064739E"/>
    <w:rsid w:val="0066499C"/>
    <w:rsid w:val="00664F70"/>
    <w:rsid w:val="00670F5C"/>
    <w:rsid w:val="00676E68"/>
    <w:rsid w:val="0069174B"/>
    <w:rsid w:val="006A7108"/>
    <w:rsid w:val="006B2035"/>
    <w:rsid w:val="006B40DA"/>
    <w:rsid w:val="006C5D1B"/>
    <w:rsid w:val="006C5D5D"/>
    <w:rsid w:val="006D139F"/>
    <w:rsid w:val="006E215D"/>
    <w:rsid w:val="006E57C8"/>
    <w:rsid w:val="006E70E1"/>
    <w:rsid w:val="006F565E"/>
    <w:rsid w:val="006F794B"/>
    <w:rsid w:val="00701389"/>
    <w:rsid w:val="00701ABB"/>
    <w:rsid w:val="00705037"/>
    <w:rsid w:val="00711035"/>
    <w:rsid w:val="007130ED"/>
    <w:rsid w:val="007140CF"/>
    <w:rsid w:val="0071582A"/>
    <w:rsid w:val="00722595"/>
    <w:rsid w:val="0073319E"/>
    <w:rsid w:val="00733C8A"/>
    <w:rsid w:val="00737F2E"/>
    <w:rsid w:val="00745A37"/>
    <w:rsid w:val="00750829"/>
    <w:rsid w:val="007538C9"/>
    <w:rsid w:val="00753F63"/>
    <w:rsid w:val="007542C4"/>
    <w:rsid w:val="00754C0B"/>
    <w:rsid w:val="00755067"/>
    <w:rsid w:val="007561B6"/>
    <w:rsid w:val="007648ED"/>
    <w:rsid w:val="007649DA"/>
    <w:rsid w:val="00765553"/>
    <w:rsid w:val="00777B8B"/>
    <w:rsid w:val="007843EE"/>
    <w:rsid w:val="00794795"/>
    <w:rsid w:val="007949EA"/>
    <w:rsid w:val="00796849"/>
    <w:rsid w:val="00796DAE"/>
    <w:rsid w:val="007A59C3"/>
    <w:rsid w:val="007B0E06"/>
    <w:rsid w:val="007B30FC"/>
    <w:rsid w:val="007C3643"/>
    <w:rsid w:val="007C4382"/>
    <w:rsid w:val="007C617F"/>
    <w:rsid w:val="007D5061"/>
    <w:rsid w:val="007D7003"/>
    <w:rsid w:val="007E00D2"/>
    <w:rsid w:val="007E2AD4"/>
    <w:rsid w:val="007E3469"/>
    <w:rsid w:val="007E7B63"/>
    <w:rsid w:val="007F07C7"/>
    <w:rsid w:val="007F510E"/>
    <w:rsid w:val="00810AD6"/>
    <w:rsid w:val="00813DD2"/>
    <w:rsid w:val="0082780C"/>
    <w:rsid w:val="00831546"/>
    <w:rsid w:val="008333C7"/>
    <w:rsid w:val="00833E0F"/>
    <w:rsid w:val="008404FD"/>
    <w:rsid w:val="00841AB4"/>
    <w:rsid w:val="00846DBA"/>
    <w:rsid w:val="00850AEF"/>
    <w:rsid w:val="00853438"/>
    <w:rsid w:val="00855DAB"/>
    <w:rsid w:val="00860C6A"/>
    <w:rsid w:val="00862891"/>
    <w:rsid w:val="00863BEF"/>
    <w:rsid w:val="00875048"/>
    <w:rsid w:val="00875BE1"/>
    <w:rsid w:val="00877715"/>
    <w:rsid w:val="00895033"/>
    <w:rsid w:val="00895CE3"/>
    <w:rsid w:val="0089603F"/>
    <w:rsid w:val="00897970"/>
    <w:rsid w:val="008B5A71"/>
    <w:rsid w:val="008C72D3"/>
    <w:rsid w:val="008D3BE2"/>
    <w:rsid w:val="008D4D98"/>
    <w:rsid w:val="008E2A7B"/>
    <w:rsid w:val="008E6E9B"/>
    <w:rsid w:val="008F2C56"/>
    <w:rsid w:val="008F3C99"/>
    <w:rsid w:val="008F3F9F"/>
    <w:rsid w:val="00900D5B"/>
    <w:rsid w:val="00917D61"/>
    <w:rsid w:val="009236FE"/>
    <w:rsid w:val="0092704A"/>
    <w:rsid w:val="00940E00"/>
    <w:rsid w:val="0094388A"/>
    <w:rsid w:val="00945D4B"/>
    <w:rsid w:val="0094741F"/>
    <w:rsid w:val="00950E0F"/>
    <w:rsid w:val="0096150D"/>
    <w:rsid w:val="009630FA"/>
    <w:rsid w:val="00967103"/>
    <w:rsid w:val="00967670"/>
    <w:rsid w:val="00970996"/>
    <w:rsid w:val="009800CC"/>
    <w:rsid w:val="009A078E"/>
    <w:rsid w:val="009A2B30"/>
    <w:rsid w:val="009A4211"/>
    <w:rsid w:val="009A47A2"/>
    <w:rsid w:val="009A6789"/>
    <w:rsid w:val="009B1F66"/>
    <w:rsid w:val="009E425E"/>
    <w:rsid w:val="009E4322"/>
    <w:rsid w:val="009F3168"/>
    <w:rsid w:val="009F4384"/>
    <w:rsid w:val="009F442D"/>
    <w:rsid w:val="009F50DA"/>
    <w:rsid w:val="009F534B"/>
    <w:rsid w:val="00A06D56"/>
    <w:rsid w:val="00A113BD"/>
    <w:rsid w:val="00A13EA9"/>
    <w:rsid w:val="00A314A2"/>
    <w:rsid w:val="00A419BD"/>
    <w:rsid w:val="00A516BB"/>
    <w:rsid w:val="00A619C5"/>
    <w:rsid w:val="00A6761E"/>
    <w:rsid w:val="00A808E1"/>
    <w:rsid w:val="00A8262F"/>
    <w:rsid w:val="00A84B32"/>
    <w:rsid w:val="00A84B3A"/>
    <w:rsid w:val="00A87124"/>
    <w:rsid w:val="00A93B71"/>
    <w:rsid w:val="00AA083B"/>
    <w:rsid w:val="00AA0CA8"/>
    <w:rsid w:val="00AA1208"/>
    <w:rsid w:val="00AA6D0C"/>
    <w:rsid w:val="00AB0B32"/>
    <w:rsid w:val="00AB190D"/>
    <w:rsid w:val="00AB2D04"/>
    <w:rsid w:val="00AB5C39"/>
    <w:rsid w:val="00AB75A9"/>
    <w:rsid w:val="00AC2A8E"/>
    <w:rsid w:val="00AD1C5C"/>
    <w:rsid w:val="00AD3513"/>
    <w:rsid w:val="00AD566F"/>
    <w:rsid w:val="00AD65F5"/>
    <w:rsid w:val="00AE63F9"/>
    <w:rsid w:val="00AF0849"/>
    <w:rsid w:val="00B0725E"/>
    <w:rsid w:val="00B1464D"/>
    <w:rsid w:val="00B156F9"/>
    <w:rsid w:val="00B1733E"/>
    <w:rsid w:val="00B22D2B"/>
    <w:rsid w:val="00B23CD4"/>
    <w:rsid w:val="00B25A86"/>
    <w:rsid w:val="00B304B9"/>
    <w:rsid w:val="00B36880"/>
    <w:rsid w:val="00B55E1A"/>
    <w:rsid w:val="00B57988"/>
    <w:rsid w:val="00B62032"/>
    <w:rsid w:val="00B65F8C"/>
    <w:rsid w:val="00B7263B"/>
    <w:rsid w:val="00B73F47"/>
    <w:rsid w:val="00B7638A"/>
    <w:rsid w:val="00B80DF9"/>
    <w:rsid w:val="00B81C62"/>
    <w:rsid w:val="00B840D8"/>
    <w:rsid w:val="00B85B86"/>
    <w:rsid w:val="00B90F41"/>
    <w:rsid w:val="00B96467"/>
    <w:rsid w:val="00BA154E"/>
    <w:rsid w:val="00BA37CE"/>
    <w:rsid w:val="00BA4692"/>
    <w:rsid w:val="00BC6FDB"/>
    <w:rsid w:val="00BC7DE8"/>
    <w:rsid w:val="00BD1D95"/>
    <w:rsid w:val="00BE0966"/>
    <w:rsid w:val="00BF43BA"/>
    <w:rsid w:val="00BF5722"/>
    <w:rsid w:val="00BF6268"/>
    <w:rsid w:val="00BF720B"/>
    <w:rsid w:val="00C00279"/>
    <w:rsid w:val="00C04511"/>
    <w:rsid w:val="00C112A3"/>
    <w:rsid w:val="00C16846"/>
    <w:rsid w:val="00C3048A"/>
    <w:rsid w:val="00C34851"/>
    <w:rsid w:val="00C42A5B"/>
    <w:rsid w:val="00C5419D"/>
    <w:rsid w:val="00C56038"/>
    <w:rsid w:val="00C62906"/>
    <w:rsid w:val="00C6729F"/>
    <w:rsid w:val="00C70164"/>
    <w:rsid w:val="00C72664"/>
    <w:rsid w:val="00C76CA6"/>
    <w:rsid w:val="00C851F9"/>
    <w:rsid w:val="00C867FE"/>
    <w:rsid w:val="00C86AAA"/>
    <w:rsid w:val="00C86F24"/>
    <w:rsid w:val="00C92BF2"/>
    <w:rsid w:val="00C95252"/>
    <w:rsid w:val="00CA38C9"/>
    <w:rsid w:val="00CB4984"/>
    <w:rsid w:val="00CB5DD7"/>
    <w:rsid w:val="00CB7795"/>
    <w:rsid w:val="00CB77D5"/>
    <w:rsid w:val="00CC14F0"/>
    <w:rsid w:val="00CD52C9"/>
    <w:rsid w:val="00CE1B90"/>
    <w:rsid w:val="00CE3B0F"/>
    <w:rsid w:val="00CE40BB"/>
    <w:rsid w:val="00CF1C71"/>
    <w:rsid w:val="00CF510F"/>
    <w:rsid w:val="00CF7A07"/>
    <w:rsid w:val="00D07696"/>
    <w:rsid w:val="00D11956"/>
    <w:rsid w:val="00D15A98"/>
    <w:rsid w:val="00D22BC9"/>
    <w:rsid w:val="00D500DC"/>
    <w:rsid w:val="00D54B39"/>
    <w:rsid w:val="00D64FF3"/>
    <w:rsid w:val="00D657A2"/>
    <w:rsid w:val="00D66E3F"/>
    <w:rsid w:val="00D75620"/>
    <w:rsid w:val="00D760C8"/>
    <w:rsid w:val="00D83FFD"/>
    <w:rsid w:val="00D8451F"/>
    <w:rsid w:val="00D857CA"/>
    <w:rsid w:val="00D8617D"/>
    <w:rsid w:val="00D92563"/>
    <w:rsid w:val="00D95979"/>
    <w:rsid w:val="00DC17A4"/>
    <w:rsid w:val="00DC7C10"/>
    <w:rsid w:val="00DD26B1"/>
    <w:rsid w:val="00DD5177"/>
    <w:rsid w:val="00DD5B1F"/>
    <w:rsid w:val="00DE16B8"/>
    <w:rsid w:val="00DE20DF"/>
    <w:rsid w:val="00DE473B"/>
    <w:rsid w:val="00DE4CC2"/>
    <w:rsid w:val="00DF23FC"/>
    <w:rsid w:val="00DF39CD"/>
    <w:rsid w:val="00DF3BBE"/>
    <w:rsid w:val="00E0094D"/>
    <w:rsid w:val="00E109E8"/>
    <w:rsid w:val="00E10A17"/>
    <w:rsid w:val="00E11427"/>
    <w:rsid w:val="00E13427"/>
    <w:rsid w:val="00E1374D"/>
    <w:rsid w:val="00E160B1"/>
    <w:rsid w:val="00E164D2"/>
    <w:rsid w:val="00E17F83"/>
    <w:rsid w:val="00E20134"/>
    <w:rsid w:val="00E24CB2"/>
    <w:rsid w:val="00E31D1C"/>
    <w:rsid w:val="00E32981"/>
    <w:rsid w:val="00E34312"/>
    <w:rsid w:val="00E3536D"/>
    <w:rsid w:val="00E353AF"/>
    <w:rsid w:val="00E44456"/>
    <w:rsid w:val="00E473EE"/>
    <w:rsid w:val="00E553B9"/>
    <w:rsid w:val="00E56E57"/>
    <w:rsid w:val="00E62EC4"/>
    <w:rsid w:val="00E6599B"/>
    <w:rsid w:val="00E726DE"/>
    <w:rsid w:val="00E775A3"/>
    <w:rsid w:val="00E844D5"/>
    <w:rsid w:val="00E861DC"/>
    <w:rsid w:val="00E86536"/>
    <w:rsid w:val="00E871C2"/>
    <w:rsid w:val="00E87BEE"/>
    <w:rsid w:val="00E90159"/>
    <w:rsid w:val="00EA1BAA"/>
    <w:rsid w:val="00EA53C3"/>
    <w:rsid w:val="00EA6697"/>
    <w:rsid w:val="00EB1757"/>
    <w:rsid w:val="00EC1F5C"/>
    <w:rsid w:val="00EC1F74"/>
    <w:rsid w:val="00ED401C"/>
    <w:rsid w:val="00EE333B"/>
    <w:rsid w:val="00EE34E1"/>
    <w:rsid w:val="00EF2642"/>
    <w:rsid w:val="00EF3681"/>
    <w:rsid w:val="00EF3B7A"/>
    <w:rsid w:val="00EF4AAB"/>
    <w:rsid w:val="00F10790"/>
    <w:rsid w:val="00F10E7C"/>
    <w:rsid w:val="00F13C1E"/>
    <w:rsid w:val="00F16F17"/>
    <w:rsid w:val="00F20BC2"/>
    <w:rsid w:val="00F31015"/>
    <w:rsid w:val="00F3225F"/>
    <w:rsid w:val="00F342E4"/>
    <w:rsid w:val="00F35330"/>
    <w:rsid w:val="00F41C91"/>
    <w:rsid w:val="00F433A4"/>
    <w:rsid w:val="00F4421A"/>
    <w:rsid w:val="00F44B1A"/>
    <w:rsid w:val="00F47316"/>
    <w:rsid w:val="00F55CB8"/>
    <w:rsid w:val="00F55DA5"/>
    <w:rsid w:val="00F94BC2"/>
    <w:rsid w:val="00F95ABE"/>
    <w:rsid w:val="00F9756D"/>
    <w:rsid w:val="00FB5F12"/>
    <w:rsid w:val="00FC5117"/>
    <w:rsid w:val="00FD417F"/>
    <w:rsid w:val="00FD56CC"/>
    <w:rsid w:val="00FD6BFD"/>
    <w:rsid w:val="00FD6F22"/>
    <w:rsid w:val="00FD7255"/>
    <w:rsid w:val="00FD7B1D"/>
    <w:rsid w:val="00FD7D56"/>
    <w:rsid w:val="00FE1E22"/>
    <w:rsid w:val="00FE5737"/>
    <w:rsid w:val="00FF04D6"/>
    <w:rsid w:val="04D7E162"/>
    <w:rsid w:val="0C49921A"/>
    <w:rsid w:val="2EF85DD5"/>
    <w:rsid w:val="31B46902"/>
    <w:rsid w:val="32E0D164"/>
    <w:rsid w:val="33F70934"/>
    <w:rsid w:val="35C2C6CF"/>
    <w:rsid w:val="40B70E8D"/>
    <w:rsid w:val="4D043279"/>
    <w:rsid w:val="516D9FC5"/>
    <w:rsid w:val="5DF01470"/>
    <w:rsid w:val="6EB3FB58"/>
    <w:rsid w:val="77195A0B"/>
    <w:rsid w:val="7972DD7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5D4512"/>
  <w15:docId w15:val="{8A711181-0793-4E1A-A516-C46D8240E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E18AB"/>
    <w:pPr>
      <w:tabs>
        <w:tab w:val="left" w:pos="567"/>
        <w:tab w:val="left" w:pos="1134"/>
        <w:tab w:val="left" w:pos="1701"/>
        <w:tab w:val="left" w:pos="2268"/>
        <w:tab w:val="left" w:pos="2835"/>
      </w:tabs>
      <w:overflowPunct w:val="0"/>
      <w:autoSpaceDE w:val="0"/>
      <w:autoSpaceDN w:val="0"/>
      <w:adjustRightInd w:val="0"/>
      <w:spacing w:before="120"/>
      <w:textAlignment w:val="baseline"/>
    </w:pPr>
    <w:rPr>
      <w:rFonts w:ascii="Calibri" w:hAnsi="Calibri"/>
      <w:sz w:val="24"/>
      <w:lang w:val="en-GB" w:eastAsia="en-US"/>
    </w:rPr>
  </w:style>
  <w:style w:type="paragraph" w:styleId="Heading1">
    <w:name w:val="heading 1"/>
    <w:basedOn w:val="Normal"/>
    <w:next w:val="Normal"/>
    <w:qFormat/>
    <w:rsid w:val="002F5FA2"/>
    <w:pPr>
      <w:keepNext/>
      <w:keepLines/>
      <w:spacing w:before="480"/>
      <w:ind w:left="567" w:hanging="567"/>
      <w:outlineLvl w:val="0"/>
    </w:pPr>
    <w:rPr>
      <w:b/>
      <w:sz w:val="28"/>
    </w:rPr>
  </w:style>
  <w:style w:type="paragraph" w:styleId="Heading2">
    <w:name w:val="heading 2"/>
    <w:basedOn w:val="Heading1"/>
    <w:next w:val="Normal"/>
    <w:qFormat/>
    <w:rsid w:val="00AD566F"/>
    <w:pPr>
      <w:spacing w:before="320"/>
      <w:outlineLvl w:val="1"/>
    </w:pPr>
    <w:rPr>
      <w:sz w:val="24"/>
    </w:rPr>
  </w:style>
  <w:style w:type="paragraph" w:styleId="Heading3">
    <w:name w:val="heading 3"/>
    <w:basedOn w:val="Heading1"/>
    <w:next w:val="Normal"/>
    <w:qFormat/>
    <w:rsid w:val="00257188"/>
    <w:pPr>
      <w:spacing w:before="200"/>
      <w:outlineLvl w:val="2"/>
    </w:pPr>
    <w:rPr>
      <w:sz w:val="24"/>
    </w:rPr>
  </w:style>
  <w:style w:type="paragraph" w:styleId="Heading4">
    <w:name w:val="heading 4"/>
    <w:basedOn w:val="Heading3"/>
    <w:next w:val="Normal"/>
    <w:qFormat/>
    <w:rsid w:val="00AD566F"/>
    <w:pPr>
      <w:ind w:left="1134" w:hanging="1134"/>
      <w:outlineLvl w:val="3"/>
    </w:pPr>
  </w:style>
  <w:style w:type="paragraph" w:styleId="Heading5">
    <w:name w:val="heading 5"/>
    <w:basedOn w:val="Heading4"/>
    <w:next w:val="Normal"/>
    <w:qFormat/>
    <w:rsid w:val="00AD566F"/>
    <w:pPr>
      <w:outlineLvl w:val="4"/>
    </w:pPr>
  </w:style>
  <w:style w:type="paragraph" w:styleId="Heading6">
    <w:name w:val="heading 6"/>
    <w:basedOn w:val="Heading4"/>
    <w:next w:val="Normal"/>
    <w:qFormat/>
    <w:rsid w:val="00AD566F"/>
    <w:pPr>
      <w:outlineLvl w:val="5"/>
    </w:pPr>
  </w:style>
  <w:style w:type="paragraph" w:styleId="Heading7">
    <w:name w:val="heading 7"/>
    <w:basedOn w:val="Heading4"/>
    <w:next w:val="Normal"/>
    <w:qFormat/>
    <w:rsid w:val="00AD566F"/>
    <w:pPr>
      <w:ind w:left="1701" w:hanging="1701"/>
      <w:outlineLvl w:val="6"/>
    </w:pPr>
  </w:style>
  <w:style w:type="paragraph" w:styleId="Heading8">
    <w:name w:val="heading 8"/>
    <w:basedOn w:val="Heading4"/>
    <w:next w:val="Normal"/>
    <w:qFormat/>
    <w:rsid w:val="00AD566F"/>
    <w:pPr>
      <w:ind w:left="1701" w:hanging="1701"/>
      <w:outlineLvl w:val="7"/>
    </w:pPr>
  </w:style>
  <w:style w:type="paragraph" w:styleId="Heading9">
    <w:name w:val="heading 9"/>
    <w:basedOn w:val="Heading4"/>
    <w:next w:val="Normal"/>
    <w:qFormat/>
    <w:rsid w:val="00AD566F"/>
    <w:pPr>
      <w:ind w:left="1701" w:hanging="170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Normal"/>
    <w:next w:val="Normal"/>
    <w:rsid w:val="00AD566F"/>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7">
    <w:name w:val="toc 7"/>
    <w:basedOn w:val="Normal"/>
    <w:next w:val="Normal"/>
    <w:rsid w:val="00AD566F"/>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6">
    <w:name w:val="toc 6"/>
    <w:basedOn w:val="Normal"/>
    <w:next w:val="Normal"/>
    <w:rsid w:val="00AD566F"/>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5">
    <w:name w:val="toc 5"/>
    <w:basedOn w:val="Normal"/>
    <w:next w:val="Normal"/>
    <w:rsid w:val="00AD566F"/>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4">
    <w:name w:val="toc 4"/>
    <w:basedOn w:val="Normal"/>
    <w:next w:val="Normal"/>
    <w:rsid w:val="00AD566F"/>
    <w:pPr>
      <w:tabs>
        <w:tab w:val="clear" w:pos="567"/>
        <w:tab w:val="clear" w:pos="1134"/>
        <w:tab w:val="clear" w:pos="1701"/>
        <w:tab w:val="clear" w:pos="2268"/>
        <w:tab w:val="clear" w:pos="2835"/>
        <w:tab w:val="left" w:pos="964"/>
        <w:tab w:val="left" w:pos="8789"/>
        <w:tab w:val="right" w:pos="9639"/>
      </w:tabs>
      <w:ind w:left="964" w:hanging="964"/>
    </w:pPr>
  </w:style>
  <w:style w:type="paragraph" w:styleId="TOC3">
    <w:name w:val="toc 3"/>
    <w:basedOn w:val="Normal"/>
    <w:next w:val="Normal"/>
    <w:rsid w:val="00AD566F"/>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2">
    <w:name w:val="toc 2"/>
    <w:basedOn w:val="Normal"/>
    <w:next w:val="Normal"/>
    <w:rsid w:val="00AD566F"/>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1">
    <w:name w:val="toc 1"/>
    <w:basedOn w:val="Normal"/>
    <w:rsid w:val="00AD566F"/>
    <w:pPr>
      <w:tabs>
        <w:tab w:val="clear" w:pos="567"/>
        <w:tab w:val="clear" w:pos="1134"/>
        <w:tab w:val="clear" w:pos="1701"/>
        <w:tab w:val="clear" w:pos="2268"/>
        <w:tab w:val="clear" w:pos="2835"/>
        <w:tab w:val="left" w:pos="964"/>
        <w:tab w:val="left" w:leader="dot" w:pos="8789"/>
        <w:tab w:val="right" w:pos="9639"/>
      </w:tabs>
      <w:spacing w:before="240"/>
      <w:ind w:left="964" w:hanging="964"/>
    </w:pPr>
  </w:style>
  <w:style w:type="paragraph" w:styleId="Footer">
    <w:name w:val="footer"/>
    <w:basedOn w:val="Normal"/>
    <w:rsid w:val="00AD566F"/>
    <w:pPr>
      <w:tabs>
        <w:tab w:val="clear" w:pos="567"/>
        <w:tab w:val="clear" w:pos="1134"/>
        <w:tab w:val="clear" w:pos="1701"/>
        <w:tab w:val="clear" w:pos="2268"/>
        <w:tab w:val="clear" w:pos="2835"/>
        <w:tab w:val="left" w:pos="5954"/>
        <w:tab w:val="right" w:pos="9639"/>
      </w:tabs>
      <w:spacing w:before="0"/>
    </w:pPr>
    <w:rPr>
      <w:caps/>
      <w:noProof/>
      <w:sz w:val="16"/>
    </w:rPr>
  </w:style>
  <w:style w:type="paragraph" w:styleId="Header">
    <w:name w:val="header"/>
    <w:basedOn w:val="Normal"/>
    <w:link w:val="HeaderChar"/>
    <w:rsid w:val="00AD566F"/>
    <w:pPr>
      <w:tabs>
        <w:tab w:val="clear" w:pos="567"/>
        <w:tab w:val="clear" w:pos="1134"/>
        <w:tab w:val="clear" w:pos="1701"/>
        <w:tab w:val="clear" w:pos="2268"/>
        <w:tab w:val="clear" w:pos="2835"/>
      </w:tabs>
      <w:spacing w:before="0"/>
      <w:jc w:val="center"/>
    </w:pPr>
    <w:rPr>
      <w:sz w:val="18"/>
    </w:rPr>
  </w:style>
  <w:style w:type="character" w:styleId="FootnoteReference">
    <w:name w:val="footnote reference"/>
    <w:basedOn w:val="DefaultParagraphFont"/>
    <w:rsid w:val="002F5FA2"/>
    <w:rPr>
      <w:rFonts w:ascii="Calibri" w:hAnsi="Calibri"/>
      <w:position w:val="6"/>
      <w:sz w:val="16"/>
    </w:rPr>
  </w:style>
  <w:style w:type="paragraph" w:styleId="FootnoteText">
    <w:name w:val="footnote text"/>
    <w:basedOn w:val="Normal"/>
    <w:rsid w:val="00AD566F"/>
    <w:pPr>
      <w:keepLines/>
      <w:tabs>
        <w:tab w:val="left" w:pos="256"/>
      </w:tabs>
      <w:ind w:left="256" w:hanging="256"/>
    </w:pPr>
  </w:style>
  <w:style w:type="paragraph" w:styleId="NormalIndent">
    <w:name w:val="Normal Indent"/>
    <w:basedOn w:val="Normal"/>
    <w:rsid w:val="00AD566F"/>
    <w:pPr>
      <w:ind w:left="567"/>
    </w:pPr>
  </w:style>
  <w:style w:type="paragraph" w:customStyle="1" w:styleId="Tablelegend">
    <w:name w:val="Table_legend"/>
    <w:basedOn w:val="Tabletext"/>
    <w:rsid w:val="00AD566F"/>
    <w:pPr>
      <w:spacing w:before="120"/>
    </w:pPr>
  </w:style>
  <w:style w:type="paragraph" w:customStyle="1" w:styleId="Tabletext">
    <w:name w:val="Table_text"/>
    <w:basedOn w:val="Normal"/>
    <w:rsid w:val="005E56B5"/>
    <w:pPr>
      <w:tabs>
        <w:tab w:val="clear" w:pos="567"/>
        <w:tab w:val="clear" w:pos="1134"/>
        <w:tab w:val="clear" w:pos="1701"/>
        <w:tab w:val="clear" w:pos="2268"/>
        <w:tab w:val="clear" w:pos="2835"/>
        <w:tab w:val="left" w:pos="284"/>
      </w:tabs>
      <w:spacing w:before="40" w:after="40"/>
    </w:pPr>
    <w:rPr>
      <w:sz w:val="22"/>
    </w:rPr>
  </w:style>
  <w:style w:type="paragraph" w:customStyle="1" w:styleId="Tabletitle">
    <w:name w:val="Table_title"/>
    <w:basedOn w:val="TableNo"/>
    <w:next w:val="Tabletext"/>
    <w:rsid w:val="00AD566F"/>
    <w:pPr>
      <w:tabs>
        <w:tab w:val="clear" w:pos="567"/>
        <w:tab w:val="clear" w:pos="1134"/>
        <w:tab w:val="clear" w:pos="1701"/>
        <w:tab w:val="clear" w:pos="2268"/>
        <w:tab w:val="clear" w:pos="2835"/>
        <w:tab w:val="left" w:pos="2948"/>
        <w:tab w:val="left" w:pos="4082"/>
      </w:tabs>
      <w:spacing w:before="0"/>
    </w:pPr>
    <w:rPr>
      <w:b/>
      <w:caps w:val="0"/>
    </w:rPr>
  </w:style>
  <w:style w:type="paragraph" w:customStyle="1" w:styleId="TableNo">
    <w:name w:val="Table_No"/>
    <w:basedOn w:val="Normal"/>
    <w:next w:val="Tabletitle"/>
    <w:rsid w:val="00AD566F"/>
    <w:pPr>
      <w:keepNext/>
      <w:spacing w:before="560" w:after="120"/>
      <w:jc w:val="center"/>
    </w:pPr>
    <w:rPr>
      <w:caps/>
    </w:rPr>
  </w:style>
  <w:style w:type="paragraph" w:customStyle="1" w:styleId="enumlev1">
    <w:name w:val="enumlev1"/>
    <w:basedOn w:val="Normal"/>
    <w:rsid w:val="00AD566F"/>
    <w:pPr>
      <w:spacing w:before="86"/>
      <w:ind w:left="567" w:hanging="567"/>
    </w:pPr>
  </w:style>
  <w:style w:type="paragraph" w:customStyle="1" w:styleId="enumlev2">
    <w:name w:val="enumlev2"/>
    <w:basedOn w:val="enumlev1"/>
    <w:rsid w:val="00AD566F"/>
    <w:pPr>
      <w:ind w:left="1134"/>
    </w:pPr>
  </w:style>
  <w:style w:type="paragraph" w:customStyle="1" w:styleId="enumlev3">
    <w:name w:val="enumlev3"/>
    <w:basedOn w:val="enumlev2"/>
    <w:rsid w:val="00AD566F"/>
    <w:pPr>
      <w:ind w:left="1701"/>
    </w:pPr>
  </w:style>
  <w:style w:type="paragraph" w:customStyle="1" w:styleId="Tablehead">
    <w:name w:val="Table_head"/>
    <w:basedOn w:val="Tabletext"/>
    <w:rsid w:val="002B3AE2"/>
    <w:pPr>
      <w:keepNext/>
      <w:spacing w:before="80" w:after="80"/>
      <w:jc w:val="center"/>
    </w:pPr>
    <w:rPr>
      <w:b/>
    </w:rPr>
  </w:style>
  <w:style w:type="paragraph" w:customStyle="1" w:styleId="Normalaftertitle">
    <w:name w:val="Normal after title"/>
    <w:basedOn w:val="Normal"/>
    <w:next w:val="Normal"/>
    <w:rsid w:val="00AD566F"/>
    <w:pPr>
      <w:spacing w:before="240"/>
    </w:pPr>
  </w:style>
  <w:style w:type="paragraph" w:customStyle="1" w:styleId="AnnexNo">
    <w:name w:val="Annex_No"/>
    <w:basedOn w:val="Normal"/>
    <w:next w:val="Annexref"/>
    <w:rsid w:val="00257188"/>
    <w:pPr>
      <w:spacing w:before="720"/>
      <w:jc w:val="center"/>
    </w:pPr>
    <w:rPr>
      <w:caps/>
      <w:sz w:val="28"/>
    </w:rPr>
  </w:style>
  <w:style w:type="paragraph" w:customStyle="1" w:styleId="Annexref">
    <w:name w:val="Annex_ref"/>
    <w:basedOn w:val="Normal"/>
    <w:next w:val="Annextitle"/>
    <w:rsid w:val="00AD566F"/>
    <w:pPr>
      <w:jc w:val="center"/>
    </w:pPr>
  </w:style>
  <w:style w:type="paragraph" w:customStyle="1" w:styleId="Annextitle">
    <w:name w:val="Annex_title"/>
    <w:basedOn w:val="Normal"/>
    <w:next w:val="Normal"/>
    <w:rsid w:val="00257188"/>
    <w:pPr>
      <w:spacing w:before="240" w:after="240"/>
      <w:jc w:val="center"/>
    </w:pPr>
    <w:rPr>
      <w:b/>
      <w:sz w:val="28"/>
    </w:rPr>
  </w:style>
  <w:style w:type="paragraph" w:customStyle="1" w:styleId="AppendixNo">
    <w:name w:val="Appendix_No"/>
    <w:basedOn w:val="AnnexNo"/>
    <w:next w:val="Appendixref"/>
    <w:rsid w:val="00AD566F"/>
  </w:style>
  <w:style w:type="paragraph" w:customStyle="1" w:styleId="Appendixref">
    <w:name w:val="Appendix_ref"/>
    <w:basedOn w:val="Annexref"/>
    <w:next w:val="Appendixtitle"/>
    <w:rsid w:val="00AD566F"/>
  </w:style>
  <w:style w:type="paragraph" w:customStyle="1" w:styleId="Appendixtitle">
    <w:name w:val="Appendix_title"/>
    <w:basedOn w:val="Annextitle"/>
    <w:next w:val="Normal"/>
    <w:rsid w:val="00AD566F"/>
  </w:style>
  <w:style w:type="paragraph" w:customStyle="1" w:styleId="Reftitle">
    <w:name w:val="Ref_title"/>
    <w:basedOn w:val="Normal"/>
    <w:next w:val="Reftext"/>
    <w:rsid w:val="00257188"/>
    <w:pPr>
      <w:spacing w:before="480"/>
      <w:jc w:val="center"/>
    </w:pPr>
    <w:rPr>
      <w:caps/>
      <w:sz w:val="28"/>
    </w:rPr>
  </w:style>
  <w:style w:type="paragraph" w:customStyle="1" w:styleId="Reftext">
    <w:name w:val="Ref_text"/>
    <w:basedOn w:val="Normal"/>
    <w:rsid w:val="00AD566F"/>
    <w:pPr>
      <w:ind w:left="567" w:hanging="567"/>
    </w:pPr>
  </w:style>
  <w:style w:type="paragraph" w:customStyle="1" w:styleId="Rectitle">
    <w:name w:val="Rec_title"/>
    <w:basedOn w:val="Normal"/>
    <w:next w:val="Heading1"/>
    <w:rsid w:val="002F5FA2"/>
    <w:pPr>
      <w:spacing w:before="240"/>
      <w:jc w:val="center"/>
    </w:pPr>
    <w:rPr>
      <w:b/>
      <w:sz w:val="28"/>
    </w:rPr>
  </w:style>
  <w:style w:type="paragraph" w:customStyle="1" w:styleId="Call">
    <w:name w:val="Call"/>
    <w:basedOn w:val="Normal"/>
    <w:next w:val="Normal"/>
    <w:rsid w:val="00AD566F"/>
    <w:pPr>
      <w:keepNext/>
      <w:keepLines/>
      <w:tabs>
        <w:tab w:val="clear" w:pos="1134"/>
        <w:tab w:val="clear" w:pos="1701"/>
        <w:tab w:val="clear" w:pos="2268"/>
        <w:tab w:val="clear" w:pos="2835"/>
      </w:tabs>
      <w:spacing w:before="160"/>
      <w:ind w:left="567"/>
    </w:pPr>
    <w:rPr>
      <w:i/>
    </w:rPr>
  </w:style>
  <w:style w:type="paragraph" w:customStyle="1" w:styleId="RecNo">
    <w:name w:val="Rec_No"/>
    <w:basedOn w:val="Normal"/>
    <w:next w:val="Rectitle"/>
    <w:rsid w:val="00257188"/>
    <w:pPr>
      <w:spacing w:before="720"/>
      <w:jc w:val="center"/>
    </w:pPr>
    <w:rPr>
      <w:caps/>
      <w:sz w:val="28"/>
    </w:rPr>
  </w:style>
  <w:style w:type="paragraph" w:customStyle="1" w:styleId="toc0">
    <w:name w:val="toc 0"/>
    <w:basedOn w:val="Normal"/>
    <w:next w:val="TOC1"/>
    <w:rsid w:val="00AD566F"/>
    <w:pPr>
      <w:tabs>
        <w:tab w:val="clear" w:pos="567"/>
        <w:tab w:val="clear" w:pos="1134"/>
        <w:tab w:val="clear" w:pos="1701"/>
        <w:tab w:val="clear" w:pos="2268"/>
        <w:tab w:val="clear" w:pos="2835"/>
        <w:tab w:val="right" w:pos="9781"/>
      </w:tabs>
    </w:pPr>
    <w:rPr>
      <w:b/>
    </w:rPr>
  </w:style>
  <w:style w:type="paragraph" w:customStyle="1" w:styleId="Part">
    <w:name w:val="Part"/>
    <w:basedOn w:val="Normal"/>
    <w:next w:val="Normal"/>
    <w:rsid w:val="00257188"/>
    <w:pPr>
      <w:tabs>
        <w:tab w:val="clear" w:pos="567"/>
        <w:tab w:val="clear" w:pos="1134"/>
        <w:tab w:val="clear" w:pos="1701"/>
        <w:tab w:val="clear" w:pos="2268"/>
        <w:tab w:val="clear" w:pos="2835"/>
      </w:tabs>
      <w:spacing w:before="600"/>
      <w:jc w:val="center"/>
    </w:pPr>
    <w:rPr>
      <w:caps/>
      <w:sz w:val="28"/>
    </w:rPr>
  </w:style>
  <w:style w:type="paragraph" w:customStyle="1" w:styleId="Note">
    <w:name w:val="Note"/>
    <w:basedOn w:val="Normal"/>
    <w:rsid w:val="00AD566F"/>
    <w:pPr>
      <w:tabs>
        <w:tab w:val="clear" w:pos="567"/>
        <w:tab w:val="left" w:pos="851"/>
      </w:tabs>
    </w:pPr>
  </w:style>
  <w:style w:type="paragraph" w:customStyle="1" w:styleId="MinusFootnote">
    <w:name w:val="MinusFootnote"/>
    <w:basedOn w:val="Normal"/>
    <w:rsid w:val="00AD566F"/>
    <w:pPr>
      <w:ind w:left="-1701" w:hanging="284"/>
    </w:pPr>
  </w:style>
  <w:style w:type="paragraph" w:customStyle="1" w:styleId="Title3">
    <w:name w:val="Title 3"/>
    <w:basedOn w:val="Title2"/>
    <w:next w:val="Normalaftertitle"/>
    <w:rsid w:val="00AD566F"/>
    <w:rPr>
      <w:caps w:val="0"/>
    </w:rPr>
  </w:style>
  <w:style w:type="paragraph" w:customStyle="1" w:styleId="Title2">
    <w:name w:val="Title 2"/>
    <w:basedOn w:val="Source"/>
    <w:next w:val="Title3"/>
    <w:rsid w:val="00AD566F"/>
    <w:pPr>
      <w:spacing w:before="240"/>
    </w:pPr>
    <w:rPr>
      <w:b w:val="0"/>
      <w:caps/>
    </w:rPr>
  </w:style>
  <w:style w:type="paragraph" w:customStyle="1" w:styleId="Source">
    <w:name w:val="Source"/>
    <w:basedOn w:val="Normal"/>
    <w:next w:val="Title1"/>
    <w:autoRedefine/>
    <w:rsid w:val="00E553B9"/>
    <w:pPr>
      <w:spacing w:before="840"/>
      <w:jc w:val="center"/>
    </w:pPr>
    <w:rPr>
      <w:b/>
      <w:sz w:val="28"/>
    </w:rPr>
  </w:style>
  <w:style w:type="paragraph" w:customStyle="1" w:styleId="Title1">
    <w:name w:val="Title 1"/>
    <w:basedOn w:val="Source"/>
    <w:next w:val="Title2"/>
    <w:rsid w:val="00AD566F"/>
    <w:pPr>
      <w:spacing w:before="240"/>
    </w:pPr>
    <w:rPr>
      <w:b w:val="0"/>
      <w:caps/>
    </w:rPr>
  </w:style>
  <w:style w:type="paragraph" w:customStyle="1" w:styleId="ArtNo">
    <w:name w:val="Art_No"/>
    <w:basedOn w:val="Normal"/>
    <w:next w:val="Arttitle"/>
    <w:rsid w:val="00257188"/>
    <w:pPr>
      <w:tabs>
        <w:tab w:val="clear" w:pos="567"/>
        <w:tab w:val="clear" w:pos="1134"/>
        <w:tab w:val="clear" w:pos="1701"/>
        <w:tab w:val="clear" w:pos="2268"/>
        <w:tab w:val="clear" w:pos="2835"/>
      </w:tabs>
      <w:spacing w:before="600"/>
      <w:jc w:val="center"/>
    </w:pPr>
    <w:rPr>
      <w:caps/>
      <w:sz w:val="28"/>
    </w:rPr>
  </w:style>
  <w:style w:type="paragraph" w:customStyle="1" w:styleId="Arttitle">
    <w:name w:val="Art_title"/>
    <w:basedOn w:val="Normal"/>
    <w:next w:val="Normal"/>
    <w:rsid w:val="00257188"/>
    <w:pPr>
      <w:tabs>
        <w:tab w:val="clear" w:pos="567"/>
        <w:tab w:val="clear" w:pos="1134"/>
        <w:tab w:val="clear" w:pos="1701"/>
        <w:tab w:val="clear" w:pos="2268"/>
        <w:tab w:val="clear" w:pos="2835"/>
      </w:tabs>
      <w:spacing w:before="240" w:after="240"/>
      <w:jc w:val="center"/>
    </w:pPr>
    <w:rPr>
      <w:b/>
      <w:sz w:val="28"/>
    </w:rPr>
  </w:style>
  <w:style w:type="paragraph" w:customStyle="1" w:styleId="ChapNo">
    <w:name w:val="Chap_No"/>
    <w:basedOn w:val="ArtNo"/>
    <w:next w:val="Chaptitle"/>
    <w:rsid w:val="00257188"/>
  </w:style>
  <w:style w:type="paragraph" w:customStyle="1" w:styleId="Chaptitle">
    <w:name w:val="Chap_title"/>
    <w:basedOn w:val="Arttitle"/>
    <w:next w:val="Normal"/>
    <w:rsid w:val="00AD566F"/>
  </w:style>
  <w:style w:type="paragraph" w:customStyle="1" w:styleId="Reasons">
    <w:name w:val="Reasons"/>
    <w:basedOn w:val="Normal"/>
    <w:qFormat/>
    <w:rsid w:val="00AD566F"/>
  </w:style>
  <w:style w:type="paragraph" w:customStyle="1" w:styleId="ResNo">
    <w:name w:val="Res_No"/>
    <w:basedOn w:val="AnnexNo"/>
    <w:next w:val="Restitle"/>
    <w:rsid w:val="00AD566F"/>
  </w:style>
  <w:style w:type="paragraph" w:customStyle="1" w:styleId="Restitle">
    <w:name w:val="Res_title"/>
    <w:basedOn w:val="Annextitle"/>
    <w:next w:val="Normal"/>
    <w:rsid w:val="002F5FA2"/>
  </w:style>
  <w:style w:type="paragraph" w:customStyle="1" w:styleId="AnnexNoS2">
    <w:name w:val="Annex_No_S2"/>
    <w:basedOn w:val="AnnexNo"/>
    <w:next w:val="AnnexrefS2"/>
    <w:rsid w:val="00257188"/>
    <w:pPr>
      <w:tabs>
        <w:tab w:val="clear" w:pos="567"/>
        <w:tab w:val="clear" w:pos="1134"/>
        <w:tab w:val="clear" w:pos="1701"/>
        <w:tab w:val="clear" w:pos="2268"/>
        <w:tab w:val="clear" w:pos="2835"/>
        <w:tab w:val="left" w:pos="851"/>
      </w:tabs>
      <w:jc w:val="left"/>
    </w:pPr>
    <w:rPr>
      <w:b/>
      <w:sz w:val="24"/>
    </w:rPr>
  </w:style>
  <w:style w:type="paragraph" w:customStyle="1" w:styleId="Section1">
    <w:name w:val="Section 1"/>
    <w:basedOn w:val="ChapNo"/>
    <w:next w:val="Normal"/>
    <w:rsid w:val="00AD566F"/>
    <w:rPr>
      <w:caps w:val="0"/>
    </w:rPr>
  </w:style>
  <w:style w:type="paragraph" w:customStyle="1" w:styleId="AnnexrefS2">
    <w:name w:val="Annex_ref_S2"/>
    <w:basedOn w:val="Annexref"/>
    <w:next w:val="AnnextitleS2"/>
    <w:rsid w:val="00AD566F"/>
    <w:pPr>
      <w:tabs>
        <w:tab w:val="clear" w:pos="567"/>
        <w:tab w:val="clear" w:pos="1134"/>
        <w:tab w:val="clear" w:pos="1701"/>
        <w:tab w:val="clear" w:pos="2268"/>
        <w:tab w:val="clear" w:pos="2835"/>
        <w:tab w:val="left" w:pos="851"/>
      </w:tabs>
      <w:jc w:val="left"/>
    </w:pPr>
    <w:rPr>
      <w:b/>
    </w:rPr>
  </w:style>
  <w:style w:type="paragraph" w:customStyle="1" w:styleId="Section2">
    <w:name w:val="Section 2"/>
    <w:basedOn w:val="Section1"/>
    <w:next w:val="Normal"/>
    <w:rsid w:val="00AD566F"/>
    <w:pPr>
      <w:spacing w:before="240"/>
    </w:pPr>
    <w:rPr>
      <w:b/>
      <w:i/>
    </w:rPr>
  </w:style>
  <w:style w:type="paragraph" w:customStyle="1" w:styleId="AnnextitleS2">
    <w:name w:val="Annex_title_S2"/>
    <w:basedOn w:val="Annextitle"/>
    <w:next w:val="NormalS2"/>
    <w:rsid w:val="00257188"/>
    <w:pPr>
      <w:tabs>
        <w:tab w:val="clear" w:pos="567"/>
        <w:tab w:val="clear" w:pos="1134"/>
        <w:tab w:val="clear" w:pos="1701"/>
        <w:tab w:val="clear" w:pos="2268"/>
        <w:tab w:val="clear" w:pos="2835"/>
        <w:tab w:val="left" w:pos="851"/>
      </w:tabs>
      <w:jc w:val="left"/>
    </w:pPr>
    <w:rPr>
      <w:sz w:val="24"/>
    </w:rPr>
  </w:style>
  <w:style w:type="paragraph" w:customStyle="1" w:styleId="AppendixNoS2">
    <w:name w:val="Appendix_No_S2"/>
    <w:basedOn w:val="AppendixNo"/>
    <w:next w:val="AppendixrefS2"/>
    <w:rsid w:val="00257188"/>
    <w:pPr>
      <w:tabs>
        <w:tab w:val="clear" w:pos="567"/>
        <w:tab w:val="clear" w:pos="1134"/>
        <w:tab w:val="clear" w:pos="1701"/>
        <w:tab w:val="clear" w:pos="2268"/>
        <w:tab w:val="clear" w:pos="2835"/>
        <w:tab w:val="left" w:pos="851"/>
      </w:tabs>
      <w:jc w:val="left"/>
    </w:pPr>
    <w:rPr>
      <w:b/>
      <w:sz w:val="24"/>
    </w:rPr>
  </w:style>
  <w:style w:type="paragraph" w:customStyle="1" w:styleId="AppendixrefS2">
    <w:name w:val="Appendix_ref_S2"/>
    <w:basedOn w:val="Appendixref"/>
    <w:next w:val="AnnextitleS2"/>
    <w:rsid w:val="00AD566F"/>
    <w:pPr>
      <w:tabs>
        <w:tab w:val="clear" w:pos="567"/>
        <w:tab w:val="clear" w:pos="1134"/>
        <w:tab w:val="clear" w:pos="1701"/>
        <w:tab w:val="clear" w:pos="2268"/>
        <w:tab w:val="clear" w:pos="2835"/>
        <w:tab w:val="left" w:pos="851"/>
      </w:tabs>
      <w:jc w:val="left"/>
    </w:pPr>
    <w:rPr>
      <w:b/>
    </w:rPr>
  </w:style>
  <w:style w:type="paragraph" w:customStyle="1" w:styleId="AppendixtitleS2">
    <w:name w:val="Appendix_title_S2"/>
    <w:basedOn w:val="Appendixtitle"/>
    <w:next w:val="NormalS2"/>
    <w:rsid w:val="00257188"/>
    <w:pPr>
      <w:tabs>
        <w:tab w:val="clear" w:pos="567"/>
        <w:tab w:val="clear" w:pos="1134"/>
        <w:tab w:val="clear" w:pos="1701"/>
        <w:tab w:val="clear" w:pos="2268"/>
        <w:tab w:val="clear" w:pos="2835"/>
        <w:tab w:val="left" w:pos="851"/>
      </w:tabs>
      <w:jc w:val="left"/>
    </w:pPr>
    <w:rPr>
      <w:sz w:val="24"/>
    </w:rPr>
  </w:style>
  <w:style w:type="paragraph" w:customStyle="1" w:styleId="ArtNoS2">
    <w:name w:val="Art_No_S2"/>
    <w:basedOn w:val="ArtNo"/>
    <w:next w:val="ArttitleS2"/>
    <w:rsid w:val="00257188"/>
    <w:pPr>
      <w:tabs>
        <w:tab w:val="left" w:pos="851"/>
      </w:tabs>
      <w:jc w:val="left"/>
    </w:pPr>
    <w:rPr>
      <w:b/>
      <w:sz w:val="24"/>
    </w:rPr>
  </w:style>
  <w:style w:type="paragraph" w:customStyle="1" w:styleId="ArttitleS2">
    <w:name w:val="Art_title_S2"/>
    <w:basedOn w:val="Arttitle"/>
    <w:next w:val="NormalS2"/>
    <w:rsid w:val="00257188"/>
    <w:pPr>
      <w:tabs>
        <w:tab w:val="left" w:pos="851"/>
      </w:tabs>
      <w:jc w:val="left"/>
    </w:pPr>
    <w:rPr>
      <w:sz w:val="24"/>
    </w:rPr>
  </w:style>
  <w:style w:type="paragraph" w:customStyle="1" w:styleId="ChapNoS2">
    <w:name w:val="Chap_No_S2"/>
    <w:basedOn w:val="ChapNo"/>
    <w:next w:val="ChaptitleS2"/>
    <w:rsid w:val="002F5FA2"/>
    <w:pPr>
      <w:tabs>
        <w:tab w:val="left" w:pos="851"/>
      </w:tabs>
      <w:jc w:val="left"/>
    </w:pPr>
    <w:rPr>
      <w:b/>
      <w:sz w:val="24"/>
    </w:rPr>
  </w:style>
  <w:style w:type="paragraph" w:customStyle="1" w:styleId="ChaptitleS2">
    <w:name w:val="Chap_title_S2"/>
    <w:basedOn w:val="Chaptitle"/>
    <w:next w:val="NormalS2"/>
    <w:rsid w:val="00257188"/>
    <w:pPr>
      <w:tabs>
        <w:tab w:val="left" w:pos="851"/>
      </w:tabs>
      <w:jc w:val="left"/>
    </w:pPr>
    <w:rPr>
      <w:sz w:val="24"/>
    </w:rPr>
  </w:style>
  <w:style w:type="paragraph" w:customStyle="1" w:styleId="enumlev1S2">
    <w:name w:val="enumlev1_S2"/>
    <w:basedOn w:val="enumlev1"/>
    <w:rsid w:val="00AD566F"/>
    <w:pPr>
      <w:tabs>
        <w:tab w:val="clear" w:pos="567"/>
        <w:tab w:val="clear" w:pos="1134"/>
        <w:tab w:val="clear" w:pos="1701"/>
        <w:tab w:val="clear" w:pos="2268"/>
        <w:tab w:val="clear" w:pos="2835"/>
        <w:tab w:val="left" w:pos="851"/>
      </w:tabs>
      <w:ind w:left="0" w:firstLine="0"/>
    </w:pPr>
    <w:rPr>
      <w:b/>
    </w:rPr>
  </w:style>
  <w:style w:type="paragraph" w:customStyle="1" w:styleId="enumlev2S2">
    <w:name w:val="enumlev2_S2"/>
    <w:basedOn w:val="enumlev2"/>
    <w:rsid w:val="00AD566F"/>
    <w:pPr>
      <w:tabs>
        <w:tab w:val="clear" w:pos="567"/>
        <w:tab w:val="clear" w:pos="1134"/>
        <w:tab w:val="clear" w:pos="1701"/>
        <w:tab w:val="clear" w:pos="2268"/>
        <w:tab w:val="clear" w:pos="2835"/>
        <w:tab w:val="left" w:pos="851"/>
      </w:tabs>
      <w:ind w:left="0" w:firstLine="0"/>
    </w:pPr>
    <w:rPr>
      <w:b/>
    </w:rPr>
  </w:style>
  <w:style w:type="paragraph" w:customStyle="1" w:styleId="enumlev3S2">
    <w:name w:val="enumlev3_S2"/>
    <w:basedOn w:val="enumlev3"/>
    <w:rsid w:val="00AD566F"/>
    <w:pPr>
      <w:tabs>
        <w:tab w:val="clear" w:pos="567"/>
        <w:tab w:val="clear" w:pos="1134"/>
        <w:tab w:val="clear" w:pos="1701"/>
        <w:tab w:val="clear" w:pos="2268"/>
        <w:tab w:val="clear" w:pos="2835"/>
        <w:tab w:val="left" w:pos="851"/>
      </w:tabs>
      <w:ind w:left="0" w:firstLine="0"/>
    </w:pPr>
    <w:rPr>
      <w:b/>
    </w:rPr>
  </w:style>
  <w:style w:type="paragraph" w:customStyle="1" w:styleId="FootnoteTextS2">
    <w:name w:val="Footnote Text_S2"/>
    <w:basedOn w:val="FootnoteText"/>
    <w:rsid w:val="00AD566F"/>
    <w:pPr>
      <w:tabs>
        <w:tab w:val="clear" w:pos="256"/>
        <w:tab w:val="clear" w:pos="567"/>
        <w:tab w:val="clear" w:pos="1134"/>
        <w:tab w:val="clear" w:pos="1701"/>
        <w:tab w:val="clear" w:pos="2268"/>
        <w:tab w:val="clear" w:pos="2835"/>
        <w:tab w:val="left" w:pos="851"/>
      </w:tabs>
      <w:ind w:left="0" w:firstLine="0"/>
    </w:pPr>
    <w:rPr>
      <w:b/>
    </w:rPr>
  </w:style>
  <w:style w:type="paragraph" w:customStyle="1" w:styleId="Heading1S2">
    <w:name w:val="Heading 1_S2"/>
    <w:basedOn w:val="Heading1"/>
    <w:next w:val="NormalS2"/>
    <w:rsid w:val="00AD566F"/>
    <w:pPr>
      <w:tabs>
        <w:tab w:val="clear" w:pos="567"/>
        <w:tab w:val="clear" w:pos="1134"/>
        <w:tab w:val="clear" w:pos="1701"/>
        <w:tab w:val="clear" w:pos="2268"/>
        <w:tab w:val="clear" w:pos="2835"/>
        <w:tab w:val="left" w:pos="851"/>
      </w:tabs>
      <w:ind w:left="0" w:firstLine="0"/>
      <w:outlineLvl w:val="9"/>
    </w:pPr>
    <w:rPr>
      <w:sz w:val="24"/>
    </w:rPr>
  </w:style>
  <w:style w:type="paragraph" w:customStyle="1" w:styleId="Heading2S2">
    <w:name w:val="Heading 2_S2"/>
    <w:basedOn w:val="Heading2"/>
    <w:next w:val="NormalS2"/>
    <w:rsid w:val="00AD566F"/>
    <w:pPr>
      <w:tabs>
        <w:tab w:val="clear" w:pos="567"/>
        <w:tab w:val="clear" w:pos="1134"/>
        <w:tab w:val="clear" w:pos="1701"/>
        <w:tab w:val="clear" w:pos="2268"/>
        <w:tab w:val="clear" w:pos="2835"/>
        <w:tab w:val="left" w:pos="851"/>
      </w:tabs>
    </w:pPr>
  </w:style>
  <w:style w:type="paragraph" w:customStyle="1" w:styleId="Heading3S2">
    <w:name w:val="Heading 3_S2"/>
    <w:basedOn w:val="Heading3"/>
    <w:next w:val="NormalS2"/>
    <w:rsid w:val="00AD566F"/>
    <w:pPr>
      <w:tabs>
        <w:tab w:val="clear" w:pos="567"/>
        <w:tab w:val="clear" w:pos="1134"/>
        <w:tab w:val="clear" w:pos="1701"/>
        <w:tab w:val="clear" w:pos="2268"/>
        <w:tab w:val="clear" w:pos="2835"/>
        <w:tab w:val="left" w:pos="851"/>
      </w:tabs>
    </w:pPr>
  </w:style>
  <w:style w:type="paragraph" w:customStyle="1" w:styleId="Heading4S2">
    <w:name w:val="Heading 4_S2"/>
    <w:basedOn w:val="Heading4"/>
    <w:next w:val="NormalS2"/>
    <w:rsid w:val="00AD566F"/>
    <w:pPr>
      <w:tabs>
        <w:tab w:val="clear" w:pos="567"/>
        <w:tab w:val="clear" w:pos="1134"/>
        <w:tab w:val="clear" w:pos="1701"/>
        <w:tab w:val="clear" w:pos="2268"/>
        <w:tab w:val="clear" w:pos="2835"/>
        <w:tab w:val="left" w:pos="851"/>
      </w:tabs>
    </w:pPr>
  </w:style>
  <w:style w:type="paragraph" w:customStyle="1" w:styleId="Heading5S2">
    <w:name w:val="Heading 5_S2"/>
    <w:basedOn w:val="Heading5"/>
    <w:next w:val="NormalS2"/>
    <w:rsid w:val="00AD566F"/>
    <w:pPr>
      <w:tabs>
        <w:tab w:val="clear" w:pos="567"/>
        <w:tab w:val="clear" w:pos="1134"/>
        <w:tab w:val="clear" w:pos="1701"/>
        <w:tab w:val="clear" w:pos="2268"/>
        <w:tab w:val="clear" w:pos="2835"/>
        <w:tab w:val="left" w:pos="851"/>
      </w:tabs>
    </w:pPr>
  </w:style>
  <w:style w:type="paragraph" w:customStyle="1" w:styleId="Heading6S2">
    <w:name w:val="Heading 6_S2"/>
    <w:basedOn w:val="Heading6"/>
    <w:next w:val="NormalS2"/>
    <w:rsid w:val="00AD566F"/>
    <w:pPr>
      <w:tabs>
        <w:tab w:val="clear" w:pos="567"/>
        <w:tab w:val="clear" w:pos="1134"/>
        <w:tab w:val="clear" w:pos="1701"/>
        <w:tab w:val="clear" w:pos="2268"/>
        <w:tab w:val="clear" w:pos="2835"/>
        <w:tab w:val="left" w:pos="851"/>
      </w:tabs>
    </w:pPr>
  </w:style>
  <w:style w:type="paragraph" w:customStyle="1" w:styleId="Heading7S2">
    <w:name w:val="Heading 7_S2"/>
    <w:basedOn w:val="Heading7"/>
    <w:next w:val="NormalS2"/>
    <w:rsid w:val="00AD566F"/>
    <w:pPr>
      <w:tabs>
        <w:tab w:val="clear" w:pos="567"/>
        <w:tab w:val="clear" w:pos="1134"/>
        <w:tab w:val="clear" w:pos="1701"/>
        <w:tab w:val="clear" w:pos="2268"/>
        <w:tab w:val="clear" w:pos="2835"/>
        <w:tab w:val="left" w:pos="851"/>
      </w:tabs>
    </w:pPr>
  </w:style>
  <w:style w:type="paragraph" w:customStyle="1" w:styleId="Heading8S2">
    <w:name w:val="Heading 8_S2"/>
    <w:basedOn w:val="Heading8"/>
    <w:next w:val="NormalS2"/>
    <w:rsid w:val="00AD566F"/>
    <w:pPr>
      <w:tabs>
        <w:tab w:val="clear" w:pos="567"/>
        <w:tab w:val="clear" w:pos="1134"/>
        <w:tab w:val="clear" w:pos="1701"/>
        <w:tab w:val="clear" w:pos="2268"/>
        <w:tab w:val="clear" w:pos="2835"/>
        <w:tab w:val="left" w:pos="851"/>
      </w:tabs>
    </w:pPr>
  </w:style>
  <w:style w:type="paragraph" w:customStyle="1" w:styleId="Heading9S2">
    <w:name w:val="Heading 9_S2"/>
    <w:basedOn w:val="Heading9"/>
    <w:next w:val="NormalS2"/>
    <w:rsid w:val="00AD566F"/>
    <w:pPr>
      <w:tabs>
        <w:tab w:val="clear" w:pos="567"/>
        <w:tab w:val="clear" w:pos="1134"/>
        <w:tab w:val="clear" w:pos="1701"/>
        <w:tab w:val="clear" w:pos="2268"/>
        <w:tab w:val="clear" w:pos="2835"/>
        <w:tab w:val="left" w:pos="851"/>
      </w:tabs>
    </w:pPr>
  </w:style>
  <w:style w:type="paragraph" w:customStyle="1" w:styleId="NormalaftertitleS2">
    <w:name w:val="Normal after title_S2"/>
    <w:basedOn w:val="Normalaftertitle"/>
    <w:next w:val="NormalS2"/>
    <w:rsid w:val="00AD566F"/>
    <w:pPr>
      <w:keepNext/>
      <w:keepLines/>
      <w:tabs>
        <w:tab w:val="clear" w:pos="567"/>
        <w:tab w:val="clear" w:pos="1134"/>
        <w:tab w:val="clear" w:pos="1701"/>
        <w:tab w:val="clear" w:pos="2268"/>
        <w:tab w:val="clear" w:pos="2835"/>
        <w:tab w:val="left" w:pos="851"/>
      </w:tabs>
    </w:pPr>
    <w:rPr>
      <w:b/>
    </w:rPr>
  </w:style>
  <w:style w:type="paragraph" w:customStyle="1" w:styleId="NormalIndentS2">
    <w:name w:val="Normal Indent_S2"/>
    <w:basedOn w:val="NormalIndent"/>
    <w:rsid w:val="00AD566F"/>
    <w:pPr>
      <w:tabs>
        <w:tab w:val="clear" w:pos="567"/>
        <w:tab w:val="clear" w:pos="1134"/>
        <w:tab w:val="clear" w:pos="1701"/>
        <w:tab w:val="clear" w:pos="2268"/>
        <w:tab w:val="clear" w:pos="2835"/>
        <w:tab w:val="left" w:pos="851"/>
      </w:tabs>
      <w:ind w:left="0"/>
    </w:pPr>
    <w:rPr>
      <w:b/>
    </w:rPr>
  </w:style>
  <w:style w:type="paragraph" w:customStyle="1" w:styleId="NormalS2">
    <w:name w:val="Normal_S2"/>
    <w:basedOn w:val="Normal"/>
    <w:rsid w:val="00AD566F"/>
    <w:pPr>
      <w:tabs>
        <w:tab w:val="clear" w:pos="567"/>
        <w:tab w:val="clear" w:pos="1134"/>
        <w:tab w:val="clear" w:pos="1701"/>
        <w:tab w:val="clear" w:pos="2268"/>
        <w:tab w:val="clear" w:pos="2835"/>
        <w:tab w:val="left" w:pos="851"/>
      </w:tabs>
    </w:pPr>
    <w:rPr>
      <w:b/>
    </w:rPr>
  </w:style>
  <w:style w:type="paragraph" w:customStyle="1" w:styleId="ReasonsS2">
    <w:name w:val="Reasons_S2"/>
    <w:basedOn w:val="Reasons"/>
    <w:rsid w:val="00AD566F"/>
    <w:pPr>
      <w:tabs>
        <w:tab w:val="clear" w:pos="567"/>
        <w:tab w:val="clear" w:pos="1134"/>
        <w:tab w:val="clear" w:pos="1701"/>
        <w:tab w:val="clear" w:pos="2268"/>
        <w:tab w:val="clear" w:pos="2835"/>
        <w:tab w:val="left" w:pos="851"/>
      </w:tabs>
    </w:pPr>
    <w:rPr>
      <w:b/>
    </w:rPr>
  </w:style>
  <w:style w:type="paragraph" w:customStyle="1" w:styleId="RecNoS2">
    <w:name w:val="Rec_No_S2"/>
    <w:basedOn w:val="RecNo"/>
    <w:next w:val="RectitleS2"/>
    <w:rsid w:val="00257188"/>
    <w:pPr>
      <w:tabs>
        <w:tab w:val="clear" w:pos="567"/>
        <w:tab w:val="clear" w:pos="1134"/>
        <w:tab w:val="clear" w:pos="1701"/>
        <w:tab w:val="clear" w:pos="2268"/>
        <w:tab w:val="clear" w:pos="2835"/>
        <w:tab w:val="left" w:pos="851"/>
      </w:tabs>
      <w:jc w:val="left"/>
    </w:pPr>
    <w:rPr>
      <w:b/>
      <w:sz w:val="24"/>
    </w:rPr>
  </w:style>
  <w:style w:type="paragraph" w:customStyle="1" w:styleId="RectitleS2">
    <w:name w:val="Rec_title_S2"/>
    <w:basedOn w:val="Rectitle"/>
    <w:next w:val="Heading1S2"/>
    <w:rsid w:val="00AD566F"/>
    <w:pPr>
      <w:tabs>
        <w:tab w:val="clear" w:pos="567"/>
        <w:tab w:val="clear" w:pos="1134"/>
        <w:tab w:val="clear" w:pos="1701"/>
        <w:tab w:val="clear" w:pos="2268"/>
        <w:tab w:val="clear" w:pos="2835"/>
        <w:tab w:val="left" w:pos="851"/>
      </w:tabs>
      <w:jc w:val="left"/>
    </w:pPr>
    <w:rPr>
      <w:caps/>
    </w:rPr>
  </w:style>
  <w:style w:type="paragraph" w:customStyle="1" w:styleId="ReftextS2">
    <w:name w:val="Ref_text_S2"/>
    <w:basedOn w:val="Reftext"/>
    <w:rsid w:val="00AD566F"/>
    <w:pPr>
      <w:tabs>
        <w:tab w:val="clear" w:pos="567"/>
        <w:tab w:val="clear" w:pos="1134"/>
        <w:tab w:val="clear" w:pos="1701"/>
        <w:tab w:val="clear" w:pos="2268"/>
        <w:tab w:val="clear" w:pos="2835"/>
        <w:tab w:val="left" w:pos="851"/>
      </w:tabs>
      <w:ind w:left="0" w:firstLine="0"/>
    </w:pPr>
    <w:rPr>
      <w:b/>
    </w:rPr>
  </w:style>
  <w:style w:type="paragraph" w:customStyle="1" w:styleId="ReftitleS2">
    <w:name w:val="Ref_title_S2"/>
    <w:basedOn w:val="Reftitle"/>
    <w:next w:val="ReftextS2"/>
    <w:rsid w:val="00257188"/>
    <w:pPr>
      <w:tabs>
        <w:tab w:val="clear" w:pos="567"/>
        <w:tab w:val="clear" w:pos="1134"/>
        <w:tab w:val="clear" w:pos="1701"/>
        <w:tab w:val="clear" w:pos="2268"/>
        <w:tab w:val="clear" w:pos="2835"/>
        <w:tab w:val="left" w:pos="851"/>
      </w:tabs>
      <w:jc w:val="left"/>
    </w:pPr>
    <w:rPr>
      <w:b/>
      <w:caps w:val="0"/>
      <w:sz w:val="24"/>
    </w:rPr>
  </w:style>
  <w:style w:type="paragraph" w:customStyle="1" w:styleId="ResNoS2">
    <w:name w:val="Res_No_S2"/>
    <w:basedOn w:val="ResNo"/>
    <w:next w:val="RestitleS2"/>
    <w:rsid w:val="00257188"/>
    <w:pPr>
      <w:tabs>
        <w:tab w:val="clear" w:pos="567"/>
        <w:tab w:val="clear" w:pos="1134"/>
        <w:tab w:val="clear" w:pos="1701"/>
        <w:tab w:val="clear" w:pos="2268"/>
        <w:tab w:val="clear" w:pos="2835"/>
        <w:tab w:val="left" w:pos="851"/>
      </w:tabs>
      <w:jc w:val="left"/>
    </w:pPr>
    <w:rPr>
      <w:b/>
      <w:sz w:val="24"/>
    </w:rPr>
  </w:style>
  <w:style w:type="paragraph" w:customStyle="1" w:styleId="RestitleS2">
    <w:name w:val="Res_title_S2"/>
    <w:basedOn w:val="Restitle"/>
    <w:next w:val="NormalS2"/>
    <w:rsid w:val="002F5FA2"/>
    <w:pPr>
      <w:tabs>
        <w:tab w:val="clear" w:pos="567"/>
        <w:tab w:val="clear" w:pos="1134"/>
        <w:tab w:val="clear" w:pos="1701"/>
        <w:tab w:val="clear" w:pos="2268"/>
        <w:tab w:val="clear" w:pos="2835"/>
        <w:tab w:val="left" w:pos="851"/>
      </w:tabs>
      <w:jc w:val="left"/>
    </w:pPr>
    <w:rPr>
      <w:sz w:val="24"/>
    </w:rPr>
  </w:style>
  <w:style w:type="paragraph" w:customStyle="1" w:styleId="Section1S2">
    <w:name w:val="Section 1_S2"/>
    <w:basedOn w:val="Section1"/>
    <w:next w:val="NormalS2"/>
    <w:rsid w:val="00257188"/>
    <w:pPr>
      <w:tabs>
        <w:tab w:val="left" w:pos="851"/>
      </w:tabs>
      <w:jc w:val="left"/>
    </w:pPr>
    <w:rPr>
      <w:caps/>
      <w:sz w:val="24"/>
    </w:rPr>
  </w:style>
  <w:style w:type="paragraph" w:customStyle="1" w:styleId="Section2S2">
    <w:name w:val="Section 2_S2"/>
    <w:basedOn w:val="Section2"/>
    <w:next w:val="NormalS2"/>
    <w:rsid w:val="002F5FA2"/>
    <w:pPr>
      <w:tabs>
        <w:tab w:val="left" w:pos="851"/>
      </w:tabs>
      <w:jc w:val="left"/>
    </w:pPr>
    <w:rPr>
      <w:sz w:val="24"/>
    </w:rPr>
  </w:style>
  <w:style w:type="paragraph" w:customStyle="1" w:styleId="TableNoS2">
    <w:name w:val="Table_No_S2"/>
    <w:basedOn w:val="TableNo"/>
    <w:next w:val="TabletitleS2"/>
    <w:rsid w:val="00AD566F"/>
    <w:pPr>
      <w:keepNext w:val="0"/>
      <w:tabs>
        <w:tab w:val="clear" w:pos="567"/>
        <w:tab w:val="clear" w:pos="1134"/>
        <w:tab w:val="clear" w:pos="1701"/>
        <w:tab w:val="clear" w:pos="2268"/>
        <w:tab w:val="clear" w:pos="2835"/>
        <w:tab w:val="left" w:pos="851"/>
      </w:tabs>
      <w:jc w:val="left"/>
    </w:pPr>
    <w:rPr>
      <w:b/>
    </w:rPr>
  </w:style>
  <w:style w:type="paragraph" w:customStyle="1" w:styleId="TablelegendS2">
    <w:name w:val="Table_legend_S2"/>
    <w:basedOn w:val="Tablelegend"/>
    <w:rsid w:val="00AD566F"/>
    <w:pPr>
      <w:tabs>
        <w:tab w:val="left" w:pos="851"/>
      </w:tabs>
      <w:spacing w:after="0"/>
    </w:pPr>
    <w:rPr>
      <w:b/>
    </w:rPr>
  </w:style>
  <w:style w:type="paragraph" w:customStyle="1" w:styleId="TabletextS2">
    <w:name w:val="Table_text_S2"/>
    <w:basedOn w:val="Tabletext"/>
    <w:rsid w:val="00AD566F"/>
    <w:pPr>
      <w:tabs>
        <w:tab w:val="left" w:pos="851"/>
      </w:tabs>
    </w:pPr>
    <w:rPr>
      <w:b/>
    </w:rPr>
  </w:style>
  <w:style w:type="paragraph" w:customStyle="1" w:styleId="TabletitleS2">
    <w:name w:val="Table_title_S2"/>
    <w:basedOn w:val="Tabletitle"/>
    <w:next w:val="TabletextS2"/>
    <w:rsid w:val="00AD566F"/>
    <w:pPr>
      <w:keepNext w:val="0"/>
      <w:tabs>
        <w:tab w:val="clear" w:pos="2948"/>
        <w:tab w:val="clear" w:pos="4082"/>
        <w:tab w:val="left" w:pos="851"/>
      </w:tabs>
      <w:jc w:val="left"/>
    </w:pPr>
  </w:style>
  <w:style w:type="paragraph" w:customStyle="1" w:styleId="FooterS2">
    <w:name w:val="Footer_S2"/>
    <w:basedOn w:val="Footer"/>
    <w:rsid w:val="00AD566F"/>
    <w:pPr>
      <w:tabs>
        <w:tab w:val="clear" w:pos="5954"/>
        <w:tab w:val="clear" w:pos="9639"/>
        <w:tab w:val="left" w:pos="3686"/>
        <w:tab w:val="right" w:pos="7655"/>
      </w:tabs>
      <w:ind w:left="-1985"/>
    </w:pPr>
  </w:style>
  <w:style w:type="paragraph" w:customStyle="1" w:styleId="HeaderS2">
    <w:name w:val="Header_S2"/>
    <w:basedOn w:val="Normal"/>
    <w:rsid w:val="00AD566F"/>
    <w:pPr>
      <w:tabs>
        <w:tab w:val="clear" w:pos="567"/>
        <w:tab w:val="clear" w:pos="1134"/>
        <w:tab w:val="clear" w:pos="1701"/>
        <w:tab w:val="clear" w:pos="2268"/>
        <w:tab w:val="clear" w:pos="2835"/>
      </w:tabs>
      <w:spacing w:before="0"/>
      <w:ind w:left="-1985"/>
      <w:jc w:val="center"/>
    </w:pPr>
    <w:rPr>
      <w:sz w:val="22"/>
    </w:rPr>
  </w:style>
  <w:style w:type="paragraph" w:customStyle="1" w:styleId="Artheading">
    <w:name w:val="Art_heading"/>
    <w:basedOn w:val="Normal"/>
    <w:next w:val="Normalaftertitle"/>
    <w:rsid w:val="00AD566F"/>
    <w:pPr>
      <w:tabs>
        <w:tab w:val="clear" w:pos="567"/>
        <w:tab w:val="clear" w:pos="1134"/>
        <w:tab w:val="clear" w:pos="1701"/>
        <w:tab w:val="clear" w:pos="2268"/>
        <w:tab w:val="clear" w:pos="2835"/>
      </w:tabs>
      <w:spacing w:before="480"/>
      <w:jc w:val="center"/>
    </w:pPr>
    <w:rPr>
      <w:b/>
    </w:rPr>
  </w:style>
  <w:style w:type="paragraph" w:customStyle="1" w:styleId="ArtheadingS2">
    <w:name w:val="Art_heading_S2"/>
    <w:basedOn w:val="Artheading"/>
    <w:next w:val="NormalaftertitleS2"/>
    <w:rsid w:val="00AD566F"/>
    <w:pPr>
      <w:tabs>
        <w:tab w:val="left" w:pos="851"/>
      </w:tabs>
      <w:jc w:val="left"/>
    </w:pPr>
  </w:style>
  <w:style w:type="paragraph" w:customStyle="1" w:styleId="NoteS2">
    <w:name w:val="Note_S2"/>
    <w:basedOn w:val="Note"/>
    <w:rsid w:val="00AD566F"/>
    <w:pPr>
      <w:tabs>
        <w:tab w:val="clear" w:pos="1134"/>
        <w:tab w:val="clear" w:pos="1701"/>
        <w:tab w:val="clear" w:pos="2268"/>
        <w:tab w:val="clear" w:pos="2835"/>
      </w:tabs>
    </w:pPr>
    <w:rPr>
      <w:b/>
    </w:rPr>
  </w:style>
  <w:style w:type="paragraph" w:customStyle="1" w:styleId="HeadingbS2">
    <w:name w:val="Headingb_S2"/>
    <w:basedOn w:val="Headingb"/>
    <w:next w:val="NormalS2"/>
    <w:rsid w:val="00AD566F"/>
    <w:pPr>
      <w:tabs>
        <w:tab w:val="clear" w:pos="567"/>
        <w:tab w:val="clear" w:pos="1134"/>
        <w:tab w:val="clear" w:pos="1701"/>
        <w:tab w:val="clear" w:pos="2268"/>
        <w:tab w:val="clear" w:pos="2835"/>
        <w:tab w:val="left" w:pos="851"/>
      </w:tabs>
    </w:pPr>
  </w:style>
  <w:style w:type="paragraph" w:customStyle="1" w:styleId="Headingb">
    <w:name w:val="Heading_b"/>
    <w:basedOn w:val="Heading3"/>
    <w:next w:val="Normal"/>
    <w:uiPriority w:val="99"/>
    <w:rsid w:val="00AD566F"/>
    <w:pPr>
      <w:spacing w:before="160"/>
      <w:outlineLvl w:val="0"/>
    </w:pPr>
  </w:style>
  <w:style w:type="paragraph" w:customStyle="1" w:styleId="HeadingiS2">
    <w:name w:val="Headingi_S2"/>
    <w:basedOn w:val="Headingi"/>
    <w:next w:val="NormalS2"/>
    <w:rsid w:val="00AD566F"/>
    <w:pPr>
      <w:tabs>
        <w:tab w:val="clear" w:pos="567"/>
        <w:tab w:val="clear" w:pos="1134"/>
        <w:tab w:val="clear" w:pos="1701"/>
        <w:tab w:val="clear" w:pos="2268"/>
        <w:tab w:val="clear" w:pos="2835"/>
        <w:tab w:val="left" w:pos="851"/>
      </w:tabs>
    </w:pPr>
    <w:rPr>
      <w:b/>
      <w:i w:val="0"/>
    </w:rPr>
  </w:style>
  <w:style w:type="paragraph" w:customStyle="1" w:styleId="Headingi">
    <w:name w:val="Heading_i"/>
    <w:basedOn w:val="Heading3"/>
    <w:next w:val="Normal"/>
    <w:rsid w:val="002F5FA2"/>
    <w:pPr>
      <w:spacing w:before="160"/>
      <w:outlineLvl w:val="0"/>
    </w:pPr>
    <w:rPr>
      <w:rFonts w:asciiTheme="minorHAnsi" w:hAnsiTheme="minorHAnsi"/>
      <w:b w:val="0"/>
      <w:i/>
    </w:rPr>
  </w:style>
  <w:style w:type="paragraph" w:customStyle="1" w:styleId="FirstFooter">
    <w:name w:val="FirstFooter"/>
    <w:basedOn w:val="Footer"/>
    <w:rsid w:val="00AD566F"/>
    <w:rPr>
      <w:caps w:val="0"/>
    </w:rPr>
  </w:style>
  <w:style w:type="character" w:styleId="PageNumber">
    <w:name w:val="page number"/>
    <w:basedOn w:val="DefaultParagraphFont"/>
    <w:rsid w:val="002F5FA2"/>
    <w:rPr>
      <w:rFonts w:ascii="Calibri" w:hAnsi="Calibri"/>
    </w:rPr>
  </w:style>
  <w:style w:type="character" w:styleId="Hyperlink">
    <w:name w:val="Hyperlink"/>
    <w:basedOn w:val="DefaultParagraphFont"/>
    <w:uiPriority w:val="99"/>
    <w:rsid w:val="00895033"/>
    <w:rPr>
      <w:rFonts w:ascii="Calibri" w:hAnsi="Calibri"/>
      <w:color w:val="0070C0"/>
      <w:u w:val="single"/>
    </w:rPr>
  </w:style>
  <w:style w:type="paragraph" w:styleId="Date">
    <w:name w:val="Date"/>
    <w:basedOn w:val="Normal"/>
    <w:rsid w:val="003A4E67"/>
    <w:pPr>
      <w:tabs>
        <w:tab w:val="clear" w:pos="2268"/>
        <w:tab w:val="left" w:pos="1843"/>
        <w:tab w:val="left" w:pos="2269"/>
        <w:tab w:val="left" w:pos="3544"/>
        <w:tab w:val="left" w:pos="3969"/>
      </w:tabs>
      <w:spacing w:before="192" w:line="240" w:lineRule="atLeast"/>
      <w:jc w:val="center"/>
    </w:pPr>
    <w:rPr>
      <w:sz w:val="20"/>
    </w:rPr>
  </w:style>
  <w:style w:type="character" w:styleId="FollowedHyperlink">
    <w:name w:val="FollowedHyperlink"/>
    <w:basedOn w:val="DefaultParagraphFont"/>
    <w:rsid w:val="00AD566F"/>
    <w:rPr>
      <w:color w:val="800080"/>
      <w:u w:val="single"/>
    </w:rPr>
  </w:style>
  <w:style w:type="paragraph" w:customStyle="1" w:styleId="Heading1c">
    <w:name w:val="Heading 1c"/>
    <w:basedOn w:val="Heading1"/>
    <w:next w:val="Normal"/>
    <w:rsid w:val="002F5FA2"/>
    <w:pPr>
      <w:ind w:left="0" w:firstLine="0"/>
      <w:jc w:val="center"/>
      <w:outlineLvl w:val="9"/>
    </w:pPr>
  </w:style>
  <w:style w:type="paragraph" w:customStyle="1" w:styleId="Heading1cS2">
    <w:name w:val="Heading 1c_S2"/>
    <w:basedOn w:val="Heading1c"/>
    <w:next w:val="NormalS2"/>
    <w:rsid w:val="00257188"/>
    <w:pPr>
      <w:tabs>
        <w:tab w:val="clear" w:pos="567"/>
        <w:tab w:val="clear" w:pos="1134"/>
        <w:tab w:val="clear" w:pos="1701"/>
        <w:tab w:val="clear" w:pos="2268"/>
        <w:tab w:val="clear" w:pos="2835"/>
        <w:tab w:val="left" w:pos="851"/>
      </w:tabs>
      <w:jc w:val="left"/>
    </w:pPr>
    <w:rPr>
      <w:sz w:val="24"/>
    </w:rPr>
  </w:style>
  <w:style w:type="paragraph" w:customStyle="1" w:styleId="Heading2i">
    <w:name w:val="Heading 2i"/>
    <w:basedOn w:val="Heading2"/>
    <w:next w:val="Normal"/>
    <w:rsid w:val="002F5FA2"/>
    <w:rPr>
      <w:b w:val="0"/>
      <w:i/>
    </w:rPr>
  </w:style>
  <w:style w:type="paragraph" w:customStyle="1" w:styleId="Heading2iS2">
    <w:name w:val="Heading 2i_S2"/>
    <w:basedOn w:val="Heading2i"/>
    <w:next w:val="NormalS2"/>
    <w:rsid w:val="00AD566F"/>
    <w:pPr>
      <w:tabs>
        <w:tab w:val="clear" w:pos="567"/>
        <w:tab w:val="clear" w:pos="1134"/>
        <w:tab w:val="clear" w:pos="1701"/>
        <w:tab w:val="clear" w:pos="2268"/>
        <w:tab w:val="clear" w:pos="2835"/>
        <w:tab w:val="left" w:pos="851"/>
      </w:tabs>
    </w:pPr>
    <w:rPr>
      <w:b/>
      <w:i w:val="0"/>
    </w:rPr>
  </w:style>
  <w:style w:type="paragraph" w:customStyle="1" w:styleId="firstfooter0">
    <w:name w:val="firstfooter"/>
    <w:basedOn w:val="Normal"/>
    <w:rsid w:val="00DE4CC2"/>
    <w:pPr>
      <w:tabs>
        <w:tab w:val="clear" w:pos="567"/>
        <w:tab w:val="clear" w:pos="1134"/>
        <w:tab w:val="clear" w:pos="1701"/>
        <w:tab w:val="clear" w:pos="2268"/>
        <w:tab w:val="clear" w:pos="2835"/>
      </w:tabs>
      <w:overflowPunct/>
      <w:autoSpaceDE/>
      <w:autoSpaceDN/>
      <w:adjustRightInd/>
      <w:spacing w:before="100" w:beforeAutospacing="1" w:after="100" w:afterAutospacing="1"/>
      <w:textAlignment w:val="auto"/>
    </w:pPr>
    <w:rPr>
      <w:rFonts w:eastAsia="SimSun"/>
      <w:szCs w:val="24"/>
      <w:lang w:val="en-US" w:eastAsia="zh-CN"/>
    </w:rPr>
  </w:style>
  <w:style w:type="paragraph" w:customStyle="1" w:styleId="Normalpv">
    <w:name w:val="Normal pv"/>
    <w:basedOn w:val="Normal"/>
    <w:rsid w:val="00AD566F"/>
    <w:pPr>
      <w:tabs>
        <w:tab w:val="clear" w:pos="567"/>
        <w:tab w:val="clear" w:pos="1134"/>
        <w:tab w:val="clear" w:pos="1701"/>
        <w:tab w:val="clear" w:pos="2268"/>
        <w:tab w:val="clear" w:pos="2835"/>
        <w:tab w:val="left" w:pos="794"/>
        <w:tab w:val="left" w:pos="1191"/>
        <w:tab w:val="left" w:pos="1588"/>
        <w:tab w:val="left" w:pos="1985"/>
      </w:tabs>
    </w:pPr>
  </w:style>
  <w:style w:type="paragraph" w:customStyle="1" w:styleId="Heading1pv">
    <w:name w:val="Heading 1pv"/>
    <w:basedOn w:val="Heading1"/>
    <w:next w:val="Normalpv"/>
    <w:rsid w:val="00AD566F"/>
    <w:pPr>
      <w:tabs>
        <w:tab w:val="clear" w:pos="567"/>
        <w:tab w:val="clear" w:pos="1134"/>
        <w:tab w:val="clear" w:pos="1701"/>
        <w:tab w:val="clear" w:pos="2268"/>
        <w:tab w:val="clear" w:pos="2835"/>
        <w:tab w:val="left" w:pos="794"/>
        <w:tab w:val="left" w:pos="1191"/>
        <w:tab w:val="left" w:pos="1588"/>
        <w:tab w:val="left" w:pos="1985"/>
      </w:tabs>
      <w:ind w:left="794" w:hanging="794"/>
    </w:pPr>
  </w:style>
  <w:style w:type="paragraph" w:customStyle="1" w:styleId="Heading2pv">
    <w:name w:val="Heading 2pv"/>
    <w:basedOn w:val="Heading1pv"/>
    <w:next w:val="Normalpv"/>
    <w:rsid w:val="00257188"/>
    <w:pPr>
      <w:spacing w:before="320"/>
      <w:outlineLvl w:val="1"/>
    </w:pPr>
    <w:rPr>
      <w:sz w:val="24"/>
    </w:rPr>
  </w:style>
  <w:style w:type="paragraph" w:customStyle="1" w:styleId="Heading3pv">
    <w:name w:val="Heading 3pv"/>
    <w:basedOn w:val="Heading1pv"/>
    <w:next w:val="Normalpv"/>
    <w:rsid w:val="00257188"/>
    <w:pPr>
      <w:spacing w:before="200"/>
      <w:outlineLvl w:val="2"/>
    </w:pPr>
    <w:rPr>
      <w:sz w:val="24"/>
    </w:rPr>
  </w:style>
  <w:style w:type="paragraph" w:customStyle="1" w:styleId="SpecialFooter">
    <w:name w:val="Special Footer"/>
    <w:basedOn w:val="Footer"/>
    <w:rsid w:val="007E2AD4"/>
    <w:pPr>
      <w:tabs>
        <w:tab w:val="left" w:pos="567"/>
        <w:tab w:val="left" w:pos="1134"/>
        <w:tab w:val="left" w:pos="1701"/>
        <w:tab w:val="left" w:pos="2268"/>
        <w:tab w:val="left" w:pos="2835"/>
      </w:tabs>
      <w:jc w:val="both"/>
    </w:pPr>
    <w:rPr>
      <w:rFonts w:ascii="Times New Roman" w:hAnsi="Times New Roman"/>
      <w:caps w:val="0"/>
      <w:noProof w:val="0"/>
    </w:rPr>
  </w:style>
  <w:style w:type="paragraph" w:customStyle="1" w:styleId="NormalendS2">
    <w:name w:val="Normal_end_S2"/>
    <w:basedOn w:val="Normal"/>
    <w:qFormat/>
    <w:rsid w:val="00235A3B"/>
  </w:style>
  <w:style w:type="paragraph" w:customStyle="1" w:styleId="Dectitle">
    <w:name w:val="Dec_title"/>
    <w:basedOn w:val="Restitle"/>
    <w:next w:val="Normalaftertitle"/>
    <w:qFormat/>
    <w:rsid w:val="00142F28"/>
  </w:style>
  <w:style w:type="paragraph" w:customStyle="1" w:styleId="DecNo">
    <w:name w:val="Dec_No"/>
    <w:basedOn w:val="ResNo"/>
    <w:next w:val="Dectitle"/>
    <w:qFormat/>
    <w:rsid w:val="00142F28"/>
  </w:style>
  <w:style w:type="paragraph" w:customStyle="1" w:styleId="DectitleS2">
    <w:name w:val="Dec_title_S2"/>
    <w:basedOn w:val="RestitleS2"/>
    <w:next w:val="Normal"/>
    <w:qFormat/>
    <w:rsid w:val="006F565E"/>
  </w:style>
  <w:style w:type="paragraph" w:customStyle="1" w:styleId="DecNoS2">
    <w:name w:val="Dec_No_S2"/>
    <w:basedOn w:val="ResNoS2"/>
    <w:next w:val="DectitleS2"/>
    <w:qFormat/>
    <w:rsid w:val="006F565E"/>
  </w:style>
  <w:style w:type="paragraph" w:customStyle="1" w:styleId="Sectiontitle">
    <w:name w:val="Section_title"/>
    <w:basedOn w:val="Arttitle"/>
    <w:next w:val="Normalaftertitle"/>
    <w:qFormat/>
    <w:rsid w:val="007140CF"/>
  </w:style>
  <w:style w:type="paragraph" w:customStyle="1" w:styleId="SectionNo">
    <w:name w:val="Section_No"/>
    <w:basedOn w:val="ArtNo"/>
    <w:next w:val="Sectiontitle"/>
    <w:qFormat/>
    <w:rsid w:val="007140CF"/>
  </w:style>
  <w:style w:type="paragraph" w:customStyle="1" w:styleId="SectiontitleS2">
    <w:name w:val="Section_title_S2"/>
    <w:basedOn w:val="ArttitleS2"/>
    <w:next w:val="Normal"/>
    <w:qFormat/>
    <w:rsid w:val="007140CF"/>
  </w:style>
  <w:style w:type="paragraph" w:customStyle="1" w:styleId="SectionNoS2">
    <w:name w:val="Section_No_S2"/>
    <w:basedOn w:val="ArtNoS2"/>
    <w:next w:val="SectiontitleS2"/>
    <w:qFormat/>
    <w:rsid w:val="007140CF"/>
  </w:style>
  <w:style w:type="paragraph" w:customStyle="1" w:styleId="Proposal">
    <w:name w:val="Proposal"/>
    <w:basedOn w:val="Normal"/>
    <w:next w:val="Normal"/>
    <w:rsid w:val="00CB7795"/>
    <w:pPr>
      <w:keepNext/>
      <w:tabs>
        <w:tab w:val="clear" w:pos="567"/>
        <w:tab w:val="clear" w:pos="1701"/>
        <w:tab w:val="clear" w:pos="2268"/>
        <w:tab w:val="clear" w:pos="2835"/>
      </w:tabs>
      <w:spacing w:before="240"/>
    </w:pPr>
    <w:rPr>
      <w:rFonts w:asciiTheme="minorHAnsi" w:hAnsi="Times New Roman Bold"/>
      <w:b/>
    </w:rPr>
  </w:style>
  <w:style w:type="paragraph" w:customStyle="1" w:styleId="Agendaitem">
    <w:name w:val="Agenda_item"/>
    <w:basedOn w:val="Normal"/>
    <w:next w:val="Normal"/>
    <w:qFormat/>
    <w:rsid w:val="001A16ED"/>
    <w:pPr>
      <w:tabs>
        <w:tab w:val="clear" w:pos="567"/>
        <w:tab w:val="clear" w:pos="1134"/>
        <w:tab w:val="clear" w:pos="1701"/>
        <w:tab w:val="clear" w:pos="2268"/>
        <w:tab w:val="clear" w:pos="2835"/>
      </w:tabs>
      <w:overflowPunct/>
      <w:autoSpaceDE/>
      <w:autoSpaceDN/>
      <w:adjustRightInd/>
      <w:spacing w:before="240" w:after="200" w:line="276" w:lineRule="auto"/>
      <w:jc w:val="center"/>
      <w:textAlignment w:val="auto"/>
    </w:pPr>
    <w:rPr>
      <w:rFonts w:asciiTheme="minorHAnsi" w:eastAsiaTheme="minorEastAsia" w:hAnsiTheme="minorHAnsi" w:cstheme="minorBidi"/>
      <w:sz w:val="28"/>
      <w:szCs w:val="22"/>
      <w:lang w:val="es-ES_tradnl" w:eastAsia="zh-CN"/>
    </w:rPr>
  </w:style>
  <w:style w:type="paragraph" w:customStyle="1" w:styleId="Committee">
    <w:name w:val="Committee"/>
    <w:basedOn w:val="Normal"/>
    <w:qFormat/>
    <w:rsid w:val="003A4E67"/>
    <w:pPr>
      <w:tabs>
        <w:tab w:val="clear" w:pos="567"/>
        <w:tab w:val="clear" w:pos="1134"/>
        <w:tab w:val="clear" w:pos="1701"/>
        <w:tab w:val="clear" w:pos="2268"/>
        <w:tab w:val="clear" w:pos="2835"/>
        <w:tab w:val="left" w:pos="851"/>
      </w:tabs>
      <w:overflowPunct/>
      <w:autoSpaceDE/>
      <w:autoSpaceDN/>
      <w:adjustRightInd/>
      <w:spacing w:before="0" w:after="200" w:line="240" w:lineRule="atLeast"/>
      <w:textAlignment w:val="auto"/>
    </w:pPr>
    <w:rPr>
      <w:rFonts w:asciiTheme="minorHAnsi" w:eastAsiaTheme="minorEastAsia" w:hAnsiTheme="minorHAnsi" w:cstheme="minorHAnsi"/>
      <w:b/>
      <w:szCs w:val="24"/>
      <w:lang w:val="en-US" w:eastAsia="zh-CN"/>
    </w:rPr>
  </w:style>
  <w:style w:type="character" w:customStyle="1" w:styleId="HeaderChar">
    <w:name w:val="Header Char"/>
    <w:basedOn w:val="DefaultParagraphFont"/>
    <w:link w:val="Header"/>
    <w:rsid w:val="001A16ED"/>
    <w:rPr>
      <w:rFonts w:ascii="Calibri" w:hAnsi="Calibri"/>
      <w:sz w:val="18"/>
      <w:lang w:val="en-GB" w:eastAsia="en-US"/>
    </w:rPr>
  </w:style>
  <w:style w:type="paragraph" w:styleId="BalloonText">
    <w:name w:val="Balloon Text"/>
    <w:basedOn w:val="Normal"/>
    <w:link w:val="BalloonTextChar"/>
    <w:semiHidden/>
    <w:unhideWhenUsed/>
    <w:rsid w:val="00A808E1"/>
    <w:pPr>
      <w:spacing w:before="0"/>
    </w:pPr>
    <w:rPr>
      <w:rFonts w:ascii="Tahoma" w:hAnsi="Tahoma" w:cs="Tahoma"/>
      <w:sz w:val="16"/>
      <w:szCs w:val="16"/>
    </w:rPr>
  </w:style>
  <w:style w:type="character" w:customStyle="1" w:styleId="BalloonTextChar">
    <w:name w:val="Balloon Text Char"/>
    <w:basedOn w:val="DefaultParagraphFont"/>
    <w:link w:val="BalloonText"/>
    <w:semiHidden/>
    <w:rsid w:val="00A808E1"/>
    <w:rPr>
      <w:rFonts w:ascii="Tahoma" w:hAnsi="Tahoma" w:cs="Tahoma"/>
      <w:sz w:val="16"/>
      <w:szCs w:val="16"/>
      <w:lang w:val="en-GB" w:eastAsia="en-US"/>
    </w:rPr>
  </w:style>
  <w:style w:type="paragraph" w:customStyle="1" w:styleId="VolumeTitle">
    <w:name w:val="VolumeTitle"/>
    <w:basedOn w:val="Normal"/>
    <w:next w:val="Normal"/>
    <w:rsid w:val="00B156F9"/>
    <w:pPr>
      <w:tabs>
        <w:tab w:val="clear" w:pos="567"/>
        <w:tab w:val="clear" w:pos="1134"/>
        <w:tab w:val="clear" w:pos="1701"/>
        <w:tab w:val="clear" w:pos="2268"/>
        <w:tab w:val="clear" w:pos="2835"/>
      </w:tabs>
      <w:overflowPunct/>
      <w:autoSpaceDE/>
      <w:autoSpaceDN/>
      <w:adjustRightInd/>
      <w:spacing w:before="240" w:after="240"/>
      <w:jc w:val="center"/>
      <w:textAlignment w:val="auto"/>
    </w:pPr>
    <w:rPr>
      <w:rFonts w:asciiTheme="minorHAnsi" w:eastAsiaTheme="minorEastAsia" w:hAnsiTheme="minorHAnsi" w:cstheme="minorBidi"/>
      <w:b/>
      <w:bCs/>
      <w:caps/>
      <w:sz w:val="32"/>
      <w:szCs w:val="32"/>
      <w:lang w:val="en-US" w:eastAsia="zh-CN"/>
    </w:rPr>
  </w:style>
  <w:style w:type="paragraph" w:customStyle="1" w:styleId="VolumeTitleS2">
    <w:name w:val="VolumeTitle_S2"/>
    <w:basedOn w:val="VolumeTitle"/>
    <w:next w:val="Normal"/>
    <w:qFormat/>
    <w:rsid w:val="00215F12"/>
  </w:style>
  <w:style w:type="paragraph" w:customStyle="1" w:styleId="OP">
    <w:name w:val="OP"/>
    <w:basedOn w:val="Normal"/>
    <w:next w:val="Normal"/>
    <w:qFormat/>
    <w:rsid w:val="00FF04D6"/>
    <w:pPr>
      <w:pageBreakBefore/>
      <w:tabs>
        <w:tab w:val="clear" w:pos="1134"/>
        <w:tab w:val="clear" w:pos="2268"/>
        <w:tab w:val="right" w:pos="567"/>
        <w:tab w:val="left" w:pos="794"/>
        <w:tab w:val="left" w:pos="1191"/>
        <w:tab w:val="left" w:pos="1588"/>
        <w:tab w:val="left" w:pos="1985"/>
      </w:tabs>
      <w:spacing w:before="240" w:after="240" w:line="480" w:lineRule="atLeast"/>
      <w:jc w:val="center"/>
    </w:pPr>
    <w:rPr>
      <w:b/>
      <w:sz w:val="32"/>
    </w:rPr>
  </w:style>
  <w:style w:type="paragraph" w:customStyle="1" w:styleId="OPtitle">
    <w:name w:val="OP_title"/>
    <w:basedOn w:val="Normal"/>
    <w:next w:val="Normalaftertitle"/>
    <w:qFormat/>
    <w:rsid w:val="00FF04D6"/>
    <w:pPr>
      <w:jc w:val="center"/>
    </w:pPr>
    <w:rPr>
      <w:b/>
      <w:bCs/>
    </w:rPr>
  </w:style>
  <w:style w:type="paragraph" w:customStyle="1" w:styleId="StyleCommitteeAfter0ptLinespacingsingle">
    <w:name w:val="Style Committee + After:  0 pt Line spacing:  single"/>
    <w:basedOn w:val="Committee"/>
    <w:rsid w:val="00841AB4"/>
    <w:pPr>
      <w:framePr w:wrap="around" w:hAnchor="text"/>
      <w:spacing w:after="0" w:line="240" w:lineRule="auto"/>
    </w:pPr>
    <w:rPr>
      <w:rFonts w:eastAsia="Times New Roman" w:cs="Times New Roman"/>
      <w:bCs/>
      <w:szCs w:val="20"/>
    </w:rPr>
  </w:style>
  <w:style w:type="character" w:styleId="UnresolvedMention">
    <w:name w:val="Unresolved Mention"/>
    <w:basedOn w:val="DefaultParagraphFont"/>
    <w:uiPriority w:val="99"/>
    <w:semiHidden/>
    <w:unhideWhenUsed/>
    <w:rsid w:val="00D75620"/>
    <w:rPr>
      <w:color w:val="605E5C"/>
      <w:shd w:val="clear" w:color="auto" w:fill="E1DFDD"/>
    </w:rPr>
  </w:style>
  <w:style w:type="character" w:styleId="PlaceholderText">
    <w:name w:val="Placeholder Text"/>
    <w:basedOn w:val="DefaultParagraphFont"/>
    <w:uiPriority w:val="99"/>
    <w:semiHidden/>
    <w:rsid w:val="00E775A3"/>
    <w:rPr>
      <w:color w:val="666666"/>
    </w:rPr>
  </w:style>
  <w:style w:type="paragraph" w:customStyle="1" w:styleId="Data">
    <w:name w:val="Data"/>
    <w:basedOn w:val="Normal"/>
    <w:rsid w:val="00AA6D0C"/>
    <w:pPr>
      <w:framePr w:hSpace="181" w:wrap="around" w:hAnchor="margin" w:xAlign="center" w:y="-674"/>
      <w:tabs>
        <w:tab w:val="left" w:pos="851"/>
      </w:tabs>
      <w:spacing w:before="0"/>
    </w:pPr>
    <w:rPr>
      <w:rFonts w:cstheme="minorHAnsi"/>
      <w:b/>
      <w:szCs w:val="24"/>
    </w:rPr>
  </w:style>
  <w:style w:type="character" w:styleId="CommentReference">
    <w:name w:val="annotation reference"/>
    <w:basedOn w:val="DefaultParagraphFont"/>
    <w:semiHidden/>
    <w:unhideWhenUsed/>
    <w:rsid w:val="00C86AAA"/>
    <w:rPr>
      <w:sz w:val="16"/>
      <w:szCs w:val="16"/>
    </w:rPr>
  </w:style>
  <w:style w:type="paragraph" w:styleId="CommentText">
    <w:name w:val="annotation text"/>
    <w:basedOn w:val="Normal"/>
    <w:link w:val="CommentTextChar"/>
    <w:unhideWhenUsed/>
    <w:rsid w:val="00C86AAA"/>
    <w:rPr>
      <w:sz w:val="20"/>
    </w:rPr>
  </w:style>
  <w:style w:type="character" w:customStyle="1" w:styleId="CommentTextChar">
    <w:name w:val="Comment Text Char"/>
    <w:basedOn w:val="DefaultParagraphFont"/>
    <w:link w:val="CommentText"/>
    <w:rsid w:val="00C86AAA"/>
    <w:rPr>
      <w:rFonts w:ascii="Calibri" w:hAnsi="Calibri"/>
      <w:lang w:val="en-GB" w:eastAsia="en-US"/>
    </w:rPr>
  </w:style>
  <w:style w:type="paragraph" w:styleId="ListParagraph">
    <w:name w:val="List Paragraph"/>
    <w:basedOn w:val="Normal"/>
    <w:link w:val="ListParagraphChar"/>
    <w:uiPriority w:val="34"/>
    <w:qFormat/>
    <w:rsid w:val="00C86AAA"/>
    <w:pPr>
      <w:tabs>
        <w:tab w:val="clear" w:pos="567"/>
        <w:tab w:val="clear" w:pos="1134"/>
        <w:tab w:val="clear" w:pos="1701"/>
        <w:tab w:val="clear" w:pos="2268"/>
        <w:tab w:val="clear" w:pos="2835"/>
      </w:tabs>
      <w:overflowPunct/>
      <w:autoSpaceDE/>
      <w:autoSpaceDN/>
      <w:adjustRightInd/>
      <w:spacing w:before="0" w:after="160" w:line="259" w:lineRule="auto"/>
      <w:ind w:left="720"/>
      <w:contextualSpacing/>
      <w:textAlignment w:val="auto"/>
    </w:pPr>
    <w:rPr>
      <w:rFonts w:asciiTheme="minorHAnsi" w:eastAsiaTheme="minorHAnsi" w:hAnsiTheme="minorHAnsi" w:cstheme="minorBidi"/>
      <w:sz w:val="22"/>
      <w:szCs w:val="22"/>
    </w:rPr>
  </w:style>
  <w:style w:type="character" w:customStyle="1" w:styleId="ListParagraphChar">
    <w:name w:val="List Paragraph Char"/>
    <w:basedOn w:val="DefaultParagraphFont"/>
    <w:link w:val="ListParagraph"/>
    <w:uiPriority w:val="34"/>
    <w:rsid w:val="00C86AAA"/>
    <w:rPr>
      <w:rFonts w:asciiTheme="minorHAnsi" w:eastAsiaTheme="minorHAnsi" w:hAnsiTheme="minorHAnsi" w:cstheme="minorBidi"/>
      <w:sz w:val="22"/>
      <w:szCs w:val="22"/>
      <w:lang w:val="en-GB" w:eastAsia="en-US"/>
    </w:rPr>
  </w:style>
  <w:style w:type="paragraph" w:customStyle="1" w:styleId="Tablefin">
    <w:name w:val="Table_fin"/>
    <w:basedOn w:val="Tabletext"/>
    <w:rsid w:val="005E56B5"/>
    <w:pPr>
      <w:spacing w:before="0" w:after="0"/>
    </w:pPr>
  </w:style>
  <w:style w:type="paragraph" w:customStyle="1" w:styleId="Blanc">
    <w:name w:val="Blanc"/>
    <w:basedOn w:val="Normal"/>
    <w:rsid w:val="00D857CA"/>
    <w:pPr>
      <w:spacing w:before="0"/>
    </w:pPr>
  </w:style>
  <w:style w:type="paragraph" w:styleId="Revision">
    <w:name w:val="Revision"/>
    <w:hidden/>
    <w:uiPriority w:val="99"/>
    <w:semiHidden/>
    <w:rsid w:val="0050048C"/>
    <w:rPr>
      <w:rFonts w:ascii="Calibri" w:hAnsi="Calibri"/>
      <w:sz w:val="24"/>
      <w:lang w:val="en-GB" w:eastAsia="en-US"/>
    </w:rPr>
  </w:style>
  <w:style w:type="paragraph" w:styleId="CommentSubject">
    <w:name w:val="annotation subject"/>
    <w:basedOn w:val="CommentText"/>
    <w:next w:val="CommentText"/>
    <w:link w:val="CommentSubjectChar"/>
    <w:semiHidden/>
    <w:unhideWhenUsed/>
    <w:rsid w:val="001A289B"/>
    <w:rPr>
      <w:b/>
      <w:bCs/>
    </w:rPr>
  </w:style>
  <w:style w:type="character" w:customStyle="1" w:styleId="CommentSubjectChar">
    <w:name w:val="Comment Subject Char"/>
    <w:basedOn w:val="CommentTextChar"/>
    <w:link w:val="CommentSubject"/>
    <w:semiHidden/>
    <w:rsid w:val="001A289B"/>
    <w:rPr>
      <w:rFonts w:ascii="Calibri" w:hAnsi="Calibri"/>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258992">
      <w:bodyDiv w:val="1"/>
      <w:marLeft w:val="0"/>
      <w:marRight w:val="0"/>
      <w:marTop w:val="0"/>
      <w:marBottom w:val="0"/>
      <w:divBdr>
        <w:top w:val="none" w:sz="0" w:space="0" w:color="auto"/>
        <w:left w:val="none" w:sz="0" w:space="0" w:color="auto"/>
        <w:bottom w:val="none" w:sz="0" w:space="0" w:color="auto"/>
        <w:right w:val="none" w:sz="0" w:space="0" w:color="auto"/>
      </w:divBdr>
    </w:div>
    <w:div w:id="407268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tu.int/md/S26-PP-C-0032/e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itu.int/md/S26-PP-C-0032/e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pp26.itu.int/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ivino\AppData\Roaming\Microsoft\Templates\PP26_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14E447ED7B9DA4C9F10BB2808D9DCA9" ma:contentTypeVersion="8" ma:contentTypeDescription="Create a new document." ma:contentTypeScope="" ma:versionID="a0b38ed13965c2144e991bf474a47057">
  <xsd:schema xmlns:xsd="http://www.w3.org/2001/XMLSchema" xmlns:xs="http://www.w3.org/2001/XMLSchema" xmlns:p="http://schemas.microsoft.com/office/2006/metadata/properties" xmlns:ns2="a4c22657-7647-457b-a399-8471255bb166" targetNamespace="http://schemas.microsoft.com/office/2006/metadata/properties" ma:root="true" ma:fieldsID="e0587f8bedd9841da62e2c0c0da53b53" ns2:_="">
    <xsd:import namespace="a4c22657-7647-457b-a399-8471255bb16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c22657-7647-457b-a399-8471255bb1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235A31-4C7A-4067-B271-813DB76E3B90}">
  <ds:schemaRefs>
    <ds:schemaRef ds:uri="http://schemas.openxmlformats.org/officeDocument/2006/bibliography"/>
  </ds:schemaRefs>
</ds:datastoreItem>
</file>

<file path=customXml/itemProps2.xml><?xml version="1.0" encoding="utf-8"?>
<ds:datastoreItem xmlns:ds="http://schemas.openxmlformats.org/officeDocument/2006/customXml" ds:itemID="{31E50434-C60D-4ABE-A9CB-B87FDDDF4549}">
  <ds:schemaRefs>
    <ds:schemaRef ds:uri="http://schemas.microsoft.com/sharepoint/v3/contenttype/forms"/>
  </ds:schemaRefs>
</ds:datastoreItem>
</file>

<file path=customXml/itemProps3.xml><?xml version="1.0" encoding="utf-8"?>
<ds:datastoreItem xmlns:ds="http://schemas.openxmlformats.org/officeDocument/2006/customXml" ds:itemID="{4CA32A7A-442F-43B9-AF5B-195917CE96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c22657-7647-457b-a399-8471255bb1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9EC2809-BFEE-43C4-BA14-7E13F9E9855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PP26_E-template.dotx</Template>
  <TotalTime>2</TotalTime>
  <Pages>4</Pages>
  <Words>1200</Words>
  <Characters>7668</Characters>
  <Application>Microsoft Office Word</Application>
  <DocSecurity>0</DocSecurity>
  <Lines>196</Lines>
  <Paragraphs>68</Paragraphs>
  <ScaleCrop>false</ScaleCrop>
  <HeadingPairs>
    <vt:vector size="2" baseType="variant">
      <vt:variant>
        <vt:lpstr>Title</vt:lpstr>
      </vt:variant>
      <vt:variant>
        <vt:i4>1</vt:i4>
      </vt:variant>
    </vt:vector>
  </HeadingPairs>
  <TitlesOfParts>
    <vt:vector size="1" baseType="lpstr">
      <vt:lpstr>ITU Strategic and Financial Plans 2028-2031</vt:lpstr>
    </vt:vector>
  </TitlesOfParts>
  <Manager/>
  <Company/>
  <LinksUpToDate>false</LinksUpToDate>
  <CharactersWithSpaces>8800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ITU Strategic and Financial Plans 2028-2031</dc:title>
  <dc:subject>ITU Plenipotentiary Conference (PP-26)</dc:subject>
  <cp:keywords>PP-26, PP26, ITU</cp:keywords>
  <dcterms:created xsi:type="dcterms:W3CDTF">2026-08-05T09:40:00Z</dcterms:created>
  <dcterms:modified xsi:type="dcterms:W3CDTF">2026-08-05T09:41:00Z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0x010100814E447ED7B9DA4C9F10BB2808D9DCA9</vt:lpwstr>
  </property>
</Properties>
</file>