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229"/>
        <w:gridCol w:w="2802"/>
      </w:tblGrid>
      <w:tr w:rsidR="00497449" w14:paraId="59D44D16" w14:textId="77777777" w:rsidTr="00645AE3">
        <w:trPr>
          <w:cantSplit/>
          <w:trHeight w:hRule="exact" w:val="1417"/>
          <w:jc w:val="center"/>
        </w:trPr>
        <w:tc>
          <w:tcPr>
            <w:tcW w:w="10031" w:type="dxa"/>
            <w:gridSpan w:val="2"/>
            <w:tcMar>
              <w:left w:w="0" w:type="dxa"/>
              <w:right w:w="0" w:type="dxa"/>
            </w:tcMar>
            <w:vAlign w:val="center"/>
          </w:tcPr>
          <w:p w14:paraId="7933F894" w14:textId="1D5329F9" w:rsidR="00497449" w:rsidRPr="00622560" w:rsidRDefault="005C260B" w:rsidP="006707E1">
            <w:pPr>
              <w:spacing w:before="0"/>
            </w:pPr>
            <w:bookmarkStart w:id="0" w:name="dorlang" w:colFirst="1" w:colLast="1"/>
            <w:r>
              <w:rPr>
                <w:noProof/>
              </w:rPr>
              <w:drawing>
                <wp:anchor distT="0" distB="0" distL="0" distR="0" simplePos="0" relativeHeight="251658240" behindDoc="1" locked="0" layoutInCell="1" allowOverlap="1" wp14:anchorId="1A7DFCDE" wp14:editId="5F36E6D2">
                  <wp:simplePos x="0" y="0"/>
                  <wp:positionH relativeFrom="column">
                    <wp:posOffset>0</wp:posOffset>
                  </wp:positionH>
                  <wp:positionV relativeFrom="paragraph">
                    <wp:posOffset>36195</wp:posOffset>
                  </wp:positionV>
                  <wp:extent cx="6660000" cy="972000"/>
                  <wp:effectExtent l="0" t="0" r="0" b="0"/>
                  <wp:wrapTight wrapText="bothSides">
                    <wp:wrapPolygon edited="0">
                      <wp:start x="0" y="0"/>
                      <wp:lineTo x="0" y="21176"/>
                      <wp:lineTo x="21501" y="21176"/>
                      <wp:lineTo x="21501" y="0"/>
                      <wp:lineTo x="0" y="0"/>
                    </wp:wrapPolygon>
                  </wp:wrapTight>
                  <wp:docPr id="1271752378" name="Picture 1" descr="A close up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52378" name="Picture 1" descr="A close up of a number&#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6660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C95D5A" w:rsidRPr="00AC79BA" w14:paraId="4F42F07D" w14:textId="77777777" w:rsidTr="00645AE3">
        <w:trPr>
          <w:cantSplit/>
          <w:jc w:val="center"/>
        </w:trPr>
        <w:tc>
          <w:tcPr>
            <w:tcW w:w="10031" w:type="dxa"/>
            <w:gridSpan w:val="2"/>
            <w:tcBorders>
              <w:bottom w:val="single" w:sz="12" w:space="0" w:color="71716F"/>
            </w:tcBorders>
          </w:tcPr>
          <w:p w14:paraId="0D569FF3" w14:textId="77777777" w:rsidR="00C95D5A" w:rsidRPr="00AC79BA" w:rsidRDefault="00C95D5A" w:rsidP="00497449">
            <w:pPr>
              <w:spacing w:before="0" w:line="240" w:lineRule="atLeast"/>
              <w:rPr>
                <w:b/>
                <w:smallCaps/>
                <w:szCs w:val="24"/>
              </w:rPr>
            </w:pPr>
            <w:bookmarkStart w:id="1" w:name="dhead"/>
          </w:p>
        </w:tc>
      </w:tr>
      <w:tr w:rsidR="00C710E5" w:rsidRPr="00C324A8" w14:paraId="21BF31F4" w14:textId="77777777" w:rsidTr="00645AE3">
        <w:trPr>
          <w:cantSplit/>
          <w:jc w:val="center"/>
        </w:trPr>
        <w:tc>
          <w:tcPr>
            <w:tcW w:w="7229" w:type="dxa"/>
            <w:tcBorders>
              <w:top w:val="single" w:sz="12" w:space="0" w:color="71716F"/>
            </w:tcBorders>
          </w:tcPr>
          <w:p w14:paraId="5610C2A0" w14:textId="77777777" w:rsidR="00C710E5" w:rsidRPr="00CB4E5A" w:rsidRDefault="00C710E5" w:rsidP="005E2FA1">
            <w:pPr>
              <w:spacing w:before="0" w:line="240" w:lineRule="atLeast"/>
              <w:rPr>
                <w:rFonts w:ascii="Verdana" w:hAnsi="Verdana"/>
                <w:b/>
                <w:bCs/>
                <w:sz w:val="20"/>
              </w:rPr>
            </w:pPr>
          </w:p>
        </w:tc>
        <w:tc>
          <w:tcPr>
            <w:tcW w:w="2802" w:type="dxa"/>
            <w:tcBorders>
              <w:top w:val="single" w:sz="12" w:space="0" w:color="71716F"/>
            </w:tcBorders>
          </w:tcPr>
          <w:p w14:paraId="5C075E72" w14:textId="77777777" w:rsidR="00C710E5" w:rsidRPr="00CB4E5A" w:rsidRDefault="00C710E5" w:rsidP="005E2FA1">
            <w:pPr>
              <w:spacing w:before="0" w:line="240" w:lineRule="atLeast"/>
              <w:rPr>
                <w:rFonts w:ascii="Verdana" w:hAnsi="Verdana"/>
                <w:b/>
                <w:bCs/>
                <w:sz w:val="20"/>
              </w:rPr>
            </w:pPr>
          </w:p>
        </w:tc>
      </w:tr>
      <w:tr w:rsidR="000C0900" w:rsidRPr="00C324A8" w14:paraId="47426B87" w14:textId="77777777" w:rsidTr="00645AE3">
        <w:trPr>
          <w:cantSplit/>
          <w:jc w:val="center"/>
        </w:trPr>
        <w:tc>
          <w:tcPr>
            <w:tcW w:w="7229" w:type="dxa"/>
          </w:tcPr>
          <w:p w14:paraId="3EEC1EC1" w14:textId="438D0EA2" w:rsidR="000C0900" w:rsidRPr="007F0374" w:rsidRDefault="005B5073" w:rsidP="005B5073">
            <w:pPr>
              <w:pStyle w:val="Committee"/>
              <w:framePr w:hSpace="0" w:wrap="auto" w:hAnchor="text" w:yAlign="inline"/>
            </w:pPr>
            <w:proofErr w:type="spellStart"/>
            <w:r w:rsidRPr="005B5073">
              <w:rPr>
                <w:rFonts w:hint="eastAsia"/>
              </w:rPr>
              <w:t>全体会议</w:t>
            </w:r>
            <w:proofErr w:type="spellEnd"/>
          </w:p>
        </w:tc>
        <w:tc>
          <w:tcPr>
            <w:tcW w:w="2802" w:type="dxa"/>
          </w:tcPr>
          <w:p w14:paraId="0364A609" w14:textId="4726A4AB" w:rsidR="000C0900" w:rsidRPr="007F0374" w:rsidRDefault="005B5073" w:rsidP="005B5073">
            <w:pPr>
              <w:spacing w:before="0"/>
              <w:rPr>
                <w:rFonts w:cstheme="minorHAnsi"/>
                <w:szCs w:val="24"/>
              </w:rPr>
            </w:pPr>
            <w:proofErr w:type="spellStart"/>
            <w:r w:rsidRPr="005B5073">
              <w:rPr>
                <w:rFonts w:cstheme="minorHAnsi" w:hint="eastAsia"/>
                <w:b/>
                <w:szCs w:val="24"/>
              </w:rPr>
              <w:t>文件</w:t>
            </w:r>
            <w:proofErr w:type="spellEnd"/>
            <w:r>
              <w:rPr>
                <w:rFonts w:cstheme="minorHAnsi"/>
                <w:b/>
                <w:szCs w:val="24"/>
              </w:rPr>
              <w:t xml:space="preserve"> </w:t>
            </w:r>
            <w:r w:rsidR="00A74532">
              <w:rPr>
                <w:rFonts w:cstheme="minorHAnsi" w:hint="eastAsia"/>
                <w:b/>
                <w:szCs w:val="24"/>
                <w:lang w:eastAsia="zh-CN"/>
              </w:rPr>
              <w:t>33</w:t>
            </w:r>
            <w:r w:rsidRPr="005B5073">
              <w:rPr>
                <w:rFonts w:cstheme="minorHAnsi"/>
                <w:b/>
                <w:szCs w:val="24"/>
              </w:rPr>
              <w:t>-C</w:t>
            </w:r>
          </w:p>
        </w:tc>
      </w:tr>
      <w:tr w:rsidR="00FC2542" w:rsidRPr="00C324A8" w14:paraId="339166C0" w14:textId="77777777" w:rsidTr="00645AE3">
        <w:trPr>
          <w:cantSplit/>
          <w:jc w:val="center"/>
        </w:trPr>
        <w:tc>
          <w:tcPr>
            <w:tcW w:w="7229" w:type="dxa"/>
          </w:tcPr>
          <w:p w14:paraId="5A240617" w14:textId="4D021302" w:rsidR="00FC2542" w:rsidRPr="007F0374" w:rsidRDefault="00FC2542" w:rsidP="000155E6">
            <w:pPr>
              <w:spacing w:before="0"/>
              <w:rPr>
                <w:rFonts w:cstheme="minorHAnsi"/>
                <w:b/>
                <w:bCs/>
                <w:szCs w:val="24"/>
              </w:rPr>
            </w:pPr>
          </w:p>
        </w:tc>
        <w:tc>
          <w:tcPr>
            <w:tcW w:w="2802" w:type="dxa"/>
          </w:tcPr>
          <w:p w14:paraId="330A7759" w14:textId="64017F5E" w:rsidR="00FC2542" w:rsidRPr="007F0374" w:rsidRDefault="005B5073" w:rsidP="005B5073">
            <w:pPr>
              <w:spacing w:before="0"/>
              <w:rPr>
                <w:rFonts w:cstheme="minorHAnsi"/>
                <w:szCs w:val="24"/>
              </w:rPr>
            </w:pPr>
            <w:r w:rsidRPr="005B5073">
              <w:rPr>
                <w:rFonts w:cstheme="minorHAnsi"/>
                <w:b/>
                <w:bCs/>
                <w:szCs w:val="24"/>
              </w:rPr>
              <w:t>20</w:t>
            </w:r>
            <w:r>
              <w:rPr>
                <w:rFonts w:cstheme="minorHAnsi"/>
                <w:b/>
                <w:bCs/>
                <w:szCs w:val="24"/>
              </w:rPr>
              <w:t>2</w:t>
            </w:r>
            <w:r w:rsidR="00C2081C">
              <w:rPr>
                <w:rFonts w:cstheme="minorHAnsi" w:hint="eastAsia"/>
                <w:b/>
                <w:bCs/>
                <w:szCs w:val="24"/>
                <w:lang w:eastAsia="zh-CN"/>
              </w:rPr>
              <w:t>6</w:t>
            </w:r>
            <w:r w:rsidRPr="005B5073">
              <w:rPr>
                <w:rFonts w:cstheme="minorHAnsi" w:hint="eastAsia"/>
                <w:b/>
                <w:bCs/>
                <w:szCs w:val="24"/>
              </w:rPr>
              <w:t>年</w:t>
            </w:r>
            <w:r w:rsidR="00703714">
              <w:rPr>
                <w:rFonts w:cstheme="minorHAnsi" w:hint="eastAsia"/>
                <w:b/>
                <w:bCs/>
                <w:szCs w:val="24"/>
                <w:lang w:eastAsia="zh-CN"/>
              </w:rPr>
              <w:t>8</w:t>
            </w:r>
            <w:r w:rsidRPr="005B5073">
              <w:rPr>
                <w:rFonts w:cstheme="minorHAnsi" w:hint="eastAsia"/>
                <w:b/>
                <w:bCs/>
                <w:szCs w:val="24"/>
              </w:rPr>
              <w:t>月</w:t>
            </w:r>
            <w:r w:rsidR="00703714">
              <w:rPr>
                <w:rFonts w:cstheme="minorHAnsi" w:hint="eastAsia"/>
                <w:b/>
                <w:bCs/>
                <w:szCs w:val="24"/>
                <w:lang w:eastAsia="zh-CN"/>
              </w:rPr>
              <w:t>5</w:t>
            </w:r>
            <w:r w:rsidRPr="005B5073">
              <w:rPr>
                <w:rFonts w:cstheme="minorHAnsi" w:hint="eastAsia"/>
                <w:b/>
                <w:bCs/>
                <w:szCs w:val="24"/>
              </w:rPr>
              <w:t>日</w:t>
            </w:r>
          </w:p>
        </w:tc>
      </w:tr>
      <w:tr w:rsidR="00FC2542" w:rsidRPr="00C324A8" w14:paraId="166C37A6" w14:textId="77777777" w:rsidTr="00645AE3">
        <w:trPr>
          <w:cantSplit/>
          <w:jc w:val="center"/>
        </w:trPr>
        <w:tc>
          <w:tcPr>
            <w:tcW w:w="7229" w:type="dxa"/>
          </w:tcPr>
          <w:p w14:paraId="6C1FB049" w14:textId="77777777" w:rsidR="00FC2542" w:rsidRPr="007F0374" w:rsidRDefault="00FC2542" w:rsidP="000155E6">
            <w:pPr>
              <w:spacing w:before="0"/>
              <w:rPr>
                <w:rFonts w:cstheme="minorHAnsi"/>
                <w:b/>
                <w:bCs/>
                <w:szCs w:val="24"/>
              </w:rPr>
            </w:pPr>
          </w:p>
        </w:tc>
        <w:tc>
          <w:tcPr>
            <w:tcW w:w="2802" w:type="dxa"/>
          </w:tcPr>
          <w:p w14:paraId="16BAC6E0" w14:textId="2411965E" w:rsidR="00FC2542" w:rsidRPr="007F0374" w:rsidRDefault="005B5073" w:rsidP="005B5073">
            <w:pPr>
              <w:spacing w:before="0"/>
              <w:rPr>
                <w:rFonts w:cstheme="minorHAnsi"/>
                <w:szCs w:val="24"/>
              </w:rPr>
            </w:pPr>
            <w:proofErr w:type="spellStart"/>
            <w:r w:rsidRPr="005B5073">
              <w:rPr>
                <w:rFonts w:cstheme="minorHAnsi" w:hint="eastAsia"/>
                <w:b/>
                <w:bCs/>
                <w:szCs w:val="24"/>
              </w:rPr>
              <w:t>原文：英文</w:t>
            </w:r>
            <w:proofErr w:type="spellEnd"/>
          </w:p>
        </w:tc>
      </w:tr>
      <w:tr w:rsidR="00C710E5" w:rsidRPr="00C324A8" w14:paraId="1693E50B" w14:textId="77777777" w:rsidTr="00645AE3">
        <w:trPr>
          <w:cantSplit/>
          <w:jc w:val="center"/>
        </w:trPr>
        <w:tc>
          <w:tcPr>
            <w:tcW w:w="10031" w:type="dxa"/>
            <w:gridSpan w:val="2"/>
          </w:tcPr>
          <w:p w14:paraId="509F9E97" w14:textId="77777777" w:rsidR="00C710E5" w:rsidRDefault="00C710E5" w:rsidP="000155E6">
            <w:pPr>
              <w:spacing w:before="0" w:line="240" w:lineRule="atLeast"/>
              <w:rPr>
                <w:rFonts w:ascii="Verdana" w:hAnsi="Verdana"/>
                <w:b/>
                <w:bCs/>
                <w:sz w:val="20"/>
              </w:rPr>
            </w:pPr>
          </w:p>
        </w:tc>
      </w:tr>
      <w:tr w:rsidR="00C710E5" w14:paraId="5795604A" w14:textId="77777777" w:rsidTr="00645AE3">
        <w:trPr>
          <w:cantSplit/>
          <w:jc w:val="center"/>
        </w:trPr>
        <w:tc>
          <w:tcPr>
            <w:tcW w:w="10031" w:type="dxa"/>
            <w:gridSpan w:val="2"/>
          </w:tcPr>
          <w:p w14:paraId="42C696D6" w14:textId="4EDFF8C4" w:rsidR="00C710E5" w:rsidRDefault="00C2081C" w:rsidP="000155E6">
            <w:pPr>
              <w:pStyle w:val="Source"/>
            </w:pPr>
            <w:bookmarkStart w:id="2" w:name="dsource" w:colFirst="0" w:colLast="0"/>
            <w:bookmarkEnd w:id="0"/>
            <w:bookmarkEnd w:id="1"/>
            <w:proofErr w:type="spellStart"/>
            <w:r>
              <w:rPr>
                <w:bCs/>
                <w:color w:val="000000"/>
                <w:lang w:val="zh-CN"/>
              </w:rPr>
              <w:t>秘书长的报告</w:t>
            </w:r>
            <w:proofErr w:type="spellEnd"/>
          </w:p>
        </w:tc>
      </w:tr>
      <w:tr w:rsidR="00C710E5" w14:paraId="2E27296C" w14:textId="77777777" w:rsidTr="00645AE3">
        <w:trPr>
          <w:cantSplit/>
          <w:jc w:val="center"/>
        </w:trPr>
        <w:tc>
          <w:tcPr>
            <w:tcW w:w="10031" w:type="dxa"/>
            <w:gridSpan w:val="2"/>
          </w:tcPr>
          <w:p w14:paraId="189BDAD7" w14:textId="7C06E029" w:rsidR="00C710E5" w:rsidRDefault="00C2081C" w:rsidP="000155E6">
            <w:pPr>
              <w:pStyle w:val="Title1"/>
              <w:rPr>
                <w:lang w:eastAsia="zh-CN"/>
              </w:rPr>
            </w:pPr>
            <w:bookmarkStart w:id="3" w:name="dtitle1" w:colFirst="0" w:colLast="0"/>
            <w:bookmarkEnd w:id="2"/>
            <w:r w:rsidRPr="001033BF">
              <w:rPr>
                <w:color w:val="000000"/>
                <w:lang w:val="zh-CN" w:eastAsia="zh-CN"/>
              </w:rPr>
              <w:t>国际电联</w:t>
            </w:r>
            <w:r w:rsidRPr="001033BF">
              <w:rPr>
                <w:color w:val="000000"/>
                <w:lang w:val="zh-CN" w:eastAsia="zh-CN"/>
              </w:rPr>
              <w:t>2028-2031</w:t>
            </w:r>
            <w:r w:rsidRPr="001033BF">
              <w:rPr>
                <w:color w:val="000000"/>
                <w:lang w:val="zh-CN" w:eastAsia="zh-CN"/>
              </w:rPr>
              <w:t>年战略规划和财务规划</w:t>
            </w:r>
          </w:p>
        </w:tc>
      </w:tr>
      <w:tr w:rsidR="00C710E5" w14:paraId="7E022295" w14:textId="77777777" w:rsidTr="00645AE3">
        <w:trPr>
          <w:cantSplit/>
          <w:jc w:val="center"/>
        </w:trPr>
        <w:tc>
          <w:tcPr>
            <w:tcW w:w="10031" w:type="dxa"/>
            <w:gridSpan w:val="2"/>
          </w:tcPr>
          <w:p w14:paraId="2F6CDA5E" w14:textId="0849B396" w:rsidR="00C710E5" w:rsidRDefault="00C710E5" w:rsidP="000155E6">
            <w:pPr>
              <w:pStyle w:val="Title2"/>
              <w:rPr>
                <w:lang w:eastAsia="zh-CN"/>
              </w:rPr>
            </w:pPr>
            <w:bookmarkStart w:id="4" w:name="dtitle2" w:colFirst="0" w:colLast="0"/>
            <w:bookmarkEnd w:id="3"/>
          </w:p>
        </w:tc>
      </w:tr>
      <w:tr w:rsidR="00C710E5" w14:paraId="178F54CC" w14:textId="77777777" w:rsidTr="00645AE3">
        <w:trPr>
          <w:cantSplit/>
          <w:jc w:val="center"/>
        </w:trPr>
        <w:tc>
          <w:tcPr>
            <w:tcW w:w="10031" w:type="dxa"/>
            <w:gridSpan w:val="2"/>
          </w:tcPr>
          <w:p w14:paraId="32F5B78C" w14:textId="7D5146E7" w:rsidR="00C710E5" w:rsidRDefault="00C710E5" w:rsidP="000155E6">
            <w:pPr>
              <w:pStyle w:val="Agendaitem"/>
            </w:pPr>
            <w:bookmarkStart w:id="5" w:name="dtitle3" w:colFirst="0" w:colLast="0"/>
            <w:bookmarkEnd w:id="4"/>
          </w:p>
        </w:tc>
      </w:tr>
      <w:bookmarkEnd w:id="5"/>
    </w:tbl>
    <w:p w14:paraId="36F1A0A6" w14:textId="77777777" w:rsidR="00C2081C" w:rsidRPr="00D21C12" w:rsidRDefault="00C2081C" w:rsidP="00C2081C">
      <w:pPr>
        <w:pStyle w:val="Title2"/>
        <w:jc w:val="left"/>
        <w:rPr>
          <w:rFonts w:asciiTheme="minorHAnsi" w:hAnsiTheme="minorHAnsi" w:cstheme="minorHAnsi"/>
          <w:sz w:val="24"/>
          <w:szCs w:val="24"/>
          <w:lang w:eastAsia="zh-CN"/>
        </w:rPr>
      </w:pPr>
    </w:p>
    <w:tbl>
      <w:tblPr>
        <w:tblW w:w="992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C2081C" w:rsidRPr="00D21C12" w14:paraId="6F573AAC" w14:textId="77777777" w:rsidTr="009E7266">
        <w:trPr>
          <w:cantSplit/>
        </w:trPr>
        <w:tc>
          <w:tcPr>
            <w:tcW w:w="9923" w:type="dxa"/>
            <w:tcBorders>
              <w:top w:val="single" w:sz="12" w:space="0" w:color="auto"/>
              <w:left w:val="single" w:sz="12" w:space="0" w:color="auto"/>
              <w:bottom w:val="single" w:sz="12" w:space="0" w:color="auto"/>
              <w:right w:val="single" w:sz="12" w:space="0" w:color="auto"/>
            </w:tcBorders>
          </w:tcPr>
          <w:p w14:paraId="6EACE1DC" w14:textId="77777777" w:rsidR="00C2081C" w:rsidRPr="001033BF" w:rsidRDefault="00C2081C" w:rsidP="00697EA0">
            <w:pPr>
              <w:pStyle w:val="Headingb"/>
              <w:spacing w:before="120"/>
              <w:rPr>
                <w:rFonts w:asciiTheme="minorHAnsi" w:hAnsiTheme="minorHAnsi" w:cstheme="minorHAnsi"/>
                <w:bCs/>
                <w:szCs w:val="24"/>
                <w:lang w:eastAsia="zh-CN"/>
              </w:rPr>
            </w:pPr>
            <w:r>
              <w:rPr>
                <w:rFonts w:hint="eastAsia"/>
                <w:bCs/>
                <w:color w:val="000000"/>
                <w:szCs w:val="24"/>
                <w:lang w:eastAsia="zh-CN"/>
              </w:rPr>
              <w:t>摘要</w:t>
            </w:r>
          </w:p>
          <w:p w14:paraId="7961A1CA" w14:textId="77777777" w:rsidR="00C2081C" w:rsidRPr="0008540E" w:rsidRDefault="00C2081C" w:rsidP="009E7266">
            <w:pPr>
              <w:ind w:firstLineChars="200" w:firstLine="480"/>
              <w:rPr>
                <w:lang w:eastAsia="zh-CN"/>
              </w:rPr>
            </w:pPr>
            <w:r>
              <w:rPr>
                <w:color w:val="000000"/>
                <w:lang w:val="zh-CN" w:eastAsia="zh-CN"/>
              </w:rPr>
              <w:t>本报告介绍了秘书处根据理事会</w:t>
            </w:r>
            <w:r>
              <w:rPr>
                <w:color w:val="000000"/>
                <w:lang w:val="zh-CN" w:eastAsia="zh-CN"/>
              </w:rPr>
              <w:t>2026</w:t>
            </w:r>
            <w:r>
              <w:rPr>
                <w:color w:val="000000"/>
                <w:lang w:val="zh-CN" w:eastAsia="zh-CN"/>
              </w:rPr>
              <w:t>年会议的要求，完善选定的拟议具体目标及其相关指标的工作结果，供</w:t>
            </w:r>
            <w:r>
              <w:rPr>
                <w:color w:val="000000"/>
                <w:lang w:val="zh-CN" w:eastAsia="zh-CN"/>
              </w:rPr>
              <w:t>2026</w:t>
            </w:r>
            <w:r>
              <w:rPr>
                <w:color w:val="000000"/>
                <w:lang w:val="zh-CN" w:eastAsia="zh-CN"/>
              </w:rPr>
              <w:t>年全权代表大会审议。</w:t>
            </w:r>
          </w:p>
          <w:p w14:paraId="3188BFBD" w14:textId="77777777" w:rsidR="00C2081C" w:rsidRPr="00C86AAA" w:rsidRDefault="00C2081C" w:rsidP="00697EA0">
            <w:pPr>
              <w:pStyle w:val="Headingb"/>
              <w:spacing w:before="120"/>
              <w:rPr>
                <w:rFonts w:asciiTheme="minorHAnsi" w:hAnsiTheme="minorHAnsi" w:cstheme="minorHAnsi"/>
                <w:bCs/>
                <w:szCs w:val="24"/>
                <w:lang w:eastAsia="zh-CN"/>
              </w:rPr>
            </w:pPr>
            <w:bookmarkStart w:id="6" w:name="_Toc305764051"/>
            <w:r>
              <w:rPr>
                <w:bCs/>
                <w:color w:val="000000"/>
                <w:szCs w:val="24"/>
                <w:lang w:val="zh-CN" w:eastAsia="zh-CN"/>
              </w:rPr>
              <w:t>需采取的行动</w:t>
            </w:r>
            <w:bookmarkEnd w:id="6"/>
          </w:p>
          <w:p w14:paraId="66308B27" w14:textId="7A3F9CDA" w:rsidR="00C2081C" w:rsidRPr="00C86AAA" w:rsidRDefault="00C2081C" w:rsidP="009E7266">
            <w:pPr>
              <w:ind w:firstLineChars="200" w:firstLine="480"/>
              <w:rPr>
                <w:lang w:eastAsia="zh-CN"/>
              </w:rPr>
            </w:pPr>
            <w:r w:rsidRPr="001033BF">
              <w:rPr>
                <w:color w:val="000000"/>
                <w:lang w:val="zh-CN" w:eastAsia="zh-CN"/>
              </w:rPr>
              <w:t>请全权代表大会一并审议本报告和</w:t>
            </w:r>
            <w:r w:rsidR="00B6221D">
              <w:fldChar w:fldCharType="begin"/>
            </w:r>
            <w:r w:rsidR="00B6221D">
              <w:rPr>
                <w:lang w:eastAsia="zh-CN"/>
              </w:rPr>
              <w:instrText>HYPERLINK "https://www.itu.int/md/S26-PP-C-0032/en"</w:instrText>
            </w:r>
            <w:r w:rsidR="00B6221D">
              <w:fldChar w:fldCharType="separate"/>
            </w:r>
            <w:r w:rsidR="00B6221D" w:rsidRPr="009B1F66">
              <w:rPr>
                <w:rStyle w:val="Hyperlink"/>
                <w:lang w:eastAsia="zh-CN"/>
              </w:rPr>
              <w:t>32</w:t>
            </w:r>
            <w:r w:rsidR="00B6221D">
              <w:fldChar w:fldCharType="end"/>
            </w:r>
            <w:r w:rsidRPr="001033BF">
              <w:rPr>
                <w:color w:val="000000"/>
                <w:lang w:val="zh-CN" w:eastAsia="zh-CN"/>
              </w:rPr>
              <w:t>号文件。</w:t>
            </w:r>
            <w:r>
              <w:fldChar w:fldCharType="begin"/>
            </w:r>
            <w:r>
              <w:rPr>
                <w:lang w:eastAsia="zh-CN"/>
              </w:rPr>
              <w:instrText>HYPERLINK "https://www.itu.int/md/S26-PP-C-00XX/en"</w:instrText>
            </w:r>
            <w:r>
              <w:fldChar w:fldCharType="separate"/>
            </w:r>
            <w:r>
              <w:fldChar w:fldCharType="end"/>
            </w:r>
          </w:p>
        </w:tc>
      </w:tr>
    </w:tbl>
    <w:p w14:paraId="557D4E14" w14:textId="77777777" w:rsidR="008A526D" w:rsidRPr="0008540E" w:rsidRDefault="00C710E5" w:rsidP="00733EC9">
      <w:pPr>
        <w:ind w:firstLineChars="200" w:firstLine="480"/>
        <w:rPr>
          <w:lang w:eastAsia="zh-CN"/>
        </w:rPr>
      </w:pPr>
      <w:r>
        <w:rPr>
          <w:lang w:val="en-US" w:eastAsia="zh-CN"/>
        </w:rPr>
        <w:br w:type="page"/>
      </w:r>
      <w:r w:rsidR="008A526D">
        <w:rPr>
          <w:szCs w:val="24"/>
          <w:lang w:val="zh-CN" w:eastAsia="zh-CN"/>
        </w:rPr>
        <w:lastRenderedPageBreak/>
        <w:t>理事会在其</w:t>
      </w:r>
      <w:r w:rsidR="008A526D">
        <w:rPr>
          <w:szCs w:val="24"/>
          <w:lang w:val="zh-CN" w:eastAsia="zh-CN"/>
        </w:rPr>
        <w:t>2026</w:t>
      </w:r>
      <w:r w:rsidR="008A526D">
        <w:rPr>
          <w:szCs w:val="24"/>
          <w:lang w:val="zh-CN" w:eastAsia="zh-CN"/>
        </w:rPr>
        <w:t>年会议上要求秘书处进一步考虑和完善选定的拟议具体目标及其相关指标，因此本报告已提交</w:t>
      </w:r>
      <w:r w:rsidR="008A526D">
        <w:rPr>
          <w:szCs w:val="24"/>
          <w:lang w:val="zh-CN" w:eastAsia="zh-CN"/>
        </w:rPr>
        <w:t>2026</w:t>
      </w:r>
      <w:r w:rsidR="008A526D">
        <w:rPr>
          <w:szCs w:val="24"/>
          <w:lang w:val="zh-CN" w:eastAsia="zh-CN"/>
        </w:rPr>
        <w:t>年全权代表大会（</w:t>
      </w:r>
      <w:r w:rsidR="008A526D">
        <w:rPr>
          <w:szCs w:val="24"/>
          <w:lang w:val="zh-CN" w:eastAsia="zh-CN"/>
        </w:rPr>
        <w:t>PP-26</w:t>
      </w:r>
      <w:r w:rsidR="008A526D">
        <w:rPr>
          <w:szCs w:val="24"/>
          <w:lang w:val="zh-CN" w:eastAsia="zh-CN"/>
        </w:rPr>
        <w:t>）审议，详情如下：</w:t>
      </w:r>
    </w:p>
    <w:p w14:paraId="432947FB" w14:textId="52C171E1" w:rsidR="008A526D" w:rsidRPr="008F7431" w:rsidRDefault="00733EC9" w:rsidP="008A526D">
      <w:pPr>
        <w:pStyle w:val="enumlev1"/>
        <w:rPr>
          <w:lang w:eastAsia="zh-CN"/>
        </w:rPr>
      </w:pPr>
      <w:r w:rsidRPr="00733EC9">
        <w:rPr>
          <w:lang w:val="zh-CN" w:eastAsia="zh-CN"/>
        </w:rPr>
        <w:t>–</w:t>
      </w:r>
      <w:r w:rsidR="008A526D">
        <w:rPr>
          <w:lang w:val="zh-CN" w:eastAsia="zh-CN"/>
        </w:rPr>
        <w:tab/>
      </w:r>
      <w:r w:rsidR="008A526D">
        <w:rPr>
          <w:lang w:val="zh-CN" w:eastAsia="zh-CN"/>
        </w:rPr>
        <w:t>具体目标</w:t>
      </w:r>
      <w:r w:rsidR="008A526D">
        <w:rPr>
          <w:lang w:val="zh-CN" w:eastAsia="zh-CN"/>
        </w:rPr>
        <w:t>1.5</w:t>
      </w:r>
      <w:r w:rsidR="008A526D">
        <w:rPr>
          <w:lang w:val="zh-CN" w:eastAsia="zh-CN"/>
        </w:rPr>
        <w:t>（</w:t>
      </w:r>
      <w:r w:rsidR="008A526D">
        <w:rPr>
          <w:rFonts w:hint="eastAsia"/>
          <w:lang w:val="zh-CN" w:eastAsia="zh-CN"/>
        </w:rPr>
        <w:t>具有复原力的</w:t>
      </w:r>
      <w:r w:rsidR="008A526D">
        <w:rPr>
          <w:lang w:val="zh-CN" w:eastAsia="zh-CN"/>
        </w:rPr>
        <w:t>网络）：秘书处受命与总秘书处及相关局协调，进一步探讨如何加强国际电联与海底电缆相关的活动，并考虑将其纳入工作范围，同时需提供相关统计数据以证明纳入的必要性。</w:t>
      </w:r>
    </w:p>
    <w:p w14:paraId="21BB458C" w14:textId="01353F29" w:rsidR="008A526D" w:rsidRPr="008F7431" w:rsidRDefault="00733EC9" w:rsidP="008A526D">
      <w:pPr>
        <w:pStyle w:val="enumlev1"/>
        <w:rPr>
          <w:lang w:eastAsia="zh-CN"/>
        </w:rPr>
      </w:pPr>
      <w:r w:rsidRPr="00733EC9">
        <w:rPr>
          <w:lang w:val="zh-CN" w:eastAsia="zh-CN"/>
        </w:rPr>
        <w:t>–</w:t>
      </w:r>
      <w:r w:rsidR="008A526D">
        <w:rPr>
          <w:lang w:val="zh-CN" w:eastAsia="zh-CN"/>
        </w:rPr>
        <w:tab/>
      </w:r>
      <w:r w:rsidR="008A526D">
        <w:rPr>
          <w:lang w:val="zh-CN" w:eastAsia="zh-CN"/>
        </w:rPr>
        <w:t>具体目标</w:t>
      </w:r>
      <w:r w:rsidR="008A526D">
        <w:rPr>
          <w:lang w:val="zh-CN" w:eastAsia="zh-CN"/>
        </w:rPr>
        <w:t>1.6</w:t>
      </w:r>
      <w:r w:rsidR="008A526D">
        <w:rPr>
          <w:lang w:val="zh-CN" w:eastAsia="zh-CN"/>
        </w:rPr>
        <w:t>（避免有害干扰）：秘书处受命与无线电通信局主任密切合作，确定能够更准确反映国际电联解决有害干扰相关问题的改进指标。</w:t>
      </w:r>
    </w:p>
    <w:p w14:paraId="2867CBC6" w14:textId="016EB084" w:rsidR="008A526D" w:rsidRDefault="00733EC9" w:rsidP="008A526D">
      <w:pPr>
        <w:pStyle w:val="enumlev1"/>
        <w:rPr>
          <w:lang w:eastAsia="zh-CN"/>
        </w:rPr>
      </w:pPr>
      <w:r w:rsidRPr="00733EC9">
        <w:rPr>
          <w:lang w:val="zh-CN" w:eastAsia="zh-CN"/>
        </w:rPr>
        <w:t>–</w:t>
      </w:r>
      <w:r w:rsidR="008A526D">
        <w:rPr>
          <w:lang w:val="zh-CN" w:eastAsia="zh-CN"/>
        </w:rPr>
        <w:tab/>
      </w:r>
      <w:r w:rsidR="008A526D">
        <w:rPr>
          <w:lang w:val="zh-CN" w:eastAsia="zh-CN"/>
        </w:rPr>
        <w:t>具体目标</w:t>
      </w:r>
      <w:r w:rsidR="008A526D">
        <w:rPr>
          <w:lang w:val="zh-CN" w:eastAsia="zh-CN"/>
        </w:rPr>
        <w:t>1.7</w:t>
      </w:r>
      <w:r w:rsidR="008A526D">
        <w:rPr>
          <w:lang w:val="zh-CN" w:eastAsia="zh-CN"/>
        </w:rPr>
        <w:t>（互操作性标准的影响）：秘书处受命与电信标准化局主任密切合作，为该目标确定更适当的指标。</w:t>
      </w:r>
    </w:p>
    <w:p w14:paraId="31014272" w14:textId="7DF699EF" w:rsidR="008A526D" w:rsidRPr="0008540E" w:rsidRDefault="008A526D" w:rsidP="00733EC9">
      <w:pPr>
        <w:ind w:firstLineChars="200" w:firstLine="480"/>
        <w:rPr>
          <w:lang w:eastAsia="zh-CN"/>
        </w:rPr>
      </w:pPr>
      <w:r>
        <w:rPr>
          <w:lang w:val="zh-CN" w:eastAsia="zh-CN"/>
        </w:rPr>
        <w:t>在与相关各局进行内部磋商后，本报告提出了秘书处的改进建议，供</w:t>
      </w:r>
      <w:r>
        <w:rPr>
          <w:lang w:val="zh-CN" w:eastAsia="zh-CN"/>
        </w:rPr>
        <w:t>PP-26</w:t>
      </w:r>
      <w:r>
        <w:rPr>
          <w:lang w:val="zh-CN" w:eastAsia="zh-CN"/>
        </w:rPr>
        <w:t>审议，同时介绍了理事会</w:t>
      </w:r>
      <w:r>
        <w:rPr>
          <w:lang w:val="zh-CN" w:eastAsia="zh-CN"/>
        </w:rPr>
        <w:t>2028-2031</w:t>
      </w:r>
      <w:r>
        <w:rPr>
          <w:lang w:val="zh-CN" w:eastAsia="zh-CN"/>
        </w:rPr>
        <w:t>年战略规划和财务规划工作组的成果（见</w:t>
      </w:r>
      <w:r w:rsidR="004C1BA4">
        <w:fldChar w:fldCharType="begin"/>
      </w:r>
      <w:r w:rsidR="004C1BA4">
        <w:rPr>
          <w:lang w:eastAsia="zh-CN"/>
        </w:rPr>
        <w:instrText>HYPERLINK "https://www.itu.int/md/S26-PP-C-0032/en"</w:instrText>
      </w:r>
      <w:r w:rsidR="004C1BA4">
        <w:fldChar w:fldCharType="separate"/>
      </w:r>
      <w:r w:rsidR="004C1BA4">
        <w:rPr>
          <w:rStyle w:val="Hyperlink"/>
          <w:lang w:eastAsia="zh-CN"/>
        </w:rPr>
        <w:t>32</w:t>
      </w:r>
      <w:r w:rsidR="004C1BA4">
        <w:fldChar w:fldCharType="end"/>
      </w:r>
      <w:r>
        <w:rPr>
          <w:lang w:val="zh-CN" w:eastAsia="zh-CN"/>
        </w:rPr>
        <w:t>号文件）。</w:t>
      </w:r>
      <w:r>
        <w:fldChar w:fldCharType="begin"/>
      </w:r>
      <w:r>
        <w:rPr>
          <w:lang w:eastAsia="zh-CN"/>
        </w:rPr>
        <w:instrText>HYPERLINK "https://www.itu.int/md/S26-PP-C-00XX/en"</w:instrText>
      </w:r>
      <w:r>
        <w:fldChar w:fldCharType="separate"/>
      </w:r>
      <w:r>
        <w:fldChar w:fldCharType="end"/>
      </w:r>
    </w:p>
    <w:p w14:paraId="185EEF40" w14:textId="77777777" w:rsidR="008A526D" w:rsidRPr="0008540E" w:rsidRDefault="008A526D" w:rsidP="00733EC9">
      <w:pPr>
        <w:ind w:firstLineChars="200" w:firstLine="480"/>
        <w:rPr>
          <w:lang w:eastAsia="zh-CN"/>
        </w:rPr>
      </w:pPr>
      <w:r>
        <w:rPr>
          <w:lang w:val="zh-CN" w:eastAsia="zh-CN"/>
        </w:rPr>
        <w:t>在审议拟议具体目标</w:t>
      </w:r>
      <w:r>
        <w:rPr>
          <w:lang w:val="zh-CN" w:eastAsia="zh-CN"/>
        </w:rPr>
        <w:t>1.5</w:t>
      </w:r>
      <w:r>
        <w:rPr>
          <w:lang w:val="zh-CN" w:eastAsia="zh-CN"/>
        </w:rPr>
        <w:t>和</w:t>
      </w:r>
      <w:r>
        <w:rPr>
          <w:lang w:val="zh-CN" w:eastAsia="zh-CN"/>
        </w:rPr>
        <w:t>1.6</w:t>
      </w:r>
      <w:r>
        <w:rPr>
          <w:lang w:val="zh-CN" w:eastAsia="zh-CN"/>
        </w:rPr>
        <w:t>，秘书处认为，在成果框架内的成果层面反映相关工作领域更为适宜。这种方法将更好地捕捉国际电联工作的性质，并支持通过</w:t>
      </w:r>
      <w:r>
        <w:rPr>
          <w:lang w:val="zh-CN" w:eastAsia="zh-CN"/>
        </w:rPr>
        <w:t>SMART</w:t>
      </w:r>
      <w:r>
        <w:rPr>
          <w:lang w:val="zh-CN" w:eastAsia="zh-CN"/>
        </w:rPr>
        <w:t>指标对其进行有效跟踪。</w:t>
      </w:r>
    </w:p>
    <w:p w14:paraId="0D0D29F1" w14:textId="24550166" w:rsidR="008A526D" w:rsidRPr="0008540E" w:rsidRDefault="008A526D" w:rsidP="00733EC9">
      <w:pPr>
        <w:ind w:firstLineChars="200" w:firstLine="480"/>
        <w:rPr>
          <w:lang w:eastAsia="zh-CN"/>
        </w:rPr>
      </w:pPr>
      <w:r>
        <w:rPr>
          <w:lang w:val="zh-CN" w:eastAsia="zh-CN"/>
        </w:rPr>
        <w:t>关于具体目标</w:t>
      </w:r>
      <w:r>
        <w:rPr>
          <w:lang w:val="zh-CN" w:eastAsia="zh-CN"/>
        </w:rPr>
        <w:t>1.5</w:t>
      </w:r>
      <w:r>
        <w:rPr>
          <w:lang w:val="zh-CN" w:eastAsia="zh-CN"/>
        </w:rPr>
        <w:t>，服务质量和体验质量等传统指标并不能完全反映网络的复原力。复原力还需要关注冗余、多样性、生存能力、恢复能力、网络安全以及对物理和网络中断的准备。因此，该报告提出了补充拟议结果框架中已涵盖领域的其他指标，包括网络安全和准备以及新兴电信。由于数字公共服务、云平台、监测系统和跨境数据流都依赖于持续可靠的连接，这一点变得越来越重要。根据理事会的指导意见，海底电缆的</w:t>
      </w:r>
      <w:r>
        <w:rPr>
          <w:rFonts w:hint="eastAsia"/>
          <w:lang w:val="zh-CN" w:eastAsia="zh-CN"/>
        </w:rPr>
        <w:t>复原力</w:t>
      </w:r>
      <w:r>
        <w:rPr>
          <w:lang w:val="zh-CN" w:eastAsia="zh-CN"/>
        </w:rPr>
        <w:t>也应被明确承认为关键国际连接基础设施的一部分。这包括国家保护</w:t>
      </w:r>
      <w:r w:rsidR="00703714">
        <w:rPr>
          <w:rFonts w:hint="eastAsia"/>
          <w:lang w:val="zh-CN" w:eastAsia="zh-CN"/>
        </w:rPr>
        <w:t>导则和</w:t>
      </w:r>
      <w:r>
        <w:rPr>
          <w:lang w:val="zh-CN" w:eastAsia="zh-CN"/>
        </w:rPr>
        <w:t>政策、修复和</w:t>
      </w:r>
      <w:r>
        <w:rPr>
          <w:lang w:eastAsia="zh-CN"/>
        </w:rPr>
        <w:t>恢</w:t>
      </w:r>
      <w:r>
        <w:rPr>
          <w:lang w:val="zh-CN" w:eastAsia="zh-CN"/>
        </w:rPr>
        <w:t>复的</w:t>
      </w:r>
      <w:r w:rsidR="00703714">
        <w:rPr>
          <w:rFonts w:hint="eastAsia"/>
          <w:lang w:val="zh-CN" w:eastAsia="zh-CN"/>
        </w:rPr>
        <w:t>响应</w:t>
      </w:r>
      <w:r>
        <w:rPr>
          <w:lang w:val="zh-CN" w:eastAsia="zh-CN"/>
        </w:rPr>
        <w:t>协调机制、</w:t>
      </w:r>
      <w:r w:rsidR="00703714">
        <w:rPr>
          <w:rFonts w:hint="eastAsia"/>
          <w:lang w:val="zh-CN" w:eastAsia="zh-CN"/>
        </w:rPr>
        <w:t>获得通过的</w:t>
      </w:r>
      <w:r>
        <w:rPr>
          <w:lang w:val="zh-CN" w:eastAsia="zh-CN"/>
        </w:rPr>
        <w:t>确保路由多样性</w:t>
      </w:r>
      <w:r w:rsidR="00703714">
        <w:rPr>
          <w:rFonts w:hint="eastAsia"/>
          <w:lang w:val="zh-CN" w:eastAsia="zh-CN"/>
        </w:rPr>
        <w:t>的国际电联各项标准</w:t>
      </w:r>
      <w:r>
        <w:rPr>
          <w:lang w:val="zh-CN" w:eastAsia="zh-CN"/>
        </w:rPr>
        <w:t>和减少国际连接中单点故障的</w:t>
      </w:r>
      <w:r w:rsidR="00703714">
        <w:rPr>
          <w:rFonts w:hint="eastAsia"/>
          <w:lang w:val="zh-CN" w:eastAsia="zh-CN"/>
        </w:rPr>
        <w:t>策略</w:t>
      </w:r>
      <w:r>
        <w:rPr>
          <w:lang w:val="zh-CN" w:eastAsia="zh-CN"/>
        </w:rPr>
        <w:t>，以及逐步采用新兴技术，包括针对关键电信基础设施（包括海缆系统）的网络监测和自动</w:t>
      </w:r>
      <w:r>
        <w:rPr>
          <w:rFonts w:hint="eastAsia"/>
          <w:lang w:val="zh-CN" w:eastAsia="zh-CN"/>
        </w:rPr>
        <w:t>复原力</w:t>
      </w:r>
      <w:r>
        <w:rPr>
          <w:lang w:val="zh-CN" w:eastAsia="zh-CN"/>
        </w:rPr>
        <w:t>机制，以支持早期故障检测、预测性维护和更快的服务恢复。</w:t>
      </w:r>
    </w:p>
    <w:p w14:paraId="4D0EC529" w14:textId="77777777" w:rsidR="008A526D" w:rsidRPr="0008540E" w:rsidRDefault="008A526D" w:rsidP="00733EC9">
      <w:pPr>
        <w:ind w:firstLineChars="200" w:firstLine="480"/>
        <w:rPr>
          <w:lang w:eastAsia="zh-CN"/>
        </w:rPr>
      </w:pPr>
      <w:r>
        <w:rPr>
          <w:lang w:val="zh-CN" w:eastAsia="zh-CN"/>
        </w:rPr>
        <w:t>该报告以国际电联在标准化、发展和政策支持方面的既定工作为基础。相关参考文献可能包括</w:t>
      </w:r>
      <w:r>
        <w:rPr>
          <w:lang w:val="zh-CN" w:eastAsia="zh-CN"/>
        </w:rPr>
        <w:t>ITU-T</w:t>
      </w:r>
      <w:r>
        <w:rPr>
          <w:lang w:val="zh-CN" w:eastAsia="zh-CN"/>
        </w:rPr>
        <w:t>有关可靠性和复原力的建议书、</w:t>
      </w:r>
      <w:r>
        <w:rPr>
          <w:lang w:val="zh-CN" w:eastAsia="zh-CN"/>
        </w:rPr>
        <w:t>ITU-D</w:t>
      </w:r>
      <w:r>
        <w:rPr>
          <w:lang w:val="zh-CN" w:eastAsia="zh-CN"/>
        </w:rPr>
        <w:t>应急通信工作</w:t>
      </w:r>
      <w:r>
        <w:rPr>
          <w:lang w:eastAsia="zh-CN"/>
        </w:rPr>
        <w:t>以及</w:t>
      </w:r>
      <w:r>
        <w:rPr>
          <w:lang w:val="zh-CN" w:eastAsia="zh-CN"/>
        </w:rPr>
        <w:t>网络复原力举措，可通过国际电联</w:t>
      </w:r>
      <w:r>
        <w:rPr>
          <w:lang w:val="zh-CN" w:eastAsia="zh-CN"/>
        </w:rPr>
        <w:t>ICT</w:t>
      </w:r>
      <w:r>
        <w:rPr>
          <w:lang w:val="zh-CN" w:eastAsia="zh-CN"/>
        </w:rPr>
        <w:t>监管跟踪系统和</w:t>
      </w:r>
      <w:r>
        <w:rPr>
          <w:lang w:val="zh-CN" w:eastAsia="zh-CN"/>
        </w:rPr>
        <w:t>ITU-D</w:t>
      </w:r>
      <w:r>
        <w:rPr>
          <w:lang w:val="zh-CN" w:eastAsia="zh-CN"/>
        </w:rPr>
        <w:t>调查进行跟踪，并辅以案例报告。</w:t>
      </w:r>
    </w:p>
    <w:p w14:paraId="4AAEA217" w14:textId="7327BB3C" w:rsidR="008A526D" w:rsidRDefault="008A526D" w:rsidP="00733EC9">
      <w:pPr>
        <w:spacing w:after="240"/>
        <w:ind w:firstLineChars="200" w:firstLine="480"/>
        <w:rPr>
          <w:lang w:eastAsia="zh-CN"/>
        </w:rPr>
      </w:pPr>
      <w:r>
        <w:rPr>
          <w:lang w:val="zh-CN" w:eastAsia="zh-CN"/>
        </w:rPr>
        <w:t>在此基础上，秘书处希望在</w:t>
      </w:r>
      <w:r w:rsidR="009B58F3" w:rsidRPr="009B58F3">
        <w:rPr>
          <w:rFonts w:ascii="SimSun" w:hAnsi="SimSun"/>
          <w:lang w:val="zh-CN" w:eastAsia="zh-CN"/>
        </w:rPr>
        <w:t>“</w:t>
      </w:r>
      <w:r>
        <w:rPr>
          <w:lang w:val="zh-CN" w:eastAsia="zh-CN"/>
        </w:rPr>
        <w:t>包容和安全的电信</w:t>
      </w:r>
      <w:r>
        <w:rPr>
          <w:lang w:val="zh-CN" w:eastAsia="zh-CN"/>
        </w:rPr>
        <w:t>/ICT</w:t>
      </w:r>
      <w:r>
        <w:rPr>
          <w:lang w:val="zh-CN" w:eastAsia="zh-CN"/>
        </w:rPr>
        <w:t>基础设施和服务</w:t>
      </w:r>
      <w:r w:rsidR="009B58F3" w:rsidRPr="009B58F3">
        <w:rPr>
          <w:rFonts w:ascii="SimSun" w:hAnsi="SimSun"/>
          <w:lang w:val="zh-CN" w:eastAsia="zh-CN"/>
        </w:rPr>
        <w:t>”</w:t>
      </w:r>
      <w:r>
        <w:rPr>
          <w:lang w:val="zh-CN" w:eastAsia="zh-CN"/>
        </w:rPr>
        <w:t>这一重点</w:t>
      </w:r>
      <w:r>
        <w:rPr>
          <w:rFonts w:hint="eastAsia"/>
          <w:lang w:val="zh-CN" w:eastAsia="zh-CN"/>
        </w:rPr>
        <w:t>工作</w:t>
      </w:r>
      <w:r>
        <w:rPr>
          <w:lang w:val="zh-CN" w:eastAsia="zh-CN"/>
        </w:rPr>
        <w:t>下提出三项新的成果：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3839"/>
        <w:gridCol w:w="3841"/>
      </w:tblGrid>
      <w:tr w:rsidR="008A526D" w:rsidRPr="002B3AE2" w14:paraId="6A2B1E21" w14:textId="77777777" w:rsidTr="00697EA0">
        <w:trPr>
          <w:cantSplit/>
          <w:jc w:val="center"/>
        </w:trPr>
        <w:tc>
          <w:tcPr>
            <w:tcW w:w="1015" w:type="pct"/>
          </w:tcPr>
          <w:p w14:paraId="4BA88AB2" w14:textId="77777777" w:rsidR="008A526D" w:rsidRPr="002B3AE2" w:rsidRDefault="008A526D" w:rsidP="00697EA0">
            <w:pPr>
              <w:pStyle w:val="Tablehead"/>
            </w:pPr>
            <w:proofErr w:type="spellStart"/>
            <w:r>
              <w:rPr>
                <w:bCs/>
                <w:color w:val="000000"/>
                <w:lang w:val="zh-CN"/>
              </w:rPr>
              <w:t>重点工作</w:t>
            </w:r>
            <w:proofErr w:type="spellEnd"/>
          </w:p>
        </w:tc>
        <w:tc>
          <w:tcPr>
            <w:tcW w:w="1992" w:type="pct"/>
          </w:tcPr>
          <w:p w14:paraId="1BDDABF4" w14:textId="77777777" w:rsidR="008A526D" w:rsidRPr="002B3AE2" w:rsidRDefault="008A526D" w:rsidP="00697EA0">
            <w:pPr>
              <w:pStyle w:val="Tablehead"/>
            </w:pPr>
            <w:proofErr w:type="spellStart"/>
            <w:r>
              <w:rPr>
                <w:color w:val="000000"/>
                <w:lang w:val="zh-CN"/>
              </w:rPr>
              <w:t>成果</w:t>
            </w:r>
            <w:proofErr w:type="spellEnd"/>
          </w:p>
        </w:tc>
        <w:tc>
          <w:tcPr>
            <w:tcW w:w="1993" w:type="pct"/>
          </w:tcPr>
          <w:p w14:paraId="221A6897" w14:textId="77777777" w:rsidR="008A526D" w:rsidRPr="002B3AE2" w:rsidRDefault="008A526D" w:rsidP="00697EA0">
            <w:pPr>
              <w:pStyle w:val="Tablehead"/>
            </w:pPr>
            <w:proofErr w:type="spellStart"/>
            <w:r>
              <w:rPr>
                <w:bCs/>
                <w:color w:val="000000"/>
                <w:lang w:val="zh-CN"/>
              </w:rPr>
              <w:t>成果指标</w:t>
            </w:r>
            <w:proofErr w:type="spellEnd"/>
          </w:p>
        </w:tc>
      </w:tr>
      <w:tr w:rsidR="008A526D" w:rsidRPr="008058A2" w14:paraId="7220D3F2" w14:textId="77777777" w:rsidTr="00697EA0">
        <w:trPr>
          <w:cantSplit/>
          <w:jc w:val="center"/>
        </w:trPr>
        <w:tc>
          <w:tcPr>
            <w:tcW w:w="1015" w:type="pct"/>
            <w:vMerge w:val="restart"/>
          </w:tcPr>
          <w:p w14:paraId="132FB773" w14:textId="77777777" w:rsidR="008A526D" w:rsidRPr="005E56B5" w:rsidRDefault="008A526D" w:rsidP="00697EA0">
            <w:pPr>
              <w:pStyle w:val="Tabletext"/>
              <w:rPr>
                <w:lang w:eastAsia="zh-CN"/>
              </w:rPr>
            </w:pPr>
            <w:r>
              <w:rPr>
                <w:color w:val="000000"/>
                <w:lang w:val="zh-CN" w:eastAsia="zh-CN"/>
              </w:rPr>
              <w:t>包容和安全的电信</w:t>
            </w:r>
            <w:r>
              <w:rPr>
                <w:color w:val="000000"/>
                <w:lang w:val="zh-CN" w:eastAsia="zh-CN"/>
              </w:rPr>
              <w:t>/ICT</w:t>
            </w:r>
            <w:r>
              <w:rPr>
                <w:color w:val="000000"/>
                <w:lang w:val="zh-CN" w:eastAsia="zh-CN"/>
              </w:rPr>
              <w:t>基础设施和服务</w:t>
            </w:r>
          </w:p>
        </w:tc>
        <w:tc>
          <w:tcPr>
            <w:tcW w:w="1992" w:type="pct"/>
          </w:tcPr>
          <w:p w14:paraId="289D79FD" w14:textId="0E76624A" w:rsidR="008A526D" w:rsidRPr="005E56B5" w:rsidRDefault="008A526D" w:rsidP="00697EA0">
            <w:pPr>
              <w:pStyle w:val="Tabletext"/>
              <w:ind w:left="284" w:hanging="284"/>
              <w:rPr>
                <w:lang w:eastAsia="zh-CN"/>
              </w:rPr>
            </w:pPr>
            <w:r>
              <w:rPr>
                <w:color w:val="000000"/>
                <w:lang w:val="zh-CN" w:eastAsia="zh-CN"/>
              </w:rPr>
              <w:t>–</w:t>
            </w:r>
            <w:r w:rsidR="00733EC9">
              <w:rPr>
                <w:color w:val="000000"/>
                <w:lang w:val="zh-CN" w:eastAsia="zh-CN"/>
              </w:rPr>
              <w:tab/>
            </w:r>
            <w:r w:rsidRPr="001B59B0">
              <w:rPr>
                <w:color w:val="000000"/>
                <w:lang w:val="zh-CN" w:eastAsia="zh-CN"/>
              </w:rPr>
              <w:t>网络冗余与多样性监管</w:t>
            </w:r>
          </w:p>
        </w:tc>
        <w:tc>
          <w:tcPr>
            <w:tcW w:w="1993" w:type="pct"/>
          </w:tcPr>
          <w:p w14:paraId="3C5DB621" w14:textId="45704846" w:rsidR="008A526D" w:rsidRPr="005E56B5" w:rsidRDefault="008A526D" w:rsidP="00697EA0">
            <w:pPr>
              <w:pStyle w:val="Tabletext"/>
              <w:ind w:left="284" w:hanging="284"/>
              <w:rPr>
                <w:lang w:eastAsia="zh-CN"/>
              </w:rPr>
            </w:pPr>
            <w:r>
              <w:rPr>
                <w:color w:val="000000"/>
                <w:lang w:val="zh-CN" w:eastAsia="zh-CN"/>
              </w:rPr>
              <w:t>–</w:t>
            </w:r>
            <w:r w:rsidR="00733EC9">
              <w:rPr>
                <w:color w:val="000000"/>
                <w:lang w:val="zh-CN" w:eastAsia="zh-CN"/>
              </w:rPr>
              <w:tab/>
            </w:r>
            <w:r>
              <w:rPr>
                <w:color w:val="000000"/>
                <w:lang w:val="zh-CN" w:eastAsia="zh-CN"/>
              </w:rPr>
              <w:t>要求运营商对包括国际连接在内的关键基础设施实施冗余和路由多样化</w:t>
            </w:r>
            <w:r>
              <w:rPr>
                <w:rFonts w:hint="eastAsia"/>
                <w:color w:val="000000"/>
                <w:lang w:val="zh-CN" w:eastAsia="zh-CN"/>
              </w:rPr>
              <w:t>的</w:t>
            </w:r>
            <w:r>
              <w:rPr>
                <w:color w:val="000000"/>
                <w:lang w:val="zh-CN" w:eastAsia="zh-CN"/>
              </w:rPr>
              <w:t>成员国</w:t>
            </w:r>
          </w:p>
        </w:tc>
      </w:tr>
      <w:tr w:rsidR="008A526D" w:rsidRPr="008058A2" w14:paraId="5CE18CAE" w14:textId="77777777" w:rsidTr="00697EA0">
        <w:trPr>
          <w:cantSplit/>
          <w:jc w:val="center"/>
        </w:trPr>
        <w:tc>
          <w:tcPr>
            <w:tcW w:w="1015" w:type="pct"/>
            <w:vMerge/>
          </w:tcPr>
          <w:p w14:paraId="706FE173" w14:textId="77777777" w:rsidR="008A526D" w:rsidRPr="005E56B5" w:rsidRDefault="008A526D" w:rsidP="00697EA0">
            <w:pPr>
              <w:pStyle w:val="Tabletext"/>
              <w:rPr>
                <w:lang w:eastAsia="zh-CN"/>
              </w:rPr>
            </w:pPr>
          </w:p>
        </w:tc>
        <w:tc>
          <w:tcPr>
            <w:tcW w:w="1992" w:type="pct"/>
          </w:tcPr>
          <w:p w14:paraId="0F28E068" w14:textId="6EA57C69" w:rsidR="008A526D" w:rsidRPr="005E56B5" w:rsidRDefault="008A526D" w:rsidP="00697EA0">
            <w:pPr>
              <w:pStyle w:val="Tabletext"/>
              <w:ind w:left="284" w:hanging="284"/>
            </w:pPr>
            <w:r>
              <w:rPr>
                <w:color w:val="000000"/>
                <w:lang w:val="zh-CN"/>
              </w:rPr>
              <w:t>–</w:t>
            </w:r>
            <w:r w:rsidR="00733EC9">
              <w:rPr>
                <w:color w:val="000000"/>
                <w:lang w:val="zh-CN"/>
              </w:rPr>
              <w:tab/>
            </w:r>
            <w:proofErr w:type="spellStart"/>
            <w:r>
              <w:rPr>
                <w:color w:val="000000"/>
                <w:lang w:val="zh-CN"/>
              </w:rPr>
              <w:t>中断监测和响应能力</w:t>
            </w:r>
            <w:proofErr w:type="spellEnd"/>
          </w:p>
        </w:tc>
        <w:tc>
          <w:tcPr>
            <w:tcW w:w="1993" w:type="pct"/>
          </w:tcPr>
          <w:p w14:paraId="2E35B15A" w14:textId="7F917081" w:rsidR="008A526D" w:rsidRPr="005E56B5" w:rsidRDefault="008A526D" w:rsidP="00697EA0">
            <w:pPr>
              <w:pStyle w:val="Tabletext"/>
              <w:ind w:left="284" w:hanging="284"/>
              <w:rPr>
                <w:lang w:eastAsia="zh-CN"/>
              </w:rPr>
            </w:pPr>
            <w:r>
              <w:rPr>
                <w:color w:val="000000"/>
                <w:lang w:val="zh-CN" w:eastAsia="zh-CN"/>
              </w:rPr>
              <w:t>–</w:t>
            </w:r>
            <w:r w:rsidR="00733EC9">
              <w:rPr>
                <w:color w:val="000000"/>
                <w:lang w:val="zh-CN" w:eastAsia="zh-CN"/>
              </w:rPr>
              <w:tab/>
            </w:r>
            <w:r>
              <w:rPr>
                <w:color w:val="000000"/>
                <w:lang w:val="zh-CN" w:eastAsia="zh-CN"/>
              </w:rPr>
              <w:t>具备监测、报告和应对影响关键服务的重大网络故障机制的成员国</w:t>
            </w:r>
          </w:p>
        </w:tc>
      </w:tr>
      <w:tr w:rsidR="008A526D" w:rsidRPr="008058A2" w14:paraId="65565900" w14:textId="77777777" w:rsidTr="00697EA0">
        <w:trPr>
          <w:cantSplit/>
          <w:jc w:val="center"/>
        </w:trPr>
        <w:tc>
          <w:tcPr>
            <w:tcW w:w="1015" w:type="pct"/>
            <w:vMerge/>
          </w:tcPr>
          <w:p w14:paraId="53DED7E3" w14:textId="77777777" w:rsidR="008A526D" w:rsidRPr="005E56B5" w:rsidRDefault="008A526D" w:rsidP="00697EA0">
            <w:pPr>
              <w:pStyle w:val="Tabletext"/>
              <w:rPr>
                <w:lang w:eastAsia="zh-CN"/>
              </w:rPr>
            </w:pPr>
          </w:p>
        </w:tc>
        <w:tc>
          <w:tcPr>
            <w:tcW w:w="1992" w:type="pct"/>
          </w:tcPr>
          <w:p w14:paraId="270CEFCA" w14:textId="5DA2B115" w:rsidR="008A526D" w:rsidRPr="005E56B5" w:rsidRDefault="008A526D" w:rsidP="00697EA0">
            <w:pPr>
              <w:pStyle w:val="Tabletext"/>
              <w:ind w:left="284" w:hanging="284"/>
            </w:pPr>
            <w:r>
              <w:rPr>
                <w:color w:val="000000"/>
                <w:lang w:val="zh-CN"/>
              </w:rPr>
              <w:t>–</w:t>
            </w:r>
            <w:r w:rsidR="00733EC9">
              <w:rPr>
                <w:color w:val="000000"/>
                <w:lang w:val="zh-CN"/>
              </w:rPr>
              <w:tab/>
            </w:r>
            <w:proofErr w:type="spellStart"/>
            <w:r>
              <w:rPr>
                <w:rFonts w:hint="eastAsia"/>
                <w:color w:val="000000"/>
                <w:lang w:val="zh-CN"/>
              </w:rPr>
              <w:t>海</w:t>
            </w:r>
            <w:r>
              <w:t>底电</w:t>
            </w:r>
            <w:r>
              <w:rPr>
                <w:rFonts w:hint="eastAsia"/>
                <w:color w:val="000000"/>
                <w:lang w:val="zh-CN"/>
              </w:rPr>
              <w:t>缆复原力措施</w:t>
            </w:r>
            <w:proofErr w:type="spellEnd"/>
          </w:p>
        </w:tc>
        <w:tc>
          <w:tcPr>
            <w:tcW w:w="1993" w:type="pct"/>
          </w:tcPr>
          <w:p w14:paraId="3657E76F" w14:textId="0C205B04" w:rsidR="008A526D" w:rsidRPr="005E56B5" w:rsidRDefault="008A526D" w:rsidP="00697EA0">
            <w:pPr>
              <w:pStyle w:val="Tabletext"/>
              <w:ind w:left="284" w:hanging="284"/>
              <w:rPr>
                <w:lang w:eastAsia="zh-CN"/>
              </w:rPr>
            </w:pPr>
            <w:r>
              <w:rPr>
                <w:color w:val="000000"/>
                <w:lang w:val="zh-CN" w:eastAsia="zh-CN"/>
              </w:rPr>
              <w:t>–</w:t>
            </w:r>
            <w:r w:rsidR="00733EC9">
              <w:rPr>
                <w:color w:val="000000"/>
                <w:lang w:val="zh-CN" w:eastAsia="zh-CN"/>
              </w:rPr>
              <w:tab/>
            </w:r>
            <w:r>
              <w:rPr>
                <w:lang w:eastAsia="zh-CN"/>
              </w:rPr>
              <w:t>实施海底电缆</w:t>
            </w:r>
            <w:r w:rsidR="00703714">
              <w:rPr>
                <w:rFonts w:hint="eastAsia"/>
                <w:lang w:eastAsia="zh-CN"/>
              </w:rPr>
              <w:t>复原力</w:t>
            </w:r>
            <w:r w:rsidR="00703714">
              <w:rPr>
                <w:lang w:eastAsia="zh-CN"/>
              </w:rPr>
              <w:t>相关政策或协调机制的成员国</w:t>
            </w:r>
            <w:r w:rsidR="00703714">
              <w:rPr>
                <w:rFonts w:hint="eastAsia"/>
                <w:lang w:eastAsia="zh-CN"/>
              </w:rPr>
              <w:t>（</w:t>
            </w:r>
            <w:r w:rsidR="00703714">
              <w:rPr>
                <w:lang w:eastAsia="zh-CN"/>
              </w:rPr>
              <w:t>即</w:t>
            </w:r>
            <w:r>
              <w:rPr>
                <w:lang w:eastAsia="zh-CN"/>
              </w:rPr>
              <w:t>保护、路</w:t>
            </w:r>
            <w:r>
              <w:rPr>
                <w:color w:val="000000"/>
                <w:lang w:val="zh-CN" w:eastAsia="zh-CN"/>
              </w:rPr>
              <w:t>由</w:t>
            </w:r>
            <w:r>
              <w:rPr>
                <w:lang w:eastAsia="zh-CN"/>
              </w:rPr>
              <w:t>多样性和恢复准备工作，包括用于故障检测、预测性维护和服务恢复的监测和自动</w:t>
            </w:r>
            <w:r>
              <w:rPr>
                <w:rFonts w:hint="eastAsia"/>
                <w:lang w:eastAsia="zh-CN"/>
              </w:rPr>
              <w:t>复原</w:t>
            </w:r>
            <w:r>
              <w:rPr>
                <w:lang w:eastAsia="zh-CN"/>
              </w:rPr>
              <w:t>能</w:t>
            </w:r>
            <w:r>
              <w:rPr>
                <w:rFonts w:ascii="SimSun" w:hAnsi="SimSun" w:cs="SimSun" w:hint="eastAsia"/>
                <w:lang w:eastAsia="zh-CN"/>
              </w:rPr>
              <w:t>力</w:t>
            </w:r>
            <w:r w:rsidR="00703714">
              <w:rPr>
                <w:rFonts w:ascii="SimSun" w:hAnsi="SimSun" w:cs="SimSun" w:hint="eastAsia"/>
                <w:lang w:eastAsia="zh-CN"/>
              </w:rPr>
              <w:t>）</w:t>
            </w:r>
          </w:p>
        </w:tc>
      </w:tr>
    </w:tbl>
    <w:p w14:paraId="112F6185" w14:textId="73C09986" w:rsidR="008A526D" w:rsidRPr="0008540E" w:rsidRDefault="008A526D" w:rsidP="001E421B">
      <w:pPr>
        <w:ind w:firstLineChars="200" w:firstLine="480"/>
        <w:rPr>
          <w:lang w:eastAsia="zh-CN"/>
        </w:rPr>
      </w:pPr>
      <w:r>
        <w:rPr>
          <w:lang w:val="zh-CN" w:eastAsia="zh-CN"/>
        </w:rPr>
        <w:lastRenderedPageBreak/>
        <w:t>关于具体目标</w:t>
      </w:r>
      <w:r>
        <w:rPr>
          <w:lang w:val="zh-CN" w:eastAsia="zh-CN"/>
        </w:rPr>
        <w:t>1</w:t>
      </w:r>
      <w:r>
        <w:rPr>
          <w:rFonts w:hint="eastAsia"/>
          <w:lang w:val="zh-CN" w:eastAsia="zh-CN"/>
        </w:rPr>
        <w:t>.</w:t>
      </w:r>
      <w:r>
        <w:rPr>
          <w:lang w:val="zh-CN" w:eastAsia="zh-CN"/>
        </w:rPr>
        <w:t>6</w:t>
      </w:r>
      <w:r>
        <w:rPr>
          <w:lang w:val="zh-CN" w:eastAsia="zh-CN"/>
        </w:rPr>
        <w:t>，秘书处建议</w:t>
      </w:r>
      <w:r w:rsidR="00393F4C">
        <w:rPr>
          <w:lang w:eastAsia="zh-CN"/>
        </w:rPr>
        <w:t>不再将其作为单独的目标保留，而是</w:t>
      </w:r>
      <w:r>
        <w:rPr>
          <w:lang w:val="zh-CN" w:eastAsia="zh-CN"/>
        </w:rPr>
        <w:t>按照目前</w:t>
      </w:r>
      <w:r>
        <w:rPr>
          <w:lang w:val="zh-CN" w:eastAsia="zh-CN"/>
        </w:rPr>
        <w:t>2024-2027</w:t>
      </w:r>
      <w:r>
        <w:rPr>
          <w:lang w:val="zh-CN" w:eastAsia="zh-CN"/>
        </w:rPr>
        <w:t>年</w:t>
      </w:r>
      <w:r>
        <w:rPr>
          <w:rFonts w:hint="eastAsia"/>
          <w:lang w:val="zh-CN" w:eastAsia="zh-CN"/>
        </w:rPr>
        <w:t>《</w:t>
      </w:r>
      <w:r>
        <w:rPr>
          <w:lang w:val="zh-CN" w:eastAsia="zh-CN"/>
        </w:rPr>
        <w:t>战略规划</w:t>
      </w:r>
      <w:r>
        <w:rPr>
          <w:rFonts w:hint="eastAsia"/>
          <w:lang w:val="zh-CN" w:eastAsia="zh-CN"/>
        </w:rPr>
        <w:t>》</w:t>
      </w:r>
      <w:r>
        <w:rPr>
          <w:lang w:val="zh-CN" w:eastAsia="zh-CN"/>
        </w:rPr>
        <w:t>中所反映的，</w:t>
      </w:r>
      <w:r w:rsidR="00393F4C">
        <w:rPr>
          <w:lang w:eastAsia="zh-CN"/>
        </w:rPr>
        <w:t>将</w:t>
      </w:r>
      <w:r w:rsidR="001E421B" w:rsidRPr="001E421B">
        <w:rPr>
          <w:rFonts w:ascii="SimSun" w:hAnsi="SimSun"/>
          <w:lang w:val="zh-CN" w:eastAsia="zh-CN"/>
        </w:rPr>
        <w:t>“</w:t>
      </w:r>
      <w:r>
        <w:rPr>
          <w:lang w:val="zh-CN" w:eastAsia="zh-CN"/>
        </w:rPr>
        <w:t>无有害干扰的无线电频谱</w:t>
      </w:r>
      <w:r w:rsidR="001E421B" w:rsidRPr="001E421B">
        <w:rPr>
          <w:rFonts w:ascii="SimSun" w:hAnsi="SimSun"/>
          <w:lang w:val="zh-CN" w:eastAsia="zh-CN"/>
        </w:rPr>
        <w:t>”</w:t>
      </w:r>
      <w:r>
        <w:rPr>
          <w:lang w:val="zh-CN" w:eastAsia="zh-CN"/>
        </w:rPr>
        <w:t>作为</w:t>
      </w:r>
      <w:r w:rsidR="001E421B" w:rsidRPr="001E421B">
        <w:rPr>
          <w:rFonts w:ascii="SimSun" w:hAnsi="SimSun"/>
          <w:lang w:val="zh-CN" w:eastAsia="zh-CN"/>
        </w:rPr>
        <w:t>“</w:t>
      </w:r>
      <w:r>
        <w:rPr>
          <w:lang w:val="zh-CN" w:eastAsia="zh-CN"/>
        </w:rPr>
        <w:t>空间和地面业务频谱使用</w:t>
      </w:r>
      <w:r w:rsidR="001E421B" w:rsidRPr="001E421B">
        <w:rPr>
          <w:rFonts w:ascii="SimSun" w:hAnsi="SimSun"/>
          <w:lang w:val="zh-CN" w:eastAsia="zh-CN"/>
        </w:rPr>
        <w:t>”</w:t>
      </w:r>
      <w:r>
        <w:rPr>
          <w:rFonts w:hint="eastAsia"/>
          <w:lang w:val="zh-CN" w:eastAsia="zh-CN"/>
        </w:rPr>
        <w:t>这一重点工作</w:t>
      </w:r>
      <w:r>
        <w:rPr>
          <w:lang w:val="zh-CN" w:eastAsia="zh-CN"/>
        </w:rPr>
        <w:t>下的</w:t>
      </w:r>
      <w:r w:rsidR="00393F4C">
        <w:rPr>
          <w:lang w:eastAsia="zh-CN"/>
        </w:rPr>
        <w:t>另</w:t>
      </w:r>
      <w:r>
        <w:rPr>
          <w:lang w:val="zh-CN" w:eastAsia="zh-CN"/>
        </w:rPr>
        <w:t>一项成果</w:t>
      </w:r>
      <w:r w:rsidR="00393F4C">
        <w:rPr>
          <w:lang w:eastAsia="zh-CN"/>
        </w:rPr>
        <w:t>予以体现</w:t>
      </w:r>
      <w:r>
        <w:rPr>
          <w:lang w:val="zh-CN" w:eastAsia="zh-CN"/>
        </w:rPr>
        <w:t>。</w:t>
      </w:r>
    </w:p>
    <w:p w14:paraId="61BCD919" w14:textId="77777777" w:rsidR="008A526D" w:rsidRPr="0008540E" w:rsidRDefault="008A526D" w:rsidP="001E421B">
      <w:pPr>
        <w:ind w:firstLineChars="200" w:firstLine="480"/>
        <w:rPr>
          <w:lang w:eastAsia="zh-CN"/>
        </w:rPr>
      </w:pPr>
      <w:r>
        <w:rPr>
          <w:lang w:val="zh-CN" w:eastAsia="zh-CN"/>
        </w:rPr>
        <w:t>这一拟议成果涉及频谱使用的独特和互补性问题。虽然目前成果</w:t>
      </w:r>
      <w:r>
        <w:rPr>
          <w:lang w:val="zh-CN" w:eastAsia="zh-CN"/>
        </w:rPr>
        <w:t>1</w:t>
      </w:r>
      <w:r>
        <w:rPr>
          <w:lang w:val="zh-CN" w:eastAsia="zh-CN"/>
        </w:rPr>
        <w:t>（</w:t>
      </w:r>
      <w:r w:rsidRPr="00B431BD">
        <w:rPr>
          <w:rFonts w:ascii="STKaiti" w:eastAsia="STKaiti" w:hAnsi="STKaiti"/>
          <w:lang w:val="zh-CN" w:eastAsia="zh-CN"/>
        </w:rPr>
        <w:t>高效、经济、合理和公平地使用无线电频谱和轨道资源</w:t>
      </w:r>
      <w:r>
        <w:rPr>
          <w:lang w:val="zh-CN" w:eastAsia="zh-CN"/>
        </w:rPr>
        <w:t>）体现了效率、经济、合理和公平的原则，但拟议成果</w:t>
      </w:r>
      <w:r>
        <w:rPr>
          <w:lang w:val="zh-CN" w:eastAsia="zh-CN"/>
        </w:rPr>
        <w:t>2</w:t>
      </w:r>
      <w:r>
        <w:rPr>
          <w:lang w:val="zh-CN" w:eastAsia="zh-CN"/>
        </w:rPr>
        <w:t>将引入不受有害干扰的标准，确保频谱使用不仅得到优化而且可靠。保护免受有害干扰仍然是无线电通信部门（</w:t>
      </w:r>
      <w:r>
        <w:rPr>
          <w:lang w:val="zh-CN" w:eastAsia="zh-CN"/>
        </w:rPr>
        <w:t>ITU-R</w:t>
      </w:r>
      <w:r>
        <w:rPr>
          <w:lang w:val="zh-CN" w:eastAsia="zh-CN"/>
        </w:rPr>
        <w:t>）工作和实际成果的基础、永久和跨领域目标。</w:t>
      </w:r>
    </w:p>
    <w:p w14:paraId="24E16D40" w14:textId="13523569" w:rsidR="008A526D" w:rsidRPr="0008540E" w:rsidRDefault="00C261A7" w:rsidP="001E421B">
      <w:pPr>
        <w:ind w:firstLineChars="200" w:firstLine="480"/>
        <w:rPr>
          <w:lang w:eastAsia="zh-CN"/>
        </w:rPr>
      </w:pPr>
      <w:r>
        <w:rPr>
          <w:lang w:eastAsia="zh-CN"/>
        </w:rPr>
        <w:t>鉴于已</w:t>
      </w:r>
      <w:r w:rsidR="008A526D">
        <w:rPr>
          <w:lang w:eastAsia="zh-CN"/>
        </w:rPr>
        <w:t>报告和解决的有害干扰案例数量属于运营层面</w:t>
      </w:r>
      <w:r w:rsidR="008A526D">
        <w:rPr>
          <w:rFonts w:hint="eastAsia"/>
          <w:lang w:eastAsia="zh-CN"/>
        </w:rPr>
        <w:t>的</w:t>
      </w:r>
      <w:r w:rsidR="008A526D">
        <w:rPr>
          <w:lang w:eastAsia="zh-CN"/>
        </w:rPr>
        <w:t>无线电通信局程序性衡量标准，而非战略绩效指标</w:t>
      </w:r>
      <w:r>
        <w:rPr>
          <w:lang w:eastAsia="zh-CN"/>
        </w:rPr>
        <w:t>，因此此类案件应作为</w:t>
      </w:r>
      <w:r>
        <w:rPr>
          <w:lang w:eastAsia="zh-CN"/>
        </w:rPr>
        <w:t>“</w:t>
      </w:r>
      <w:r>
        <w:rPr>
          <w:lang w:eastAsia="zh-CN"/>
        </w:rPr>
        <w:t>成果</w:t>
      </w:r>
      <w:r>
        <w:rPr>
          <w:lang w:eastAsia="zh-CN"/>
        </w:rPr>
        <w:t>2”</w:t>
      </w:r>
      <w:r>
        <w:rPr>
          <w:lang w:eastAsia="zh-CN"/>
        </w:rPr>
        <w:t>的成果指标</w:t>
      </w:r>
      <w:r>
        <w:rPr>
          <w:rFonts w:ascii="SimSun" w:hAnsi="SimSun" w:cs="SimSun" w:hint="eastAsia"/>
          <w:lang w:eastAsia="zh-CN"/>
        </w:rPr>
        <w:t>。</w:t>
      </w:r>
    </w:p>
    <w:p w14:paraId="77955E27" w14:textId="12F32FAA" w:rsidR="008A526D" w:rsidRPr="003A7934" w:rsidRDefault="008A526D" w:rsidP="001E421B">
      <w:pPr>
        <w:spacing w:after="120"/>
        <w:ind w:firstLineChars="200" w:firstLine="480"/>
        <w:rPr>
          <w:lang w:eastAsia="zh-CN"/>
        </w:rPr>
      </w:pPr>
      <w:r>
        <w:rPr>
          <w:lang w:val="zh-CN" w:eastAsia="zh-CN"/>
        </w:rPr>
        <w:t>供</w:t>
      </w:r>
      <w:r>
        <w:rPr>
          <w:lang w:val="zh-CN" w:eastAsia="zh-CN"/>
        </w:rPr>
        <w:t>PP-26</w:t>
      </w:r>
      <w:r>
        <w:rPr>
          <w:lang w:val="zh-CN" w:eastAsia="zh-CN"/>
        </w:rPr>
        <w:t>审议的拟议修正如下：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3898"/>
        <w:gridCol w:w="3898"/>
      </w:tblGrid>
      <w:tr w:rsidR="008A526D" w:rsidRPr="009173C5" w14:paraId="354E2CCB" w14:textId="77777777" w:rsidTr="00697EA0">
        <w:trPr>
          <w:trHeight w:val="97"/>
        </w:trPr>
        <w:tc>
          <w:tcPr>
            <w:tcW w:w="954" w:type="pct"/>
          </w:tcPr>
          <w:p w14:paraId="3849EF63" w14:textId="77777777" w:rsidR="008A526D" w:rsidRPr="005E56B5" w:rsidRDefault="008A526D" w:rsidP="00697EA0">
            <w:pPr>
              <w:pStyle w:val="Tablehead"/>
              <w:rPr>
                <w:szCs w:val="22"/>
              </w:rPr>
            </w:pPr>
            <w:proofErr w:type="spellStart"/>
            <w:r>
              <w:rPr>
                <w:bCs/>
                <w:color w:val="000000"/>
                <w:lang w:val="zh-CN"/>
              </w:rPr>
              <w:t>重点工作</w:t>
            </w:r>
            <w:proofErr w:type="spellEnd"/>
          </w:p>
        </w:tc>
        <w:tc>
          <w:tcPr>
            <w:tcW w:w="2023" w:type="pct"/>
          </w:tcPr>
          <w:p w14:paraId="07716E21" w14:textId="77777777" w:rsidR="008A526D" w:rsidRPr="009173C5" w:rsidRDefault="008A526D" w:rsidP="00697EA0">
            <w:pPr>
              <w:pStyle w:val="Tablehead"/>
              <w:rPr>
                <w:rFonts w:cs="Calibri"/>
                <w:szCs w:val="22"/>
              </w:rPr>
            </w:pPr>
            <w:proofErr w:type="spellStart"/>
            <w:r>
              <w:rPr>
                <w:color w:val="000000"/>
                <w:lang w:val="zh-CN"/>
              </w:rPr>
              <w:t>成果</w:t>
            </w:r>
            <w:proofErr w:type="spellEnd"/>
          </w:p>
        </w:tc>
        <w:tc>
          <w:tcPr>
            <w:tcW w:w="2023" w:type="pct"/>
          </w:tcPr>
          <w:p w14:paraId="259A8E34" w14:textId="77777777" w:rsidR="008A526D" w:rsidRPr="009173C5" w:rsidRDefault="008A526D" w:rsidP="00697EA0">
            <w:pPr>
              <w:pStyle w:val="Tablehead"/>
              <w:rPr>
                <w:rFonts w:cs="Calibri"/>
                <w:szCs w:val="22"/>
              </w:rPr>
            </w:pPr>
            <w:proofErr w:type="spellStart"/>
            <w:r>
              <w:rPr>
                <w:bCs/>
                <w:color w:val="000000"/>
                <w:lang w:val="zh-CN"/>
              </w:rPr>
              <w:t>成果指标</w:t>
            </w:r>
            <w:proofErr w:type="spellEnd"/>
          </w:p>
        </w:tc>
      </w:tr>
      <w:tr w:rsidR="008A526D" w:rsidRPr="009173C5" w14:paraId="52526581" w14:textId="77777777" w:rsidTr="00697EA0">
        <w:trPr>
          <w:trHeight w:val="97"/>
        </w:trPr>
        <w:tc>
          <w:tcPr>
            <w:tcW w:w="954" w:type="pct"/>
          </w:tcPr>
          <w:p w14:paraId="131941AA" w14:textId="77777777" w:rsidR="008A526D" w:rsidRPr="005E56B5" w:rsidRDefault="008A526D" w:rsidP="00697EA0">
            <w:pPr>
              <w:pStyle w:val="Tabletext"/>
              <w:rPr>
                <w:b/>
                <w:szCs w:val="22"/>
                <w:lang w:eastAsia="zh-CN"/>
              </w:rPr>
            </w:pPr>
            <w:r>
              <w:rPr>
                <w:b/>
                <w:bCs/>
                <w:color w:val="000000"/>
                <w:szCs w:val="22"/>
                <w:lang w:val="zh-CN" w:eastAsia="zh-CN"/>
              </w:rPr>
              <w:t>空间和地面业务的频谱使用</w:t>
            </w:r>
          </w:p>
        </w:tc>
        <w:tc>
          <w:tcPr>
            <w:tcW w:w="2023" w:type="pct"/>
          </w:tcPr>
          <w:p w14:paraId="4AF8C909" w14:textId="1F3DEF84" w:rsidR="008A526D" w:rsidRPr="009173C5" w:rsidRDefault="008A526D" w:rsidP="00697EA0">
            <w:pPr>
              <w:pStyle w:val="Tabletext"/>
              <w:ind w:left="284" w:hanging="284"/>
              <w:rPr>
                <w:szCs w:val="22"/>
                <w:lang w:eastAsia="zh-CN"/>
              </w:rPr>
            </w:pPr>
            <w:r>
              <w:rPr>
                <w:color w:val="000000"/>
                <w:szCs w:val="22"/>
                <w:lang w:val="zh-CN" w:eastAsia="zh-CN"/>
              </w:rPr>
              <w:t>–</w:t>
            </w:r>
            <w:r w:rsidR="00822B41">
              <w:rPr>
                <w:color w:val="000000"/>
                <w:szCs w:val="22"/>
                <w:lang w:val="zh-CN" w:eastAsia="zh-CN"/>
              </w:rPr>
              <w:tab/>
            </w:r>
            <w:r>
              <w:rPr>
                <w:color w:val="000000"/>
                <w:szCs w:val="22"/>
                <w:lang w:val="zh-CN" w:eastAsia="zh-CN"/>
              </w:rPr>
              <w:t>无有害干扰的无线电频谱</w:t>
            </w:r>
          </w:p>
        </w:tc>
        <w:tc>
          <w:tcPr>
            <w:tcW w:w="2023" w:type="pct"/>
          </w:tcPr>
          <w:p w14:paraId="4545338A" w14:textId="02E2FD84" w:rsidR="008A526D" w:rsidRPr="009173C5" w:rsidRDefault="008A526D" w:rsidP="00697EA0">
            <w:pPr>
              <w:pStyle w:val="Tabletext"/>
              <w:ind w:left="284" w:hanging="284"/>
              <w:rPr>
                <w:szCs w:val="22"/>
                <w:lang w:eastAsia="zh-CN"/>
              </w:rPr>
            </w:pPr>
            <w:r>
              <w:rPr>
                <w:color w:val="000000"/>
                <w:szCs w:val="22"/>
                <w:lang w:val="zh-CN" w:eastAsia="zh-CN"/>
              </w:rPr>
              <w:t>–</w:t>
            </w:r>
            <w:r w:rsidR="00822B41">
              <w:rPr>
                <w:color w:val="000000"/>
                <w:szCs w:val="22"/>
                <w:lang w:val="zh-CN" w:eastAsia="zh-CN"/>
              </w:rPr>
              <w:tab/>
            </w:r>
            <w:r>
              <w:rPr>
                <w:color w:val="000000"/>
                <w:szCs w:val="22"/>
                <w:lang w:val="zh-CN" w:eastAsia="zh-CN"/>
              </w:rPr>
              <w:t>在报告期的一年内向无线电通信局报告的有害干扰（与空间业务有关的频率指配）案件数量</w:t>
            </w:r>
          </w:p>
          <w:p w14:paraId="0AD703BC" w14:textId="59246DB8" w:rsidR="008A526D" w:rsidRPr="009173C5" w:rsidRDefault="008A526D" w:rsidP="00697EA0">
            <w:pPr>
              <w:pStyle w:val="Tabletext"/>
              <w:ind w:left="284" w:hanging="284"/>
              <w:rPr>
                <w:szCs w:val="22"/>
                <w:lang w:eastAsia="zh-CN"/>
              </w:rPr>
            </w:pPr>
            <w:r>
              <w:rPr>
                <w:color w:val="000000"/>
                <w:szCs w:val="22"/>
                <w:lang w:val="zh-CN" w:eastAsia="zh-CN"/>
              </w:rPr>
              <w:t>–</w:t>
            </w:r>
            <w:r w:rsidR="00822B41">
              <w:rPr>
                <w:color w:val="000000"/>
                <w:szCs w:val="22"/>
                <w:lang w:val="zh-CN" w:eastAsia="zh-CN"/>
              </w:rPr>
              <w:tab/>
            </w:r>
            <w:r>
              <w:rPr>
                <w:color w:val="000000"/>
                <w:szCs w:val="22"/>
                <w:lang w:val="zh-CN" w:eastAsia="zh-CN"/>
              </w:rPr>
              <w:t>向无线电通信局报告且有待解决的有害干扰（与空间业务有关的频率指配）案件数量</w:t>
            </w:r>
          </w:p>
          <w:p w14:paraId="75B70B86" w14:textId="65921199" w:rsidR="008A526D" w:rsidRPr="009173C5" w:rsidRDefault="008A526D" w:rsidP="00697EA0">
            <w:pPr>
              <w:pStyle w:val="Tabletext"/>
              <w:ind w:left="284" w:hanging="284"/>
              <w:rPr>
                <w:szCs w:val="22"/>
                <w:lang w:eastAsia="zh-CN"/>
              </w:rPr>
            </w:pPr>
            <w:r>
              <w:rPr>
                <w:color w:val="000000"/>
                <w:szCs w:val="22"/>
                <w:lang w:val="zh-CN" w:eastAsia="zh-CN"/>
              </w:rPr>
              <w:t>–</w:t>
            </w:r>
            <w:r w:rsidR="00822B41">
              <w:rPr>
                <w:color w:val="000000"/>
                <w:szCs w:val="22"/>
                <w:lang w:val="zh-CN" w:eastAsia="zh-CN"/>
              </w:rPr>
              <w:tab/>
            </w:r>
            <w:r>
              <w:rPr>
                <w:color w:val="000000"/>
                <w:szCs w:val="22"/>
                <w:lang w:val="zh-CN" w:eastAsia="zh-CN"/>
              </w:rPr>
              <w:t>在报告期的一年内向无线电通信局报告的有害干扰（与地面业务有关的指配）案件数量</w:t>
            </w:r>
          </w:p>
          <w:p w14:paraId="0A4217C8" w14:textId="2FB9FEB0" w:rsidR="008A526D" w:rsidRPr="009173C5" w:rsidRDefault="008A526D" w:rsidP="00697EA0">
            <w:pPr>
              <w:pStyle w:val="Tabletext"/>
              <w:ind w:left="284" w:hanging="284"/>
              <w:rPr>
                <w:szCs w:val="22"/>
                <w:lang w:eastAsia="zh-CN"/>
              </w:rPr>
            </w:pPr>
            <w:r>
              <w:rPr>
                <w:color w:val="000000"/>
                <w:szCs w:val="22"/>
                <w:lang w:val="zh-CN" w:eastAsia="zh-CN"/>
              </w:rPr>
              <w:t>–</w:t>
            </w:r>
            <w:r w:rsidR="00822B41">
              <w:rPr>
                <w:color w:val="000000"/>
                <w:szCs w:val="22"/>
                <w:lang w:val="zh-CN" w:eastAsia="zh-CN"/>
              </w:rPr>
              <w:tab/>
            </w:r>
            <w:r>
              <w:rPr>
                <w:color w:val="000000"/>
                <w:szCs w:val="22"/>
                <w:lang w:val="zh-CN" w:eastAsia="zh-CN"/>
              </w:rPr>
              <w:t>向无线电通信局报告且有待解决的有害干扰（与地面业务有关的指配）案件数量</w:t>
            </w:r>
          </w:p>
          <w:p w14:paraId="24971020" w14:textId="549E4D7D" w:rsidR="008A526D" w:rsidRPr="009173C5" w:rsidRDefault="00822B41" w:rsidP="00697EA0">
            <w:pPr>
              <w:pStyle w:val="Tabletext"/>
              <w:ind w:left="284" w:hanging="284"/>
              <w:rPr>
                <w:szCs w:val="22"/>
                <w:lang w:eastAsia="zh-CN"/>
              </w:rPr>
            </w:pPr>
            <w:r>
              <w:rPr>
                <w:color w:val="000000"/>
                <w:szCs w:val="22"/>
                <w:lang w:val="zh-CN" w:eastAsia="zh-CN"/>
              </w:rPr>
              <w:t>–</w:t>
            </w:r>
            <w:r>
              <w:rPr>
                <w:color w:val="000000"/>
                <w:szCs w:val="22"/>
                <w:lang w:val="zh-CN" w:eastAsia="zh-CN"/>
              </w:rPr>
              <w:tab/>
            </w:r>
            <w:r w:rsidR="008A526D">
              <w:rPr>
                <w:color w:val="000000"/>
                <w:szCs w:val="22"/>
                <w:lang w:val="zh-CN" w:eastAsia="zh-CN"/>
              </w:rPr>
              <w:t>无线电通信局已根据相关程序（如根据《无线电规则》第</w:t>
            </w:r>
            <w:r w:rsidR="008A526D">
              <w:rPr>
                <w:color w:val="000000"/>
                <w:szCs w:val="22"/>
                <w:lang w:val="zh-CN" w:eastAsia="zh-CN"/>
              </w:rPr>
              <w:t>15.41</w:t>
            </w:r>
            <w:r w:rsidR="008A526D">
              <w:rPr>
                <w:color w:val="000000"/>
                <w:szCs w:val="22"/>
                <w:lang w:val="zh-CN" w:eastAsia="zh-CN"/>
              </w:rPr>
              <w:t>、</w:t>
            </w:r>
            <w:r w:rsidR="008A526D">
              <w:rPr>
                <w:color w:val="000000"/>
                <w:szCs w:val="22"/>
                <w:lang w:val="zh-CN" w:eastAsia="zh-CN"/>
              </w:rPr>
              <w:t>15.42</w:t>
            </w:r>
            <w:r w:rsidR="008A526D">
              <w:rPr>
                <w:color w:val="000000"/>
                <w:szCs w:val="22"/>
                <w:lang w:val="zh-CN" w:eastAsia="zh-CN"/>
              </w:rPr>
              <w:t>款等）采取适当行动的</w:t>
            </w:r>
            <w:r w:rsidR="008A526D">
              <w:rPr>
                <w:rFonts w:hint="eastAsia"/>
                <w:color w:val="000000"/>
                <w:szCs w:val="22"/>
                <w:lang w:val="zh-CN" w:eastAsia="zh-CN"/>
              </w:rPr>
              <w:t>案件</w:t>
            </w:r>
            <w:r w:rsidR="008A526D">
              <w:rPr>
                <w:color w:val="000000"/>
                <w:szCs w:val="22"/>
                <w:lang w:val="zh-CN" w:eastAsia="zh-CN"/>
              </w:rPr>
              <w:t>数量</w:t>
            </w:r>
          </w:p>
        </w:tc>
      </w:tr>
    </w:tbl>
    <w:p w14:paraId="0F7E8799" w14:textId="6FC1CE59" w:rsidR="008A526D" w:rsidRPr="0008540E" w:rsidRDefault="008A526D" w:rsidP="00EE1CB7">
      <w:pPr>
        <w:spacing w:before="240"/>
        <w:ind w:firstLineChars="200" w:firstLine="480"/>
        <w:rPr>
          <w:lang w:eastAsia="zh-CN"/>
        </w:rPr>
      </w:pPr>
      <w:r>
        <w:rPr>
          <w:lang w:eastAsia="zh-CN"/>
        </w:rPr>
        <w:t>对于</w:t>
      </w:r>
      <w:r>
        <w:rPr>
          <w:lang w:val="zh-CN" w:eastAsia="zh-CN"/>
        </w:rPr>
        <w:t>具体目标</w:t>
      </w:r>
      <w:r>
        <w:rPr>
          <w:rFonts w:hint="eastAsia"/>
          <w:lang w:val="zh-CN" w:eastAsia="zh-CN"/>
        </w:rPr>
        <w:t>1.</w:t>
      </w:r>
      <w:r>
        <w:rPr>
          <w:lang w:val="zh-CN" w:eastAsia="zh-CN"/>
        </w:rPr>
        <w:t>7</w:t>
      </w:r>
      <w:r>
        <w:rPr>
          <w:lang w:val="zh-CN" w:eastAsia="zh-CN"/>
        </w:rPr>
        <w:t>，标准互操作性</w:t>
      </w:r>
      <w:r>
        <w:rPr>
          <w:lang w:eastAsia="zh-CN"/>
        </w:rPr>
        <w:t>是</w:t>
      </w:r>
      <w:r>
        <w:rPr>
          <w:rFonts w:hint="eastAsia"/>
          <w:lang w:val="zh-CN" w:eastAsia="zh-CN"/>
        </w:rPr>
        <w:t>一项</w:t>
      </w:r>
      <w:r>
        <w:rPr>
          <w:lang w:eastAsia="zh-CN"/>
        </w:rPr>
        <w:t>拟议的</w:t>
      </w:r>
      <w:r>
        <w:rPr>
          <w:lang w:val="zh-CN" w:eastAsia="zh-CN"/>
        </w:rPr>
        <w:t>重点</w:t>
      </w:r>
      <w:r>
        <w:rPr>
          <w:rFonts w:hint="eastAsia"/>
          <w:lang w:val="zh-CN" w:eastAsia="zh-CN"/>
        </w:rPr>
        <w:t>工作</w:t>
      </w:r>
      <w:r>
        <w:rPr>
          <w:lang w:val="zh-CN" w:eastAsia="zh-CN"/>
        </w:rPr>
        <w:t>，</w:t>
      </w:r>
      <w:r>
        <w:rPr>
          <w:lang w:eastAsia="zh-CN"/>
        </w:rPr>
        <w:t>旨在体现</w:t>
      </w:r>
      <w:r>
        <w:rPr>
          <w:lang w:val="zh-CN" w:eastAsia="zh-CN"/>
        </w:rPr>
        <w:t>国际电联</w:t>
      </w:r>
      <w:r>
        <w:rPr>
          <w:lang w:eastAsia="zh-CN"/>
        </w:rPr>
        <w:t>在</w:t>
      </w:r>
      <w:r>
        <w:rPr>
          <w:lang w:val="zh-CN" w:eastAsia="zh-CN"/>
        </w:rPr>
        <w:t>ICT</w:t>
      </w:r>
      <w:r>
        <w:rPr>
          <w:lang w:val="zh-CN" w:eastAsia="zh-CN"/>
        </w:rPr>
        <w:t>和更广泛经济</w:t>
      </w:r>
      <w:r>
        <w:rPr>
          <w:lang w:eastAsia="zh-CN"/>
        </w:rPr>
        <w:t>领域所开展的工作产生</w:t>
      </w:r>
      <w:r>
        <w:rPr>
          <w:lang w:val="zh-CN" w:eastAsia="zh-CN"/>
        </w:rPr>
        <w:t>的影响。在此基础上，秘书处希望提出一个最</w:t>
      </w:r>
      <w:r>
        <w:rPr>
          <w:lang w:eastAsia="zh-CN"/>
        </w:rPr>
        <w:t>符合</w:t>
      </w:r>
      <w:r w:rsidR="00EE1CB7" w:rsidRPr="00EE1CB7">
        <w:rPr>
          <w:rFonts w:ascii="SimSun" w:hAnsi="SimSun"/>
          <w:lang w:eastAsia="zh-CN"/>
        </w:rPr>
        <w:t>“</w:t>
      </w:r>
      <w:r>
        <w:rPr>
          <w:lang w:eastAsia="zh-CN"/>
        </w:rPr>
        <w:t>影响</w:t>
      </w:r>
      <w:r w:rsidR="00EE1CB7" w:rsidRPr="00EE1CB7">
        <w:rPr>
          <w:rFonts w:ascii="SimSun" w:hAnsi="SimSun"/>
          <w:lang w:eastAsia="zh-CN"/>
        </w:rPr>
        <w:t>”</w:t>
      </w:r>
      <w:r>
        <w:rPr>
          <w:lang w:eastAsia="zh-CN"/>
        </w:rPr>
        <w:t>层级</w:t>
      </w:r>
      <w:r>
        <w:rPr>
          <w:lang w:val="zh-CN" w:eastAsia="zh-CN"/>
        </w:rPr>
        <w:t>的指标，作为起点。</w:t>
      </w:r>
    </w:p>
    <w:p w14:paraId="0424C3BD" w14:textId="77777777" w:rsidR="008A526D" w:rsidRPr="0008540E" w:rsidRDefault="008A526D" w:rsidP="00EE1CB7">
      <w:pPr>
        <w:ind w:firstLineChars="200" w:firstLine="480"/>
        <w:rPr>
          <w:lang w:eastAsia="zh-CN"/>
        </w:rPr>
      </w:pPr>
      <w:r>
        <w:rPr>
          <w:lang w:eastAsia="zh-CN"/>
        </w:rPr>
        <w:t>全球绝大多数互联网视频均采用国际电联标准化压缩技术。这一指标以占比形式呈现，其数值会随时间推移而变化，既能反映其他编解码器带来的实际竞争，也能以具有代表性的方式表明，全球大部分视频均采用国际电联协助制定的标准</w:t>
      </w:r>
      <w:r>
        <w:rPr>
          <w:rFonts w:ascii="SimSun" w:hAnsi="SimSun" w:cs="SimSun" w:hint="eastAsia"/>
          <w:lang w:eastAsia="zh-CN"/>
        </w:rPr>
        <w:t>。</w:t>
      </w:r>
    </w:p>
    <w:p w14:paraId="1175E442" w14:textId="5FE0164F" w:rsidR="008A526D" w:rsidRPr="0008540E" w:rsidRDefault="008A526D" w:rsidP="00EE1CB7">
      <w:pPr>
        <w:ind w:firstLineChars="200" w:firstLine="480"/>
        <w:rPr>
          <w:lang w:eastAsia="zh-CN"/>
        </w:rPr>
      </w:pPr>
      <w:r>
        <w:rPr>
          <w:lang w:val="zh-CN" w:eastAsia="zh-CN"/>
        </w:rPr>
        <w:t>随着时间的推移，电信标准化顾问组（</w:t>
      </w:r>
      <w:r>
        <w:rPr>
          <w:lang w:val="zh-CN" w:eastAsia="zh-CN"/>
        </w:rPr>
        <w:t>TSAG</w:t>
      </w:r>
      <w:r>
        <w:rPr>
          <w:lang w:val="zh-CN" w:eastAsia="zh-CN"/>
        </w:rPr>
        <w:t>）</w:t>
      </w:r>
      <w:r w:rsidRPr="00754682">
        <w:rPr>
          <w:lang w:val="zh-CN" w:eastAsia="zh-CN"/>
        </w:rPr>
        <w:t>正在制定的</w:t>
      </w:r>
      <w:r w:rsidR="00EE1CB7" w:rsidRPr="00EE1CB7">
        <w:rPr>
          <w:rFonts w:ascii="SimSun" w:hAnsi="SimSun"/>
          <w:lang w:val="zh-CN" w:eastAsia="zh-CN"/>
        </w:rPr>
        <w:t>“</w:t>
      </w:r>
      <w:r w:rsidRPr="00754682">
        <w:rPr>
          <w:lang w:val="zh-CN" w:eastAsia="zh-CN"/>
        </w:rPr>
        <w:t>成功案例</w:t>
      </w:r>
      <w:r w:rsidR="00EE1CB7" w:rsidRPr="00EE1CB7">
        <w:rPr>
          <w:rFonts w:ascii="SimSun" w:hAnsi="SimSun"/>
          <w:lang w:val="zh-CN" w:eastAsia="zh-CN"/>
        </w:rPr>
        <w:t>”</w:t>
      </w:r>
      <w:r w:rsidRPr="00754682">
        <w:rPr>
          <w:lang w:val="zh-CN" w:eastAsia="zh-CN"/>
        </w:rPr>
        <w:t>方法论，应有助于确定更多能够反映国际电联影响力的指标，同时有助于形成对标准互操作性影响的综合认识，而非仅是一套与具体标准相关的独立指标。</w:t>
      </w:r>
    </w:p>
    <w:p w14:paraId="417692A1" w14:textId="77777777" w:rsidR="00EE1CB7" w:rsidRDefault="00EE1CB7">
      <w:pPr>
        <w:tabs>
          <w:tab w:val="clear" w:pos="567"/>
          <w:tab w:val="clear" w:pos="1134"/>
          <w:tab w:val="clear" w:pos="1701"/>
          <w:tab w:val="clear" w:pos="2268"/>
          <w:tab w:val="clear" w:pos="2835"/>
        </w:tabs>
        <w:overflowPunct/>
        <w:autoSpaceDE/>
        <w:autoSpaceDN/>
        <w:adjustRightInd/>
        <w:spacing w:before="0"/>
        <w:textAlignment w:val="auto"/>
        <w:rPr>
          <w:lang w:val="zh-CN" w:eastAsia="zh-CN"/>
        </w:rPr>
      </w:pPr>
      <w:r>
        <w:rPr>
          <w:lang w:val="zh-CN" w:eastAsia="zh-CN"/>
        </w:rPr>
        <w:br w:type="page"/>
      </w:r>
    </w:p>
    <w:p w14:paraId="27E04FF8" w14:textId="7CE3FB7B" w:rsidR="008A526D" w:rsidRPr="00016914" w:rsidRDefault="008A526D" w:rsidP="00EE1CB7">
      <w:pPr>
        <w:spacing w:after="120"/>
        <w:ind w:firstLineChars="200" w:firstLine="480"/>
        <w:rPr>
          <w:lang w:eastAsia="zh-CN"/>
        </w:rPr>
      </w:pPr>
      <w:r>
        <w:rPr>
          <w:lang w:val="zh-CN" w:eastAsia="zh-CN"/>
        </w:rPr>
        <w:lastRenderedPageBreak/>
        <w:t>拟议的具体目标</w:t>
      </w:r>
      <w:r>
        <w:rPr>
          <w:rFonts w:hint="eastAsia"/>
          <w:lang w:val="zh-CN" w:eastAsia="zh-CN"/>
        </w:rPr>
        <w:t>指标</w:t>
      </w:r>
      <w:r>
        <w:rPr>
          <w:lang w:val="zh-CN" w:eastAsia="zh-CN"/>
        </w:rPr>
        <w:t>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7"/>
        <w:gridCol w:w="4818"/>
      </w:tblGrid>
      <w:tr w:rsidR="008A526D" w14:paraId="249C3685" w14:textId="77777777" w:rsidTr="00697EA0">
        <w:trPr>
          <w:trHeight w:val="98"/>
        </w:trPr>
        <w:tc>
          <w:tcPr>
            <w:tcW w:w="2500" w:type="pct"/>
          </w:tcPr>
          <w:p w14:paraId="6368A88B" w14:textId="77777777" w:rsidR="008A526D" w:rsidRPr="00D21C12" w:rsidRDefault="008A526D" w:rsidP="00697EA0">
            <w:pPr>
              <w:pStyle w:val="Tablehead"/>
            </w:pPr>
            <w:proofErr w:type="spellStart"/>
            <w:r>
              <w:rPr>
                <w:rFonts w:hint="eastAsia"/>
                <w:bCs/>
                <w:color w:val="000000"/>
                <w:lang w:val="zh-CN"/>
              </w:rPr>
              <w:t>具体</w:t>
            </w:r>
            <w:r>
              <w:rPr>
                <w:bCs/>
                <w:color w:val="000000"/>
                <w:lang w:val="zh-CN"/>
              </w:rPr>
              <w:t>目标</w:t>
            </w:r>
            <w:proofErr w:type="spellEnd"/>
          </w:p>
        </w:tc>
        <w:tc>
          <w:tcPr>
            <w:tcW w:w="2500" w:type="pct"/>
          </w:tcPr>
          <w:p w14:paraId="4116D954" w14:textId="77777777" w:rsidR="008A526D" w:rsidRDefault="008A526D" w:rsidP="00697EA0">
            <w:pPr>
              <w:pStyle w:val="Tablehead"/>
              <w:rPr>
                <w:rFonts w:cs="Calibri"/>
                <w:szCs w:val="22"/>
              </w:rPr>
            </w:pPr>
            <w:proofErr w:type="spellStart"/>
            <w:r w:rsidRPr="00754682">
              <w:rPr>
                <w:bCs/>
                <w:color w:val="000000"/>
                <w:lang w:val="zh-CN"/>
              </w:rPr>
              <w:t>具体目标指标</w:t>
            </w:r>
            <w:proofErr w:type="spellEnd"/>
          </w:p>
        </w:tc>
      </w:tr>
      <w:tr w:rsidR="008A526D" w14:paraId="0464A63C" w14:textId="77777777" w:rsidTr="00697EA0">
        <w:trPr>
          <w:trHeight w:val="98"/>
        </w:trPr>
        <w:tc>
          <w:tcPr>
            <w:tcW w:w="2500" w:type="pct"/>
          </w:tcPr>
          <w:p w14:paraId="17E45F57" w14:textId="77777777" w:rsidR="008A526D" w:rsidRPr="00282CCC" w:rsidRDefault="008A526D" w:rsidP="00697EA0">
            <w:pPr>
              <w:pStyle w:val="Tabletext"/>
              <w:rPr>
                <w:lang w:eastAsia="zh-CN"/>
              </w:rPr>
            </w:pPr>
            <w:r>
              <w:rPr>
                <w:color w:val="000000"/>
                <w:lang w:val="zh-CN" w:eastAsia="zh-CN"/>
              </w:rPr>
              <w:t>1.7</w:t>
            </w:r>
            <w:r>
              <w:rPr>
                <w:color w:val="000000"/>
                <w:lang w:val="zh-CN" w:eastAsia="zh-CN"/>
              </w:rPr>
              <w:t>：互操作性标准的影响</w:t>
            </w:r>
          </w:p>
        </w:tc>
        <w:tc>
          <w:tcPr>
            <w:tcW w:w="2500" w:type="pct"/>
          </w:tcPr>
          <w:p w14:paraId="2F2A49F9" w14:textId="5133AB72" w:rsidR="008A526D" w:rsidRDefault="008A526D" w:rsidP="00697EA0">
            <w:pPr>
              <w:pStyle w:val="Tabletext"/>
              <w:ind w:left="284" w:hanging="284"/>
              <w:rPr>
                <w:lang w:eastAsia="zh-CN"/>
              </w:rPr>
            </w:pPr>
            <w:r>
              <w:rPr>
                <w:color w:val="000000"/>
                <w:szCs w:val="22"/>
                <w:lang w:val="zh-CN" w:eastAsia="zh-CN"/>
              </w:rPr>
              <w:t>–</w:t>
            </w:r>
            <w:r w:rsidR="00EE1CB7">
              <w:rPr>
                <w:color w:val="000000"/>
                <w:szCs w:val="22"/>
                <w:lang w:val="zh-CN" w:eastAsia="zh-CN"/>
              </w:rPr>
              <w:tab/>
            </w:r>
            <w:r>
              <w:rPr>
                <w:color w:val="000000"/>
                <w:szCs w:val="22"/>
                <w:lang w:val="zh-CN" w:eastAsia="zh-CN"/>
              </w:rPr>
              <w:t>国际电联标准化编解码器承载的全球视频流量</w:t>
            </w:r>
            <w:r>
              <w:rPr>
                <w:lang w:eastAsia="zh-CN"/>
              </w:rPr>
              <w:t>占比</w:t>
            </w:r>
            <w:r>
              <w:rPr>
                <w:color w:val="000000"/>
                <w:szCs w:val="22"/>
                <w:lang w:val="zh-CN" w:eastAsia="zh-CN"/>
              </w:rPr>
              <w:t>（</w:t>
            </w:r>
            <w:r>
              <w:rPr>
                <w:color w:val="000000"/>
                <w:szCs w:val="22"/>
                <w:lang w:val="zh-CN" w:eastAsia="zh-CN"/>
              </w:rPr>
              <w:t>%</w:t>
            </w:r>
            <w:r>
              <w:rPr>
                <w:color w:val="000000"/>
                <w:szCs w:val="22"/>
                <w:lang w:val="zh-CN" w:eastAsia="zh-CN"/>
              </w:rPr>
              <w:t>）</w:t>
            </w:r>
          </w:p>
        </w:tc>
      </w:tr>
    </w:tbl>
    <w:p w14:paraId="11AA1F8E" w14:textId="4B46E3BE" w:rsidR="008A526D" w:rsidRPr="00072617" w:rsidRDefault="00C261A7" w:rsidP="00EE1CB7">
      <w:pPr>
        <w:spacing w:after="120"/>
        <w:ind w:firstLineChars="200" w:firstLine="480"/>
        <w:rPr>
          <w:lang w:eastAsia="zh-CN"/>
        </w:rPr>
      </w:pPr>
      <w:r>
        <w:rPr>
          <w:lang w:eastAsia="zh-CN"/>
        </w:rPr>
        <w:t>在开展磋商的过程中，秘书处还确定了以下</w:t>
      </w:r>
      <w:r w:rsidR="008A526D">
        <w:rPr>
          <w:szCs w:val="24"/>
          <w:lang w:val="zh-CN" w:eastAsia="zh-CN"/>
        </w:rPr>
        <w:t>前瞻性成果指标，供</w:t>
      </w:r>
      <w:r w:rsidR="008A526D">
        <w:rPr>
          <w:szCs w:val="24"/>
          <w:lang w:val="zh-CN" w:eastAsia="zh-CN"/>
        </w:rPr>
        <w:t>PP-26</w:t>
      </w:r>
      <w:r w:rsidR="008A526D">
        <w:rPr>
          <w:szCs w:val="24"/>
          <w:lang w:val="zh-CN" w:eastAsia="zh-CN"/>
        </w:rPr>
        <w:t>审议。曾经实现通用电话的同一编号系统</w:t>
      </w:r>
      <w:r w:rsidR="008A526D">
        <w:rPr>
          <w:rFonts w:hint="eastAsia"/>
          <w:szCs w:val="24"/>
          <w:lang w:val="zh-CN" w:eastAsia="zh-CN"/>
        </w:rPr>
        <w:t>，</w:t>
      </w:r>
      <w:r w:rsidR="008A526D">
        <w:rPr>
          <w:szCs w:val="24"/>
          <w:lang w:val="zh-CN" w:eastAsia="zh-CN"/>
        </w:rPr>
        <w:t>现在通过</w:t>
      </w:r>
      <w:r w:rsidR="008A526D">
        <w:rPr>
          <w:lang w:eastAsia="zh-CN"/>
        </w:rPr>
        <w:t>让卫星直接连接到地面网络无法覆盖区域的手机，</w:t>
      </w:r>
      <w:r w:rsidR="008A526D">
        <w:rPr>
          <w:szCs w:val="24"/>
          <w:lang w:val="zh-CN" w:eastAsia="zh-CN"/>
        </w:rPr>
        <w:t>扩展了连通性。</w:t>
      </w:r>
      <w:proofErr w:type="spellStart"/>
      <w:r w:rsidR="008A526D">
        <w:t>在此背景下，拟</w:t>
      </w:r>
      <w:r w:rsidR="008A526D">
        <w:rPr>
          <w:szCs w:val="24"/>
          <w:lang w:val="zh-CN"/>
        </w:rPr>
        <w:t>议</w:t>
      </w:r>
      <w:r w:rsidR="008A526D">
        <w:t>成果指标如下</w:t>
      </w:r>
      <w:proofErr w:type="spellEnd"/>
      <w:r w:rsidR="008A526D">
        <w:rPr>
          <w:rFonts w:ascii="SimSun" w:hAnsi="SimSun" w:cs="SimSun"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1"/>
        <w:gridCol w:w="3777"/>
        <w:gridCol w:w="3777"/>
      </w:tblGrid>
      <w:tr w:rsidR="008A526D" w:rsidRPr="008058A2" w14:paraId="1FE246F2" w14:textId="77777777" w:rsidTr="00697EA0">
        <w:trPr>
          <w:trHeight w:val="97"/>
        </w:trPr>
        <w:tc>
          <w:tcPr>
            <w:tcW w:w="1080" w:type="pct"/>
          </w:tcPr>
          <w:p w14:paraId="46893419" w14:textId="77777777" w:rsidR="008A526D" w:rsidRPr="00C76CA6" w:rsidRDefault="008A526D" w:rsidP="00697EA0">
            <w:pPr>
              <w:pStyle w:val="Tablehead"/>
            </w:pPr>
            <w:proofErr w:type="spellStart"/>
            <w:r>
              <w:rPr>
                <w:bCs/>
                <w:color w:val="000000"/>
                <w:lang w:val="zh-CN"/>
              </w:rPr>
              <w:t>重点工作</w:t>
            </w:r>
            <w:proofErr w:type="spellEnd"/>
          </w:p>
        </w:tc>
        <w:tc>
          <w:tcPr>
            <w:tcW w:w="1960" w:type="pct"/>
          </w:tcPr>
          <w:p w14:paraId="18A06EB0" w14:textId="77777777" w:rsidR="008A526D" w:rsidRPr="00C76CA6" w:rsidRDefault="008A526D" w:rsidP="00697EA0">
            <w:pPr>
              <w:pStyle w:val="Tablehead"/>
            </w:pPr>
            <w:proofErr w:type="spellStart"/>
            <w:r>
              <w:rPr>
                <w:color w:val="000000"/>
                <w:lang w:val="zh-CN"/>
              </w:rPr>
              <w:t>成果</w:t>
            </w:r>
            <w:proofErr w:type="spellEnd"/>
          </w:p>
        </w:tc>
        <w:tc>
          <w:tcPr>
            <w:tcW w:w="1960" w:type="pct"/>
          </w:tcPr>
          <w:p w14:paraId="5DC313FA" w14:textId="77777777" w:rsidR="008A526D" w:rsidRPr="00C76CA6" w:rsidRDefault="008A526D" w:rsidP="00697EA0">
            <w:pPr>
              <w:pStyle w:val="Tablehead"/>
            </w:pPr>
            <w:proofErr w:type="spellStart"/>
            <w:r>
              <w:rPr>
                <w:bCs/>
                <w:color w:val="000000"/>
                <w:lang w:val="zh-CN"/>
              </w:rPr>
              <w:t>成果指标</w:t>
            </w:r>
            <w:proofErr w:type="spellEnd"/>
          </w:p>
        </w:tc>
      </w:tr>
      <w:tr w:rsidR="008A526D" w:rsidRPr="008058A2" w14:paraId="16345DF3" w14:textId="77777777" w:rsidTr="00697EA0">
        <w:trPr>
          <w:trHeight w:val="97"/>
        </w:trPr>
        <w:tc>
          <w:tcPr>
            <w:tcW w:w="1080" w:type="pct"/>
          </w:tcPr>
          <w:p w14:paraId="46C885AF" w14:textId="77777777" w:rsidR="008A526D" w:rsidRPr="00C76CA6" w:rsidRDefault="008A526D" w:rsidP="00697EA0">
            <w:pPr>
              <w:pStyle w:val="Tabletext"/>
              <w:rPr>
                <w:b/>
                <w:bCs/>
                <w:lang w:eastAsia="zh-CN"/>
              </w:rPr>
            </w:pPr>
            <w:r>
              <w:rPr>
                <w:b/>
                <w:bCs/>
                <w:color w:val="000000"/>
                <w:lang w:val="zh-CN" w:eastAsia="zh-CN"/>
              </w:rPr>
              <w:t>全球电信</w:t>
            </w:r>
            <w:r>
              <w:rPr>
                <w:b/>
                <w:bCs/>
                <w:color w:val="000000"/>
                <w:lang w:val="zh-CN" w:eastAsia="zh-CN"/>
              </w:rPr>
              <w:t>/ICT</w:t>
            </w:r>
            <w:r>
              <w:rPr>
                <w:b/>
                <w:bCs/>
                <w:color w:val="000000"/>
                <w:lang w:val="zh-CN" w:eastAsia="zh-CN"/>
              </w:rPr>
              <w:t>互操作性和创新</w:t>
            </w:r>
          </w:p>
        </w:tc>
        <w:tc>
          <w:tcPr>
            <w:tcW w:w="1960" w:type="pct"/>
          </w:tcPr>
          <w:p w14:paraId="15BD6743" w14:textId="6611F950" w:rsidR="008A526D" w:rsidRPr="00072617" w:rsidRDefault="008A526D" w:rsidP="00697EA0">
            <w:pPr>
              <w:pStyle w:val="Tabletext"/>
              <w:ind w:left="284" w:hanging="284"/>
              <w:rPr>
                <w:lang w:eastAsia="zh-CN"/>
              </w:rPr>
            </w:pPr>
            <w:r>
              <w:rPr>
                <w:color w:val="000000"/>
                <w:lang w:val="zh-CN" w:eastAsia="zh-CN"/>
              </w:rPr>
              <w:t>–</w:t>
            </w:r>
            <w:r w:rsidR="00EE1CB7">
              <w:rPr>
                <w:color w:val="000000"/>
                <w:lang w:val="zh-CN" w:eastAsia="zh-CN"/>
              </w:rPr>
              <w:tab/>
            </w:r>
            <w:r>
              <w:rPr>
                <w:color w:val="000000"/>
                <w:lang w:val="zh-CN" w:eastAsia="zh-CN"/>
              </w:rPr>
              <w:t>提升全球电信网络和服务的性能、可靠性和协调性</w:t>
            </w:r>
          </w:p>
        </w:tc>
        <w:tc>
          <w:tcPr>
            <w:tcW w:w="1960" w:type="pct"/>
          </w:tcPr>
          <w:p w14:paraId="1E2F4345" w14:textId="5A965DBC" w:rsidR="008A526D" w:rsidRPr="00072617" w:rsidRDefault="008A526D" w:rsidP="00697EA0">
            <w:pPr>
              <w:pStyle w:val="Tabletext"/>
              <w:ind w:left="284" w:hanging="284"/>
              <w:rPr>
                <w:lang w:eastAsia="zh-CN"/>
              </w:rPr>
            </w:pPr>
            <w:r>
              <w:rPr>
                <w:color w:val="000000"/>
                <w:lang w:val="zh-CN" w:eastAsia="zh-CN"/>
              </w:rPr>
              <w:t>–</w:t>
            </w:r>
            <w:r w:rsidR="00EE1CB7">
              <w:rPr>
                <w:color w:val="000000"/>
                <w:lang w:val="zh-CN" w:eastAsia="zh-CN"/>
              </w:rPr>
              <w:tab/>
            </w:r>
            <w:r>
              <w:rPr>
                <w:color w:val="000000"/>
                <w:lang w:val="zh-CN" w:eastAsia="zh-CN"/>
              </w:rPr>
              <w:t>每年使用国际电联国际编号的新的物联网、卫星和新兴业务网络的数量</w:t>
            </w:r>
          </w:p>
        </w:tc>
      </w:tr>
    </w:tbl>
    <w:p w14:paraId="1960D53A" w14:textId="77777777" w:rsidR="008A526D" w:rsidRDefault="008A526D" w:rsidP="00411C49">
      <w:pPr>
        <w:pStyle w:val="Reasons"/>
        <w:rPr>
          <w:lang w:eastAsia="zh-CN"/>
        </w:rPr>
      </w:pPr>
    </w:p>
    <w:p w14:paraId="25E2C918" w14:textId="75912BD0" w:rsidR="00476923" w:rsidRPr="008A526D" w:rsidRDefault="008A526D" w:rsidP="008A526D">
      <w:pPr>
        <w:jc w:val="center"/>
      </w:pPr>
      <w:r>
        <w:t>______________</w:t>
      </w:r>
    </w:p>
    <w:sectPr w:rsidR="00476923" w:rsidRPr="008A526D" w:rsidSect="00BA20B6">
      <w:headerReference w:type="default" r:id="rId7"/>
      <w:footerReference w:type="first" r:id="rId8"/>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26300" w14:textId="77777777" w:rsidR="00602EA1" w:rsidRDefault="00602EA1">
      <w:r>
        <w:separator/>
      </w:r>
    </w:p>
  </w:endnote>
  <w:endnote w:type="continuationSeparator" w:id="0">
    <w:p w14:paraId="65B080D5" w14:textId="77777777" w:rsidR="00602EA1" w:rsidRDefault="00602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4B7" w14:textId="5177D3D7" w:rsidR="007B558F" w:rsidRPr="005E2FA1" w:rsidRDefault="003907C4" w:rsidP="005E2FA1">
    <w:pPr>
      <w:pStyle w:val="firstfooter0"/>
      <w:spacing w:before="0" w:beforeAutospacing="0" w:after="0" w:afterAutospacing="0"/>
      <w:jc w:val="center"/>
      <w:rPr>
        <w:sz w:val="18"/>
        <w:szCs w:val="18"/>
      </w:rPr>
    </w:pPr>
    <w:r>
      <w:rPr>
        <w:rFonts w:ascii="Symbol" w:hAnsi="Symbol"/>
        <w:sz w:val="22"/>
        <w:szCs w:val="20"/>
        <w:lang w:val="en-GB"/>
      </w:rPr>
      <w:t></w:t>
    </w:r>
    <w:r w:rsidRPr="00C95D5A">
      <w:rPr>
        <w:color w:val="00A3E0"/>
        <w:sz w:val="20"/>
        <w:szCs w:val="20"/>
        <w:lang w:val="en-GB"/>
      </w:rPr>
      <w:t xml:space="preserve"> </w:t>
    </w:r>
    <w:hyperlink r:id="rId1" w:history="1">
      <w:proofErr w:type="spellStart"/>
      <w:r w:rsidR="00A164FF" w:rsidRPr="00C95D5A">
        <w:rPr>
          <w:rStyle w:val="Hyperlink"/>
          <w:color w:val="00A3E0"/>
          <w:sz w:val="22"/>
          <w:szCs w:val="22"/>
          <w:lang w:val="en-GB"/>
        </w:rPr>
        <w:t>www.itu.int</w:t>
      </w:r>
      <w:proofErr w:type="spellEnd"/>
      <w:r w:rsidR="00A164FF" w:rsidRPr="00C95D5A">
        <w:rPr>
          <w:rStyle w:val="Hyperlink"/>
          <w:color w:val="00A3E0"/>
          <w:sz w:val="22"/>
          <w:szCs w:val="22"/>
          <w:lang w:val="en-GB"/>
        </w:rPr>
        <w:t>/plenipotentiary/</w:t>
      </w:r>
    </w:hyperlink>
    <w:r w:rsidR="00A164FF">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9FDB0" w14:textId="77777777" w:rsidR="00602EA1" w:rsidRDefault="00602EA1">
      <w:r>
        <w:t>____________________</w:t>
      </w:r>
    </w:p>
  </w:footnote>
  <w:footnote w:type="continuationSeparator" w:id="0">
    <w:p w14:paraId="52357A3B" w14:textId="77777777" w:rsidR="00602EA1" w:rsidRDefault="00602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253B" w14:textId="77777777" w:rsidR="00FC2542" w:rsidRDefault="00FC2542" w:rsidP="00FC2542">
    <w:pPr>
      <w:pStyle w:val="Header"/>
    </w:pPr>
    <w:r>
      <w:fldChar w:fldCharType="begin"/>
    </w:r>
    <w:r>
      <w:instrText xml:space="preserve"> PAGE </w:instrText>
    </w:r>
    <w:r>
      <w:fldChar w:fldCharType="separate"/>
    </w:r>
    <w:r w:rsidR="00BE6E86">
      <w:rPr>
        <w:noProof/>
      </w:rPr>
      <w:t>2</w:t>
    </w:r>
    <w:r>
      <w:fldChar w:fldCharType="end"/>
    </w:r>
  </w:p>
  <w:p w14:paraId="29A11B88" w14:textId="3C50535A" w:rsidR="00C710E5" w:rsidRPr="00FC2542" w:rsidRDefault="00FC2542" w:rsidP="00FC2542">
    <w:pPr>
      <w:pStyle w:val="Header"/>
    </w:pPr>
    <w:proofErr w:type="spellStart"/>
    <w:r>
      <w:t>PP</w:t>
    </w:r>
    <w:r w:rsidR="002554F9">
      <w:t>2</w:t>
    </w:r>
    <w:r w:rsidR="00C95D5A">
      <w:t>6</w:t>
    </w:r>
    <w:proofErr w:type="spellEnd"/>
    <w:r>
      <w:t>/</w:t>
    </w:r>
    <w:r w:rsidR="004B4EAF">
      <w:rPr>
        <w:lang w:eastAsia="zh-CN"/>
      </w:rPr>
      <w:t>33</w:t>
    </w:r>
    <w:r w:rsidR="005B5073">
      <w:t>-C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542"/>
    <w:rsid w:val="000105A6"/>
    <w:rsid w:val="000134DB"/>
    <w:rsid w:val="00014808"/>
    <w:rsid w:val="000155E6"/>
    <w:rsid w:val="00040A47"/>
    <w:rsid w:val="00057B6E"/>
    <w:rsid w:val="00076062"/>
    <w:rsid w:val="00086663"/>
    <w:rsid w:val="00090132"/>
    <w:rsid w:val="0009673E"/>
    <w:rsid w:val="000C0900"/>
    <w:rsid w:val="000C2D61"/>
    <w:rsid w:val="000C4701"/>
    <w:rsid w:val="000E4C7A"/>
    <w:rsid w:val="000F68C6"/>
    <w:rsid w:val="00124C8F"/>
    <w:rsid w:val="00125484"/>
    <w:rsid w:val="00126FE1"/>
    <w:rsid w:val="0013327E"/>
    <w:rsid w:val="00137909"/>
    <w:rsid w:val="0014254A"/>
    <w:rsid w:val="00167FD3"/>
    <w:rsid w:val="00171990"/>
    <w:rsid w:val="00171B68"/>
    <w:rsid w:val="0018210B"/>
    <w:rsid w:val="001A0EEB"/>
    <w:rsid w:val="001A4A66"/>
    <w:rsid w:val="001B25D1"/>
    <w:rsid w:val="001C0E01"/>
    <w:rsid w:val="001E421B"/>
    <w:rsid w:val="001F0B24"/>
    <w:rsid w:val="002043DD"/>
    <w:rsid w:val="002155B0"/>
    <w:rsid w:val="00226B70"/>
    <w:rsid w:val="00231ABC"/>
    <w:rsid w:val="002329BA"/>
    <w:rsid w:val="00235FAD"/>
    <w:rsid w:val="00241DDB"/>
    <w:rsid w:val="002503DE"/>
    <w:rsid w:val="002554F9"/>
    <w:rsid w:val="002578B4"/>
    <w:rsid w:val="00287167"/>
    <w:rsid w:val="002A0F5C"/>
    <w:rsid w:val="002A2125"/>
    <w:rsid w:val="002B39F5"/>
    <w:rsid w:val="002D61D7"/>
    <w:rsid w:val="002E37AF"/>
    <w:rsid w:val="00307225"/>
    <w:rsid w:val="0031063C"/>
    <w:rsid w:val="00320A1D"/>
    <w:rsid w:val="00345493"/>
    <w:rsid w:val="003477D4"/>
    <w:rsid w:val="003614CE"/>
    <w:rsid w:val="00375BBA"/>
    <w:rsid w:val="003760D8"/>
    <w:rsid w:val="00383A29"/>
    <w:rsid w:val="0038484C"/>
    <w:rsid w:val="0038575F"/>
    <w:rsid w:val="00387EA2"/>
    <w:rsid w:val="003907C4"/>
    <w:rsid w:val="00393F4C"/>
    <w:rsid w:val="00395CE4"/>
    <w:rsid w:val="003A33F1"/>
    <w:rsid w:val="003B635E"/>
    <w:rsid w:val="003B74F0"/>
    <w:rsid w:val="004014B0"/>
    <w:rsid w:val="00414872"/>
    <w:rsid w:val="00415EFC"/>
    <w:rsid w:val="00426AC1"/>
    <w:rsid w:val="0045019C"/>
    <w:rsid w:val="004676C0"/>
    <w:rsid w:val="00476923"/>
    <w:rsid w:val="00476CAF"/>
    <w:rsid w:val="00485E71"/>
    <w:rsid w:val="00496567"/>
    <w:rsid w:val="00497449"/>
    <w:rsid w:val="004B4EAF"/>
    <w:rsid w:val="004C1BA4"/>
    <w:rsid w:val="004C2CF2"/>
    <w:rsid w:val="004D3182"/>
    <w:rsid w:val="005061F9"/>
    <w:rsid w:val="00517E65"/>
    <w:rsid w:val="00521AD4"/>
    <w:rsid w:val="005356FD"/>
    <w:rsid w:val="00536819"/>
    <w:rsid w:val="00542073"/>
    <w:rsid w:val="00552389"/>
    <w:rsid w:val="00552BA5"/>
    <w:rsid w:val="00554E24"/>
    <w:rsid w:val="00564B8D"/>
    <w:rsid w:val="00567130"/>
    <w:rsid w:val="00596A53"/>
    <w:rsid w:val="005A6A1D"/>
    <w:rsid w:val="005B5073"/>
    <w:rsid w:val="005C1E39"/>
    <w:rsid w:val="005C260B"/>
    <w:rsid w:val="005E2FA1"/>
    <w:rsid w:val="005E42A1"/>
    <w:rsid w:val="005E4794"/>
    <w:rsid w:val="005F67CE"/>
    <w:rsid w:val="00602EA1"/>
    <w:rsid w:val="00617BE4"/>
    <w:rsid w:val="00617D11"/>
    <w:rsid w:val="00622189"/>
    <w:rsid w:val="00645AE3"/>
    <w:rsid w:val="006471F0"/>
    <w:rsid w:val="00663BAC"/>
    <w:rsid w:val="006707E1"/>
    <w:rsid w:val="0067125A"/>
    <w:rsid w:val="00680265"/>
    <w:rsid w:val="006857B7"/>
    <w:rsid w:val="006A0092"/>
    <w:rsid w:val="006E57C8"/>
    <w:rsid w:val="006E6BA4"/>
    <w:rsid w:val="006F0211"/>
    <w:rsid w:val="00703714"/>
    <w:rsid w:val="0071586F"/>
    <w:rsid w:val="00722343"/>
    <w:rsid w:val="007235A4"/>
    <w:rsid w:val="0073319E"/>
    <w:rsid w:val="00733EC9"/>
    <w:rsid w:val="00750078"/>
    <w:rsid w:val="00750829"/>
    <w:rsid w:val="00754189"/>
    <w:rsid w:val="007649C2"/>
    <w:rsid w:val="007667DE"/>
    <w:rsid w:val="00770CF8"/>
    <w:rsid w:val="007917DE"/>
    <w:rsid w:val="007A5031"/>
    <w:rsid w:val="007B558F"/>
    <w:rsid w:val="007C4DC3"/>
    <w:rsid w:val="00814482"/>
    <w:rsid w:val="008160BF"/>
    <w:rsid w:val="00822B41"/>
    <w:rsid w:val="008433E4"/>
    <w:rsid w:val="00850AEF"/>
    <w:rsid w:val="008652E7"/>
    <w:rsid w:val="008726C7"/>
    <w:rsid w:val="00873D04"/>
    <w:rsid w:val="008A4729"/>
    <w:rsid w:val="008A526D"/>
    <w:rsid w:val="008B44F5"/>
    <w:rsid w:val="008D3BE2"/>
    <w:rsid w:val="008D3DBF"/>
    <w:rsid w:val="008D7300"/>
    <w:rsid w:val="008E2996"/>
    <w:rsid w:val="008E4324"/>
    <w:rsid w:val="008E45D4"/>
    <w:rsid w:val="008E6AE7"/>
    <w:rsid w:val="008E6BC6"/>
    <w:rsid w:val="00904E65"/>
    <w:rsid w:val="00905B6A"/>
    <w:rsid w:val="00926D8A"/>
    <w:rsid w:val="009361C2"/>
    <w:rsid w:val="00950E0F"/>
    <w:rsid w:val="0095344B"/>
    <w:rsid w:val="00966EBB"/>
    <w:rsid w:val="0099173A"/>
    <w:rsid w:val="009A47A2"/>
    <w:rsid w:val="009B58F3"/>
    <w:rsid w:val="009C4B97"/>
    <w:rsid w:val="009D1E93"/>
    <w:rsid w:val="009D6EA5"/>
    <w:rsid w:val="009E7266"/>
    <w:rsid w:val="00A03693"/>
    <w:rsid w:val="00A164FF"/>
    <w:rsid w:val="00A23536"/>
    <w:rsid w:val="00A25039"/>
    <w:rsid w:val="00A6085C"/>
    <w:rsid w:val="00A62DA7"/>
    <w:rsid w:val="00A74532"/>
    <w:rsid w:val="00A865E4"/>
    <w:rsid w:val="00AB190D"/>
    <w:rsid w:val="00AC07C0"/>
    <w:rsid w:val="00AC79BA"/>
    <w:rsid w:val="00AD1198"/>
    <w:rsid w:val="00AD2C62"/>
    <w:rsid w:val="00AE49B9"/>
    <w:rsid w:val="00AF45E1"/>
    <w:rsid w:val="00AF63A0"/>
    <w:rsid w:val="00B04E59"/>
    <w:rsid w:val="00B05785"/>
    <w:rsid w:val="00B11373"/>
    <w:rsid w:val="00B15AF8"/>
    <w:rsid w:val="00B1733E"/>
    <w:rsid w:val="00B23943"/>
    <w:rsid w:val="00B60A63"/>
    <w:rsid w:val="00B6221D"/>
    <w:rsid w:val="00B650EC"/>
    <w:rsid w:val="00B96F78"/>
    <w:rsid w:val="00BA154E"/>
    <w:rsid w:val="00BA20B6"/>
    <w:rsid w:val="00BC71FE"/>
    <w:rsid w:val="00BE2CDC"/>
    <w:rsid w:val="00BE6E86"/>
    <w:rsid w:val="00BF720B"/>
    <w:rsid w:val="00C02B7F"/>
    <w:rsid w:val="00C04511"/>
    <w:rsid w:val="00C101EE"/>
    <w:rsid w:val="00C16846"/>
    <w:rsid w:val="00C16AC0"/>
    <w:rsid w:val="00C2081C"/>
    <w:rsid w:val="00C261A7"/>
    <w:rsid w:val="00C40FEE"/>
    <w:rsid w:val="00C47D1C"/>
    <w:rsid w:val="00C561F1"/>
    <w:rsid w:val="00C710E5"/>
    <w:rsid w:val="00C73FA3"/>
    <w:rsid w:val="00C74FED"/>
    <w:rsid w:val="00C925D8"/>
    <w:rsid w:val="00C948C8"/>
    <w:rsid w:val="00C95D5A"/>
    <w:rsid w:val="00CA38C9"/>
    <w:rsid w:val="00CA401B"/>
    <w:rsid w:val="00CB1CAA"/>
    <w:rsid w:val="00CB57E1"/>
    <w:rsid w:val="00CB66EF"/>
    <w:rsid w:val="00CE40BB"/>
    <w:rsid w:val="00CF05C0"/>
    <w:rsid w:val="00D2057D"/>
    <w:rsid w:val="00D215E8"/>
    <w:rsid w:val="00D527E2"/>
    <w:rsid w:val="00D57C64"/>
    <w:rsid w:val="00D65220"/>
    <w:rsid w:val="00D6661D"/>
    <w:rsid w:val="00D70FF1"/>
    <w:rsid w:val="00D82A9F"/>
    <w:rsid w:val="00D97614"/>
    <w:rsid w:val="00DA3229"/>
    <w:rsid w:val="00DD26B1"/>
    <w:rsid w:val="00DF23FC"/>
    <w:rsid w:val="00DF39CD"/>
    <w:rsid w:val="00DF51DD"/>
    <w:rsid w:val="00E121F2"/>
    <w:rsid w:val="00E12CDA"/>
    <w:rsid w:val="00E26F09"/>
    <w:rsid w:val="00E54C8F"/>
    <w:rsid w:val="00E56E57"/>
    <w:rsid w:val="00E749DA"/>
    <w:rsid w:val="00E87E9D"/>
    <w:rsid w:val="00EE1CB7"/>
    <w:rsid w:val="00EF2642"/>
    <w:rsid w:val="00EF3681"/>
    <w:rsid w:val="00EF5523"/>
    <w:rsid w:val="00F00FD0"/>
    <w:rsid w:val="00F015B4"/>
    <w:rsid w:val="00F02A26"/>
    <w:rsid w:val="00F20BC2"/>
    <w:rsid w:val="00F24F0A"/>
    <w:rsid w:val="00F342E4"/>
    <w:rsid w:val="00F402DC"/>
    <w:rsid w:val="00F44613"/>
    <w:rsid w:val="00F574D8"/>
    <w:rsid w:val="00FC2542"/>
    <w:rsid w:val="00FC53DB"/>
    <w:rsid w:val="00FC63DE"/>
    <w:rsid w:val="00FD7B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8CC11"/>
  <w15:docId w15:val="{A290DDB0-B53E-4961-8AAD-D2BBBF900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90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eastAsia="SimSun" w:hAnsi="Calibri"/>
      <w:sz w:val="24"/>
      <w:lang w:val="en-GB" w:eastAsia="en-US"/>
    </w:rPr>
  </w:style>
  <w:style w:type="paragraph" w:styleId="Heading1">
    <w:name w:val="heading 1"/>
    <w:basedOn w:val="Normal"/>
    <w:next w:val="Normal"/>
    <w:qFormat/>
    <w:rsid w:val="00AD1198"/>
    <w:pPr>
      <w:keepNext/>
      <w:keepLines/>
      <w:spacing w:before="480"/>
      <w:ind w:left="567" w:hanging="567"/>
      <w:outlineLvl w:val="0"/>
    </w:pPr>
    <w:rPr>
      <w:b/>
      <w:sz w:val="28"/>
    </w:rPr>
  </w:style>
  <w:style w:type="paragraph" w:styleId="Heading2">
    <w:name w:val="heading 2"/>
    <w:basedOn w:val="Heading1"/>
    <w:next w:val="Normal"/>
    <w:qFormat/>
    <w:rsid w:val="00B15AF8"/>
    <w:pPr>
      <w:spacing w:before="320"/>
      <w:outlineLvl w:val="1"/>
    </w:pPr>
    <w:rPr>
      <w:sz w:val="24"/>
    </w:rPr>
  </w:style>
  <w:style w:type="paragraph" w:styleId="Heading3">
    <w:name w:val="heading 3"/>
    <w:basedOn w:val="Heading1"/>
    <w:next w:val="Normal"/>
    <w:qFormat/>
    <w:rsid w:val="00B15AF8"/>
    <w:pPr>
      <w:spacing w:before="200"/>
      <w:outlineLvl w:val="2"/>
    </w:pPr>
    <w:rPr>
      <w:sz w:val="24"/>
    </w:rPr>
  </w:style>
  <w:style w:type="paragraph" w:styleId="Heading4">
    <w:name w:val="heading 4"/>
    <w:basedOn w:val="Heading3"/>
    <w:next w:val="Normal"/>
    <w:qFormat/>
    <w:rsid w:val="00B15AF8"/>
    <w:pPr>
      <w:ind w:left="1134" w:hanging="1134"/>
      <w:outlineLvl w:val="3"/>
    </w:pPr>
  </w:style>
  <w:style w:type="paragraph" w:styleId="Heading5">
    <w:name w:val="heading 5"/>
    <w:basedOn w:val="Heading4"/>
    <w:next w:val="Normal"/>
    <w:qFormat/>
    <w:rsid w:val="00B15AF8"/>
    <w:pPr>
      <w:outlineLvl w:val="4"/>
    </w:pPr>
  </w:style>
  <w:style w:type="paragraph" w:styleId="Heading6">
    <w:name w:val="heading 6"/>
    <w:basedOn w:val="Heading4"/>
    <w:next w:val="Normal"/>
    <w:qFormat/>
    <w:rsid w:val="00B15AF8"/>
    <w:pPr>
      <w:outlineLvl w:val="5"/>
    </w:pPr>
  </w:style>
  <w:style w:type="paragraph" w:styleId="Heading7">
    <w:name w:val="heading 7"/>
    <w:basedOn w:val="Heading4"/>
    <w:next w:val="Normal"/>
    <w:qFormat/>
    <w:rsid w:val="00B15AF8"/>
    <w:pPr>
      <w:ind w:left="1701" w:hanging="1701"/>
      <w:outlineLvl w:val="6"/>
    </w:pPr>
  </w:style>
  <w:style w:type="paragraph" w:styleId="Heading8">
    <w:name w:val="heading 8"/>
    <w:basedOn w:val="Heading4"/>
    <w:next w:val="Normal"/>
    <w:qFormat/>
    <w:rsid w:val="00B15AF8"/>
    <w:pPr>
      <w:ind w:left="1701" w:hanging="1701"/>
      <w:outlineLvl w:val="7"/>
    </w:pPr>
  </w:style>
  <w:style w:type="paragraph" w:styleId="Heading9">
    <w:name w:val="heading 9"/>
    <w:basedOn w:val="Heading4"/>
    <w:next w:val="Normal"/>
    <w:qFormat/>
    <w:rsid w:val="00B15AF8"/>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B15AF8"/>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B15AF8"/>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B15AF8"/>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rsid w:val="00B15AF8"/>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D1198"/>
    <w:rPr>
      <w:rFonts w:ascii="Calibri" w:hAnsi="Calibri"/>
      <w:position w:val="6"/>
      <w:sz w:val="16"/>
    </w:rPr>
  </w:style>
  <w:style w:type="paragraph" w:styleId="FootnoteText">
    <w:name w:val="footnote text"/>
    <w:basedOn w:val="Normal"/>
    <w:rsid w:val="00B15AF8"/>
    <w:pPr>
      <w:keepLines/>
      <w:tabs>
        <w:tab w:val="left" w:pos="256"/>
      </w:tabs>
      <w:ind w:left="256" w:hanging="256"/>
    </w:pPr>
  </w:style>
  <w:style w:type="paragraph" w:styleId="NormalIndent">
    <w:name w:val="Normal Indent"/>
    <w:basedOn w:val="Normal"/>
    <w:rsid w:val="00B15AF8"/>
    <w:pPr>
      <w:ind w:left="567"/>
    </w:pPr>
  </w:style>
  <w:style w:type="paragraph" w:customStyle="1" w:styleId="Tablelegend">
    <w:name w:val="Table_legend"/>
    <w:basedOn w:val="Tabletext"/>
    <w:rsid w:val="00B15AF8"/>
    <w:pPr>
      <w:spacing w:before="120"/>
    </w:pPr>
  </w:style>
  <w:style w:type="paragraph" w:customStyle="1" w:styleId="Tabletext">
    <w:name w:val="Table_text"/>
    <w:basedOn w:val="Normal"/>
    <w:rsid w:val="00B15AF8"/>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B15AF8"/>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B15AF8"/>
    <w:pPr>
      <w:keepNext/>
      <w:spacing w:before="560" w:after="120"/>
      <w:jc w:val="center"/>
    </w:pPr>
    <w:rPr>
      <w:caps/>
    </w:rPr>
  </w:style>
  <w:style w:type="paragraph" w:customStyle="1" w:styleId="enumlev1">
    <w:name w:val="enumlev1"/>
    <w:basedOn w:val="Normal"/>
    <w:rsid w:val="00B15AF8"/>
    <w:pPr>
      <w:spacing w:before="86"/>
      <w:ind w:left="567" w:hanging="567"/>
    </w:pPr>
  </w:style>
  <w:style w:type="paragraph" w:customStyle="1" w:styleId="enumlev2">
    <w:name w:val="enumlev2"/>
    <w:basedOn w:val="enumlev1"/>
    <w:rsid w:val="00B15AF8"/>
    <w:pPr>
      <w:ind w:left="1134"/>
    </w:pPr>
  </w:style>
  <w:style w:type="paragraph" w:customStyle="1" w:styleId="enumlev3">
    <w:name w:val="enumlev3"/>
    <w:basedOn w:val="enumlev2"/>
    <w:rsid w:val="00B15AF8"/>
    <w:pPr>
      <w:ind w:left="1701"/>
    </w:pPr>
  </w:style>
  <w:style w:type="paragraph" w:customStyle="1" w:styleId="Tablehead">
    <w:name w:val="Table_head"/>
    <w:basedOn w:val="Tabletext"/>
    <w:rsid w:val="00B15AF8"/>
    <w:pPr>
      <w:spacing w:before="120" w:after="120"/>
      <w:jc w:val="center"/>
    </w:pPr>
    <w:rPr>
      <w:b/>
    </w:rPr>
  </w:style>
  <w:style w:type="paragraph" w:customStyle="1" w:styleId="Normalaftertitle">
    <w:name w:val="Normal after title"/>
    <w:basedOn w:val="Normal"/>
    <w:next w:val="Normal"/>
    <w:rsid w:val="00B15AF8"/>
    <w:pPr>
      <w:spacing w:before="240"/>
    </w:pPr>
  </w:style>
  <w:style w:type="paragraph" w:customStyle="1" w:styleId="AnnexNo">
    <w:name w:val="Annex_No"/>
    <w:basedOn w:val="Normal"/>
    <w:next w:val="Annexref"/>
    <w:rsid w:val="00B15AF8"/>
    <w:pPr>
      <w:spacing w:before="720"/>
      <w:jc w:val="center"/>
    </w:pPr>
    <w:rPr>
      <w:caps/>
      <w:sz w:val="28"/>
    </w:rPr>
  </w:style>
  <w:style w:type="paragraph" w:customStyle="1" w:styleId="Annexref">
    <w:name w:val="Annex_ref"/>
    <w:basedOn w:val="Normal"/>
    <w:next w:val="Annextitle"/>
    <w:rsid w:val="00B15AF8"/>
    <w:pPr>
      <w:jc w:val="center"/>
    </w:pPr>
  </w:style>
  <w:style w:type="paragraph" w:customStyle="1" w:styleId="Annextitle">
    <w:name w:val="Annex_title"/>
    <w:basedOn w:val="Normal"/>
    <w:next w:val="Normal"/>
    <w:rsid w:val="00B15AF8"/>
    <w:pPr>
      <w:spacing w:before="240" w:after="240"/>
      <w:jc w:val="center"/>
    </w:pPr>
    <w:rPr>
      <w:b/>
      <w:sz w:val="28"/>
    </w:rPr>
  </w:style>
  <w:style w:type="paragraph" w:customStyle="1" w:styleId="AppendixNo">
    <w:name w:val="Appendix_No"/>
    <w:basedOn w:val="AnnexNo"/>
    <w:next w:val="Appendixref"/>
    <w:rsid w:val="00B15AF8"/>
  </w:style>
  <w:style w:type="paragraph" w:customStyle="1" w:styleId="Appendixref">
    <w:name w:val="Appendix_ref"/>
    <w:basedOn w:val="Annexref"/>
    <w:next w:val="Appendixtitle"/>
    <w:rsid w:val="00B15AF8"/>
  </w:style>
  <w:style w:type="paragraph" w:customStyle="1" w:styleId="Appendixtitle">
    <w:name w:val="Appendix_title"/>
    <w:basedOn w:val="Annextitle"/>
    <w:next w:val="Normal"/>
    <w:rsid w:val="00B15AF8"/>
  </w:style>
  <w:style w:type="paragraph" w:customStyle="1" w:styleId="Reftitle">
    <w:name w:val="Ref_title"/>
    <w:basedOn w:val="Normal"/>
    <w:next w:val="Reftext"/>
    <w:rsid w:val="00B15AF8"/>
    <w:pPr>
      <w:spacing w:before="480"/>
      <w:jc w:val="center"/>
    </w:pPr>
    <w:rPr>
      <w:caps/>
      <w:sz w:val="28"/>
    </w:rPr>
  </w:style>
  <w:style w:type="paragraph" w:customStyle="1" w:styleId="Reftext">
    <w:name w:val="Ref_text"/>
    <w:basedOn w:val="Normal"/>
    <w:rsid w:val="00B15AF8"/>
    <w:pPr>
      <w:ind w:left="567" w:hanging="567"/>
    </w:pPr>
  </w:style>
  <w:style w:type="paragraph" w:customStyle="1" w:styleId="Rectitle">
    <w:name w:val="Rec_title"/>
    <w:basedOn w:val="Normal"/>
    <w:next w:val="Heading1"/>
    <w:rsid w:val="00AD1198"/>
    <w:pPr>
      <w:spacing w:before="240"/>
      <w:jc w:val="center"/>
    </w:pPr>
    <w:rPr>
      <w:b/>
      <w:sz w:val="28"/>
    </w:rPr>
  </w:style>
  <w:style w:type="paragraph" w:customStyle="1" w:styleId="Call">
    <w:name w:val="Call"/>
    <w:basedOn w:val="Normal"/>
    <w:next w:val="Normal"/>
    <w:rsid w:val="008E4324"/>
    <w:pPr>
      <w:keepNext/>
      <w:keepLines/>
      <w:tabs>
        <w:tab w:val="clear" w:pos="1134"/>
        <w:tab w:val="clear" w:pos="1701"/>
        <w:tab w:val="clear" w:pos="2268"/>
        <w:tab w:val="clear" w:pos="2835"/>
      </w:tabs>
      <w:spacing w:before="160"/>
      <w:ind w:left="567"/>
    </w:pPr>
    <w:rPr>
      <w:rFonts w:ascii="STKaiti" w:eastAsia="STKaiti" w:hAnsi="STKaiti"/>
    </w:rPr>
  </w:style>
  <w:style w:type="paragraph" w:customStyle="1" w:styleId="RecNo">
    <w:name w:val="Rec_No"/>
    <w:basedOn w:val="Normal"/>
    <w:next w:val="Rectitle"/>
    <w:rsid w:val="00B15AF8"/>
    <w:pPr>
      <w:spacing w:before="720"/>
      <w:jc w:val="center"/>
    </w:pPr>
    <w:rPr>
      <w:caps/>
      <w:sz w:val="28"/>
    </w:rPr>
  </w:style>
  <w:style w:type="paragraph" w:customStyle="1" w:styleId="toc0">
    <w:name w:val="toc 0"/>
    <w:basedOn w:val="Normal"/>
    <w:next w:val="TOC1"/>
    <w:rsid w:val="00B15AF8"/>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15AF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B15AF8"/>
    <w:pPr>
      <w:tabs>
        <w:tab w:val="clear" w:pos="567"/>
        <w:tab w:val="left" w:pos="851"/>
      </w:tabs>
    </w:pPr>
  </w:style>
  <w:style w:type="paragraph" w:customStyle="1" w:styleId="MinusFootnote">
    <w:name w:val="MinusFootnote"/>
    <w:basedOn w:val="Normal"/>
    <w:rsid w:val="00B15AF8"/>
    <w:pPr>
      <w:ind w:left="-1701" w:hanging="284"/>
    </w:pPr>
  </w:style>
  <w:style w:type="paragraph" w:customStyle="1" w:styleId="Title3">
    <w:name w:val="Title 3"/>
    <w:basedOn w:val="Title2"/>
    <w:next w:val="Normalaftertitle"/>
    <w:rsid w:val="00B15AF8"/>
    <w:rPr>
      <w:caps w:val="0"/>
    </w:rPr>
  </w:style>
  <w:style w:type="paragraph" w:customStyle="1" w:styleId="Title2">
    <w:name w:val="Title 2"/>
    <w:basedOn w:val="Source"/>
    <w:next w:val="Title3"/>
    <w:rsid w:val="00B15AF8"/>
    <w:pPr>
      <w:spacing w:before="240"/>
    </w:pPr>
    <w:rPr>
      <w:b w:val="0"/>
      <w:caps/>
    </w:rPr>
  </w:style>
  <w:style w:type="paragraph" w:customStyle="1" w:styleId="Source">
    <w:name w:val="Source"/>
    <w:basedOn w:val="Normal"/>
    <w:next w:val="Title1"/>
    <w:rsid w:val="00057B6E"/>
    <w:pPr>
      <w:spacing w:before="840"/>
      <w:jc w:val="center"/>
    </w:pPr>
    <w:rPr>
      <w:b/>
      <w:sz w:val="28"/>
    </w:rPr>
  </w:style>
  <w:style w:type="paragraph" w:customStyle="1" w:styleId="Title1">
    <w:name w:val="Title 1"/>
    <w:basedOn w:val="Source"/>
    <w:next w:val="Title2"/>
    <w:rsid w:val="00B15AF8"/>
    <w:pPr>
      <w:spacing w:before="240"/>
    </w:pPr>
    <w:rPr>
      <w:b w:val="0"/>
      <w:caps/>
    </w:rPr>
  </w:style>
  <w:style w:type="paragraph" w:customStyle="1" w:styleId="ArtNo">
    <w:name w:val="Art_No"/>
    <w:basedOn w:val="Normal"/>
    <w:next w:val="Arttitle"/>
    <w:rsid w:val="00B15AF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15AF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B15AF8"/>
  </w:style>
  <w:style w:type="paragraph" w:customStyle="1" w:styleId="Chaptitle">
    <w:name w:val="Chap_title"/>
    <w:basedOn w:val="Arttitle"/>
    <w:next w:val="Normal"/>
    <w:rsid w:val="00B15AF8"/>
  </w:style>
  <w:style w:type="paragraph" w:customStyle="1" w:styleId="Reasons">
    <w:name w:val="Reasons"/>
    <w:basedOn w:val="Normal"/>
    <w:qFormat/>
    <w:rsid w:val="00B15AF8"/>
  </w:style>
  <w:style w:type="paragraph" w:customStyle="1" w:styleId="ResNo">
    <w:name w:val="Res_No"/>
    <w:basedOn w:val="AnnexNo"/>
    <w:next w:val="Restitle"/>
    <w:rsid w:val="00B15AF8"/>
  </w:style>
  <w:style w:type="paragraph" w:customStyle="1" w:styleId="Restitle">
    <w:name w:val="Res_title"/>
    <w:basedOn w:val="Annextitle"/>
    <w:next w:val="Normal"/>
    <w:rsid w:val="00AD1198"/>
  </w:style>
  <w:style w:type="paragraph" w:customStyle="1" w:styleId="AnnexNoS2">
    <w:name w:val="Annex_No_S2"/>
    <w:basedOn w:val="AnnexNo"/>
    <w:next w:val="AnnexrefS2"/>
    <w:rsid w:val="00B15AF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B15AF8"/>
    <w:rPr>
      <w:caps w:val="0"/>
    </w:rPr>
  </w:style>
  <w:style w:type="paragraph" w:customStyle="1" w:styleId="AnnexrefS2">
    <w:name w:val="Annex_ref_S2"/>
    <w:basedOn w:val="Anne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B15AF8"/>
    <w:pPr>
      <w:spacing w:before="240"/>
    </w:pPr>
    <w:rPr>
      <w:b/>
      <w:i/>
    </w:rPr>
  </w:style>
  <w:style w:type="paragraph" w:customStyle="1" w:styleId="AnnextitleS2">
    <w:name w:val="Annex_title_S2"/>
    <w:basedOn w:val="Anne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B15AF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15AF8"/>
    <w:pPr>
      <w:tabs>
        <w:tab w:val="left" w:pos="851"/>
      </w:tabs>
      <w:jc w:val="left"/>
    </w:pPr>
    <w:rPr>
      <w:b/>
      <w:sz w:val="24"/>
    </w:rPr>
  </w:style>
  <w:style w:type="paragraph" w:customStyle="1" w:styleId="ArttitleS2">
    <w:name w:val="Art_title_S2"/>
    <w:basedOn w:val="Arttitle"/>
    <w:next w:val="NormalS2"/>
    <w:rsid w:val="00B15AF8"/>
    <w:pPr>
      <w:tabs>
        <w:tab w:val="left" w:pos="851"/>
      </w:tabs>
      <w:jc w:val="left"/>
    </w:pPr>
    <w:rPr>
      <w:sz w:val="24"/>
    </w:rPr>
  </w:style>
  <w:style w:type="paragraph" w:customStyle="1" w:styleId="ChapNoS2">
    <w:name w:val="Chap_No_S2"/>
    <w:basedOn w:val="ChapNo"/>
    <w:next w:val="ChaptitleS2"/>
    <w:rsid w:val="00AD1198"/>
    <w:pPr>
      <w:tabs>
        <w:tab w:val="left" w:pos="851"/>
      </w:tabs>
      <w:jc w:val="left"/>
    </w:pPr>
    <w:rPr>
      <w:b/>
      <w:sz w:val="24"/>
    </w:rPr>
  </w:style>
  <w:style w:type="paragraph" w:customStyle="1" w:styleId="ChaptitleS2">
    <w:name w:val="Chap_title_S2"/>
    <w:basedOn w:val="Chaptitle"/>
    <w:next w:val="NormalS2"/>
    <w:rsid w:val="00B15AF8"/>
    <w:pPr>
      <w:tabs>
        <w:tab w:val="left" w:pos="851"/>
      </w:tabs>
      <w:jc w:val="left"/>
    </w:pPr>
    <w:rPr>
      <w:sz w:val="24"/>
    </w:rPr>
  </w:style>
  <w:style w:type="paragraph" w:customStyle="1" w:styleId="enumlev1S2">
    <w:name w:val="enumlev1_S2"/>
    <w:basedOn w:val="enumlev1"/>
    <w:rsid w:val="00B15AF8"/>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B15AF8"/>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B15AF8"/>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B15AF8"/>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15AF8"/>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B15AF8"/>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15AF8"/>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B15AF8"/>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B15AF8"/>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B15AF8"/>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B15AF8"/>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B15AF8"/>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B15AF8"/>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B15AF8"/>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B15AF8"/>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B15AF8"/>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B15AF8"/>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15AF8"/>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B15AF8"/>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15AF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15AF8"/>
    <w:pPr>
      <w:tabs>
        <w:tab w:val="left" w:pos="851"/>
      </w:tabs>
      <w:jc w:val="left"/>
    </w:pPr>
    <w:rPr>
      <w:caps/>
      <w:sz w:val="24"/>
    </w:rPr>
  </w:style>
  <w:style w:type="paragraph" w:customStyle="1" w:styleId="Section2S2">
    <w:name w:val="Section 2_S2"/>
    <w:basedOn w:val="Section2"/>
    <w:next w:val="NormalS2"/>
    <w:rsid w:val="00AD1198"/>
    <w:pPr>
      <w:tabs>
        <w:tab w:val="left" w:pos="851"/>
      </w:tabs>
      <w:jc w:val="left"/>
    </w:pPr>
    <w:rPr>
      <w:sz w:val="24"/>
    </w:rPr>
  </w:style>
  <w:style w:type="paragraph" w:customStyle="1" w:styleId="TableNoS2">
    <w:name w:val="Table_No_S2"/>
    <w:basedOn w:val="TableNo"/>
    <w:next w:val="TabletitleS2"/>
    <w:rsid w:val="00B15AF8"/>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B15AF8"/>
    <w:pPr>
      <w:tabs>
        <w:tab w:val="left" w:pos="851"/>
      </w:tabs>
      <w:spacing w:after="0"/>
    </w:pPr>
    <w:rPr>
      <w:b/>
    </w:rPr>
  </w:style>
  <w:style w:type="paragraph" w:customStyle="1" w:styleId="TabletextS2">
    <w:name w:val="Table_text_S2"/>
    <w:basedOn w:val="Tabletext"/>
    <w:rsid w:val="00B15AF8"/>
    <w:pPr>
      <w:tabs>
        <w:tab w:val="left" w:pos="851"/>
      </w:tabs>
    </w:pPr>
    <w:rPr>
      <w:b/>
    </w:rPr>
  </w:style>
  <w:style w:type="paragraph" w:customStyle="1" w:styleId="TabletitleS2">
    <w:name w:val="Table_title_S2"/>
    <w:basedOn w:val="Tabletitle"/>
    <w:next w:val="TabletextS2"/>
    <w:rsid w:val="00B15AF8"/>
    <w:pPr>
      <w:keepNext w:val="0"/>
      <w:tabs>
        <w:tab w:val="clear" w:pos="2948"/>
        <w:tab w:val="clear" w:pos="4082"/>
        <w:tab w:val="left" w:pos="851"/>
      </w:tabs>
      <w:jc w:val="left"/>
    </w:pPr>
  </w:style>
  <w:style w:type="paragraph" w:customStyle="1" w:styleId="FooterS2">
    <w:name w:val="Footer_S2"/>
    <w:basedOn w:val="Footer"/>
    <w:rsid w:val="00B15AF8"/>
    <w:pPr>
      <w:tabs>
        <w:tab w:val="clear" w:pos="5954"/>
        <w:tab w:val="clear" w:pos="9639"/>
        <w:tab w:val="left" w:pos="3686"/>
        <w:tab w:val="right" w:pos="7655"/>
      </w:tabs>
      <w:ind w:left="-1985"/>
    </w:pPr>
  </w:style>
  <w:style w:type="paragraph" w:customStyle="1" w:styleId="HeaderS2">
    <w:name w:val="Header_S2"/>
    <w:basedOn w:val="Normal"/>
    <w:rsid w:val="00B15AF8"/>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B15AF8"/>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B15AF8"/>
    <w:pPr>
      <w:tabs>
        <w:tab w:val="left" w:pos="851"/>
      </w:tabs>
      <w:jc w:val="left"/>
    </w:pPr>
  </w:style>
  <w:style w:type="paragraph" w:customStyle="1" w:styleId="NoteS2">
    <w:name w:val="Note_S2"/>
    <w:basedOn w:val="Note"/>
    <w:rsid w:val="00B15AF8"/>
    <w:pPr>
      <w:tabs>
        <w:tab w:val="clear" w:pos="1134"/>
        <w:tab w:val="clear" w:pos="1701"/>
        <w:tab w:val="clear" w:pos="2268"/>
        <w:tab w:val="clear" w:pos="2835"/>
      </w:tabs>
    </w:pPr>
    <w:rPr>
      <w:b/>
    </w:rPr>
  </w:style>
  <w:style w:type="paragraph" w:customStyle="1" w:styleId="HeadingbS2">
    <w:name w:val="Headingb_S2"/>
    <w:basedOn w:val="Headingb"/>
    <w:next w:val="NormalS2"/>
    <w:rsid w:val="00B15AF8"/>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B15AF8"/>
    <w:pPr>
      <w:spacing w:before="160"/>
      <w:outlineLvl w:val="0"/>
    </w:pPr>
  </w:style>
  <w:style w:type="paragraph" w:customStyle="1" w:styleId="HeadingiS2">
    <w:name w:val="Headingi_S2"/>
    <w:basedOn w:val="Headingi"/>
    <w:next w:val="NormalS2"/>
    <w:rsid w:val="00B15AF8"/>
    <w:pPr>
      <w:tabs>
        <w:tab w:val="clear" w:pos="567"/>
        <w:tab w:val="clear" w:pos="1134"/>
        <w:tab w:val="clear" w:pos="1701"/>
        <w:tab w:val="clear" w:pos="2268"/>
        <w:tab w:val="clear" w:pos="2835"/>
        <w:tab w:val="left" w:pos="851"/>
      </w:tabs>
    </w:pPr>
    <w:rPr>
      <w:b/>
    </w:rPr>
  </w:style>
  <w:style w:type="paragraph" w:customStyle="1" w:styleId="Headingi">
    <w:name w:val="Heading_i"/>
    <w:basedOn w:val="Heading3"/>
    <w:next w:val="Normal"/>
    <w:rsid w:val="008E4324"/>
    <w:pPr>
      <w:spacing w:before="160"/>
      <w:outlineLvl w:val="0"/>
    </w:pPr>
    <w:rPr>
      <w:rFonts w:ascii="STKaiti" w:eastAsia="STKaiti" w:hAnsi="STKaiti"/>
      <w:b w:val="0"/>
    </w:rPr>
  </w:style>
  <w:style w:type="paragraph" w:customStyle="1" w:styleId="FirstFooter">
    <w:name w:val="FirstFooter"/>
    <w:basedOn w:val="Footer"/>
    <w:rsid w:val="00B15AF8"/>
    <w:rPr>
      <w:caps w:val="0"/>
    </w:rPr>
  </w:style>
  <w:style w:type="character" w:styleId="PageNumber">
    <w:name w:val="page number"/>
    <w:basedOn w:val="DefaultParagraphFont"/>
    <w:rsid w:val="00B15AF8"/>
  </w:style>
  <w:style w:type="character" w:styleId="Hyperlink">
    <w:name w:val="Hyperlink"/>
    <w:basedOn w:val="DefaultParagraphFont"/>
    <w:rsid w:val="00B15AF8"/>
    <w:rPr>
      <w:color w:val="0000FF"/>
      <w:u w:val="single"/>
    </w:rPr>
  </w:style>
  <w:style w:type="paragraph" w:styleId="Date">
    <w:name w:val="Date"/>
    <w:basedOn w:val="Normal"/>
    <w:rsid w:val="00B15AF8"/>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B15AF8"/>
    <w:rPr>
      <w:color w:val="800080"/>
      <w:u w:val="single"/>
    </w:rPr>
  </w:style>
  <w:style w:type="paragraph" w:customStyle="1" w:styleId="Heading1c">
    <w:name w:val="Heading 1c"/>
    <w:basedOn w:val="Heading1"/>
    <w:next w:val="Normal"/>
    <w:rsid w:val="00B15AF8"/>
    <w:pPr>
      <w:ind w:left="0" w:firstLine="0"/>
      <w:jc w:val="center"/>
      <w:outlineLvl w:val="9"/>
    </w:pPr>
    <w:rPr>
      <w:rFonts w:ascii="Times New Roman" w:hAnsi="Times New Roman"/>
    </w:rPr>
  </w:style>
  <w:style w:type="paragraph" w:customStyle="1" w:styleId="Heading1cS2">
    <w:name w:val="Heading 1c_S2"/>
    <w:basedOn w:val="Heading1c"/>
    <w:next w:val="NormalS2"/>
    <w:rsid w:val="00AD1198"/>
    <w:pPr>
      <w:tabs>
        <w:tab w:val="clear" w:pos="567"/>
        <w:tab w:val="clear" w:pos="1134"/>
        <w:tab w:val="clear" w:pos="1701"/>
        <w:tab w:val="clear" w:pos="2268"/>
        <w:tab w:val="clear" w:pos="2835"/>
        <w:tab w:val="left" w:pos="851"/>
      </w:tabs>
      <w:jc w:val="left"/>
    </w:pPr>
    <w:rPr>
      <w:rFonts w:ascii="Calibri" w:hAnsi="Calibri"/>
      <w:sz w:val="24"/>
    </w:rPr>
  </w:style>
  <w:style w:type="paragraph" w:customStyle="1" w:styleId="Heading2i">
    <w:name w:val="Heading 2i"/>
    <w:basedOn w:val="Heading2"/>
    <w:next w:val="Normal"/>
    <w:rsid w:val="00137909"/>
    <w:rPr>
      <w:rFonts w:ascii="STKaiti" w:eastAsia="STKaiti" w:hAnsi="STKaiti"/>
      <w:b w:val="0"/>
      <w:i/>
    </w:rPr>
  </w:style>
  <w:style w:type="paragraph" w:customStyle="1" w:styleId="Heading2iS2">
    <w:name w:val="Heading 2i_S2"/>
    <w:basedOn w:val="Heading2i"/>
    <w:next w:val="NormalS2"/>
    <w:rsid w:val="00B15AF8"/>
    <w:pPr>
      <w:tabs>
        <w:tab w:val="clear" w:pos="567"/>
        <w:tab w:val="clear" w:pos="1134"/>
        <w:tab w:val="clear" w:pos="1701"/>
        <w:tab w:val="clear" w:pos="2268"/>
        <w:tab w:val="clear" w:pos="2835"/>
        <w:tab w:val="left" w:pos="851"/>
      </w:tabs>
    </w:pPr>
    <w:rPr>
      <w:b/>
      <w:i w:val="0"/>
    </w:rPr>
  </w:style>
  <w:style w:type="paragraph" w:customStyle="1" w:styleId="Normalpv">
    <w:name w:val="Normal pv"/>
    <w:basedOn w:val="Normal"/>
    <w:rsid w:val="00B15AF8"/>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B15AF8"/>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B15AF8"/>
    <w:pPr>
      <w:spacing w:before="320"/>
      <w:outlineLvl w:val="1"/>
    </w:pPr>
    <w:rPr>
      <w:sz w:val="24"/>
    </w:rPr>
  </w:style>
  <w:style w:type="paragraph" w:customStyle="1" w:styleId="Heading3pv">
    <w:name w:val="Heading 3pv"/>
    <w:basedOn w:val="Heading1pv"/>
    <w:next w:val="Normalpv"/>
    <w:rsid w:val="00B15AF8"/>
    <w:pPr>
      <w:spacing w:before="200"/>
      <w:outlineLvl w:val="2"/>
    </w:pPr>
    <w:rPr>
      <w:sz w:val="24"/>
    </w:rPr>
  </w:style>
  <w:style w:type="paragraph" w:customStyle="1" w:styleId="NormalCH">
    <w:name w:val="NormalCH"/>
    <w:basedOn w:val="Normal"/>
    <w:next w:val="Normal"/>
    <w:qFormat/>
    <w:rsid w:val="00AE49B9"/>
    <w:pPr>
      <w:ind w:firstLineChars="200" w:firstLine="200"/>
    </w:pPr>
    <w:rPr>
      <w:lang w:val="en-US"/>
    </w:rPr>
  </w:style>
  <w:style w:type="paragraph" w:customStyle="1" w:styleId="NormalendS2">
    <w:name w:val="Normal_end_S2"/>
    <w:basedOn w:val="Normal"/>
    <w:qFormat/>
    <w:rsid w:val="00CF05C0"/>
    <w:rPr>
      <w:lang w:val="en-US"/>
    </w:rPr>
  </w:style>
  <w:style w:type="paragraph" w:customStyle="1" w:styleId="Dectitle">
    <w:name w:val="Dec_title"/>
    <w:basedOn w:val="Restitle"/>
    <w:next w:val="Normalaftertitle"/>
    <w:qFormat/>
    <w:rsid w:val="00231ABC"/>
  </w:style>
  <w:style w:type="paragraph" w:customStyle="1" w:styleId="DecNo">
    <w:name w:val="Dec_No"/>
    <w:basedOn w:val="ResNo"/>
    <w:next w:val="Dectitle"/>
    <w:qFormat/>
    <w:rsid w:val="00231ABC"/>
  </w:style>
  <w:style w:type="paragraph" w:customStyle="1" w:styleId="DectitleS2">
    <w:name w:val="Dec_title_S2"/>
    <w:basedOn w:val="RestitleS2"/>
    <w:next w:val="Normal"/>
    <w:qFormat/>
    <w:rsid w:val="00231ABC"/>
  </w:style>
  <w:style w:type="paragraph" w:customStyle="1" w:styleId="DecNoS2">
    <w:name w:val="Dec_No_S2"/>
    <w:basedOn w:val="ResNoS2"/>
    <w:next w:val="DectitleS2"/>
    <w:qFormat/>
    <w:rsid w:val="00231ABC"/>
  </w:style>
  <w:style w:type="paragraph" w:customStyle="1" w:styleId="SectionNo">
    <w:name w:val="Section_No"/>
    <w:basedOn w:val="ArtNo"/>
    <w:next w:val="Normal"/>
    <w:qFormat/>
    <w:rsid w:val="00FC53DB"/>
  </w:style>
  <w:style w:type="paragraph" w:customStyle="1" w:styleId="SectionNoS2">
    <w:name w:val="Section_No_S2"/>
    <w:basedOn w:val="ArtNoS2"/>
    <w:next w:val="Normal"/>
    <w:qFormat/>
    <w:rsid w:val="0038575F"/>
    <w:rPr>
      <w:rFonts w:eastAsia="Times New Roman"/>
    </w:rPr>
  </w:style>
  <w:style w:type="paragraph" w:customStyle="1" w:styleId="Sectiontitle">
    <w:name w:val="Section_title"/>
    <w:basedOn w:val="Arttitle"/>
    <w:next w:val="Normalaftertitle"/>
    <w:qFormat/>
    <w:rsid w:val="00FC53DB"/>
    <w:rPr>
      <w:rFonts w:cs="Times New Roman Bold"/>
    </w:rPr>
  </w:style>
  <w:style w:type="paragraph" w:customStyle="1" w:styleId="SectiontitleS2">
    <w:name w:val="Section_title_S2"/>
    <w:basedOn w:val="ArttitleS2"/>
    <w:next w:val="Normal"/>
    <w:qFormat/>
    <w:rsid w:val="0038575F"/>
    <w:rPr>
      <w:rFonts w:eastAsia="Times New Roman"/>
    </w:rPr>
  </w:style>
  <w:style w:type="paragraph" w:customStyle="1" w:styleId="firstfooter0">
    <w:name w:val="firstfooter"/>
    <w:basedOn w:val="Normal"/>
    <w:rsid w:val="003907C4"/>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szCs w:val="24"/>
      <w:lang w:val="en-US" w:eastAsia="zh-CN"/>
    </w:rPr>
  </w:style>
  <w:style w:type="paragraph" w:customStyle="1" w:styleId="Proposal">
    <w:name w:val="Proposal"/>
    <w:basedOn w:val="Normal"/>
    <w:next w:val="Normal"/>
    <w:rsid w:val="00E12CDA"/>
    <w:pPr>
      <w:keepNext/>
      <w:tabs>
        <w:tab w:val="clear" w:pos="567"/>
        <w:tab w:val="clear" w:pos="1701"/>
        <w:tab w:val="clear" w:pos="2268"/>
        <w:tab w:val="clear" w:pos="2835"/>
      </w:tabs>
      <w:spacing w:before="240"/>
    </w:pPr>
    <w:rPr>
      <w:rFonts w:asciiTheme="minorHAnsi" w:hAnsiTheme="minorHAnsi"/>
      <w:b/>
      <w:caps/>
    </w:rPr>
  </w:style>
  <w:style w:type="paragraph" w:customStyle="1" w:styleId="Agendaitem">
    <w:name w:val="Agenda_item"/>
    <w:basedOn w:val="Normal"/>
    <w:next w:val="Normal"/>
    <w:qFormat/>
    <w:rsid w:val="00C710E5"/>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en-US" w:eastAsia="zh-CN"/>
    </w:rPr>
  </w:style>
  <w:style w:type="paragraph" w:customStyle="1" w:styleId="Committee">
    <w:name w:val="Committee"/>
    <w:basedOn w:val="Normal"/>
    <w:qFormat/>
    <w:rsid w:val="00C710E5"/>
    <w:pPr>
      <w:framePr w:hSpace="180" w:wrap="around" w:hAnchor="margin" w:y="-675"/>
      <w:tabs>
        <w:tab w:val="clear" w:pos="567"/>
        <w:tab w:val="clear" w:pos="1701"/>
        <w:tab w:val="clear" w:pos="2835"/>
        <w:tab w:val="left" w:pos="1871"/>
      </w:tabs>
      <w:spacing w:before="0" w:line="240" w:lineRule="atLeast"/>
    </w:pPr>
    <w:rPr>
      <w:rFonts w:asciiTheme="minorHAnsi" w:hAnsiTheme="minorHAnsi" w:cstheme="minorHAnsi"/>
      <w:b/>
      <w:smallCaps/>
      <w:szCs w:val="24"/>
    </w:rPr>
  </w:style>
  <w:style w:type="paragraph" w:styleId="BalloonText">
    <w:name w:val="Balloon Text"/>
    <w:basedOn w:val="Normal"/>
    <w:link w:val="BalloonTextChar"/>
    <w:rsid w:val="00CB57E1"/>
    <w:pPr>
      <w:spacing w:before="0"/>
    </w:pPr>
    <w:rPr>
      <w:rFonts w:ascii="Tahoma" w:hAnsi="Tahoma" w:cs="Tahoma"/>
      <w:sz w:val="16"/>
      <w:szCs w:val="16"/>
    </w:rPr>
  </w:style>
  <w:style w:type="character" w:customStyle="1" w:styleId="BalloonTextChar">
    <w:name w:val="Balloon Text Char"/>
    <w:basedOn w:val="DefaultParagraphFont"/>
    <w:link w:val="BalloonText"/>
    <w:rsid w:val="00CB57E1"/>
    <w:rPr>
      <w:rFonts w:ascii="Tahoma" w:eastAsia="SimSun" w:hAnsi="Tahoma" w:cs="Tahoma"/>
      <w:sz w:val="16"/>
      <w:szCs w:val="16"/>
      <w:lang w:val="en-GB" w:eastAsia="en-US"/>
    </w:rPr>
  </w:style>
  <w:style w:type="paragraph" w:customStyle="1" w:styleId="OP">
    <w:name w:val="OP"/>
    <w:basedOn w:val="Normal"/>
    <w:next w:val="Normal"/>
    <w:qFormat/>
    <w:rsid w:val="00A865E4"/>
    <w:pPr>
      <w:jc w:val="center"/>
    </w:pPr>
    <w:rPr>
      <w:rFonts w:eastAsiaTheme="minorEastAsia"/>
      <w:b/>
      <w:sz w:val="32"/>
    </w:rPr>
  </w:style>
  <w:style w:type="paragraph" w:customStyle="1" w:styleId="OPtitle">
    <w:name w:val="OP_title"/>
    <w:basedOn w:val="Normal"/>
    <w:next w:val="Normalaftertitle"/>
    <w:qFormat/>
    <w:rsid w:val="00A865E4"/>
    <w:pPr>
      <w:jc w:val="center"/>
    </w:pPr>
    <w:rPr>
      <w:rFonts w:eastAsiaTheme="minorEastAsia"/>
      <w:b/>
    </w:rPr>
  </w:style>
  <w:style w:type="paragraph" w:customStyle="1" w:styleId="VolumeTitle">
    <w:name w:val="VolumeTitle"/>
    <w:basedOn w:val="Normal"/>
    <w:next w:val="Normal"/>
    <w:rsid w:val="002043DD"/>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sz w:val="32"/>
      <w:szCs w:val="32"/>
      <w:lang w:val="en-US" w:eastAsia="zh-CN"/>
    </w:rPr>
  </w:style>
  <w:style w:type="paragraph" w:customStyle="1" w:styleId="Tablefin">
    <w:name w:val="Table_fin"/>
    <w:basedOn w:val="Tabletext"/>
    <w:rsid w:val="008A526D"/>
    <w:pPr>
      <w:tabs>
        <w:tab w:val="left" w:pos="284"/>
      </w:tabs>
      <w:spacing w:before="0" w:after="0" w:line="280" w:lineRule="exact"/>
      <w:jc w:val="both"/>
    </w:pPr>
    <w:rPr>
      <w:szCs w:val="10"/>
      <w:lang w:val="en-US" w:eastAsia="zh-CN"/>
    </w:rPr>
  </w:style>
  <w:style w:type="paragraph" w:customStyle="1" w:styleId="Blanc">
    <w:name w:val="Blanc"/>
    <w:basedOn w:val="Normal"/>
    <w:rsid w:val="008A526D"/>
    <w:pPr>
      <w:spacing w:before="0" w:after="120" w:line="280" w:lineRule="exact"/>
      <w:jc w:val="both"/>
    </w:pPr>
    <w:rPr>
      <w:sz w:val="21"/>
      <w:szCs w:val="1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pp26.itu.int/zh-h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1349</Words>
  <Characters>1430</Characters>
  <Application>Microsoft Office Word</Application>
  <DocSecurity>0</DocSecurity>
  <Lines>79</Lines>
  <Paragraphs>66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2713</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by the Secretary-General - ITU Strategic and Financial Plans 2028-2031</dc:title>
  <dc:subject>Plenipotentiary Conference (PP-26)</dc:subject>
  <cp:keywords>PP-26, PP26, ITU</cp:keywords>
  <dcterms:created xsi:type="dcterms:W3CDTF">2026-08-27T10:01:00Z</dcterms:created>
  <dcterms:modified xsi:type="dcterms:W3CDTF">2026-08-27T10:01:00Z</dcterms:modified>
  <cp:category>Conference document</cp:category>
</cp:coreProperties>
</file>