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778530A0" w14:textId="77777777" w:rsidTr="00B947D2">
        <w:trPr>
          <w:cantSplit/>
          <w:trHeight w:val="20"/>
        </w:trPr>
        <w:tc>
          <w:tcPr>
            <w:tcW w:w="9672" w:type="dxa"/>
            <w:gridSpan w:val="2"/>
            <w:vAlign w:val="center"/>
          </w:tcPr>
          <w:p w14:paraId="28FC70EE" w14:textId="77777777" w:rsidR="00EB3ADA" w:rsidRPr="003A0ECA" w:rsidRDefault="00EB3ADA" w:rsidP="00B947D2">
            <w:pPr>
              <w:tabs>
                <w:tab w:val="clear" w:pos="567"/>
                <w:tab w:val="clear" w:pos="1134"/>
                <w:tab w:val="clear" w:pos="1701"/>
                <w:tab w:val="clear" w:pos="2268"/>
                <w:tab w:val="clear" w:pos="2835"/>
                <w:tab w:val="left" w:pos="794"/>
              </w:tabs>
              <w:overflowPunct/>
              <w:autoSpaceDE/>
              <w:autoSpaceDN/>
              <w:bidi w:val="0"/>
              <w:adjustRightInd/>
              <w:spacing w:before="0" w:line="240" w:lineRule="auto"/>
              <w:jc w:val="right"/>
              <w:textAlignment w:val="auto"/>
              <w:rPr>
                <w:rtl/>
                <w:lang w:val="en-US" w:eastAsia="zh-CN"/>
              </w:rPr>
            </w:pPr>
            <w:bookmarkStart w:id="0" w:name="ditulogo"/>
            <w:bookmarkEnd w:id="0"/>
            <w:r>
              <w:rPr>
                <w:noProof/>
                <w:rtl/>
                <w:lang w:val="ar-EG" w:eastAsia="zh-CN"/>
              </w:rPr>
              <w:drawing>
                <wp:anchor distT="0" distB="0" distL="0" distR="0" simplePos="0" relativeHeight="251658240" behindDoc="1" locked="0" layoutInCell="1" allowOverlap="1" wp14:anchorId="24B69900" wp14:editId="0C1866FA">
                  <wp:simplePos x="0" y="0"/>
                  <wp:positionH relativeFrom="column">
                    <wp:posOffset>0</wp:posOffset>
                  </wp:positionH>
                  <wp:positionV relativeFrom="paragraph">
                    <wp:posOffset>0</wp:posOffset>
                  </wp:positionV>
                  <wp:extent cx="6660000" cy="972000"/>
                  <wp:effectExtent l="0" t="0" r="0" b="0"/>
                  <wp:wrapTight wrapText="bothSides">
                    <wp:wrapPolygon edited="0">
                      <wp:start x="124" y="1694"/>
                      <wp:lineTo x="0" y="8047"/>
                      <wp:lineTo x="0" y="12282"/>
                      <wp:lineTo x="124" y="16094"/>
                      <wp:lineTo x="247" y="17365"/>
                      <wp:lineTo x="927" y="18212"/>
                      <wp:lineTo x="2224" y="19059"/>
                      <wp:lineTo x="2533" y="19059"/>
                      <wp:lineTo x="4696" y="17365"/>
                      <wp:lineTo x="13778" y="16094"/>
                      <wp:lineTo x="16744" y="14400"/>
                      <wp:lineTo x="16744" y="6776"/>
                      <wp:lineTo x="14272" y="5929"/>
                      <wp:lineTo x="371" y="1694"/>
                      <wp:lineTo x="124" y="1694"/>
                    </wp:wrapPolygon>
                  </wp:wrapTight>
                  <wp:docPr id="79848671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86711" name="Picture 1" descr="A black background with a black squar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660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B3ADA" w:rsidRPr="003A0ECA" w14:paraId="700031C3" w14:textId="77777777" w:rsidTr="00EB3ADA">
        <w:trPr>
          <w:cantSplit/>
          <w:trHeight w:val="283"/>
        </w:trPr>
        <w:tc>
          <w:tcPr>
            <w:tcW w:w="9672" w:type="dxa"/>
            <w:gridSpan w:val="2"/>
            <w:tcBorders>
              <w:bottom w:val="single" w:sz="12" w:space="0" w:color="71716F"/>
            </w:tcBorders>
          </w:tcPr>
          <w:p w14:paraId="4BA765FB"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17256E14" w14:textId="77777777" w:rsidTr="00EB3ADA">
        <w:trPr>
          <w:cantSplit/>
          <w:trHeight w:val="255"/>
        </w:trPr>
        <w:tc>
          <w:tcPr>
            <w:tcW w:w="6620" w:type="dxa"/>
            <w:tcBorders>
              <w:top w:val="single" w:sz="12" w:space="0" w:color="71716F"/>
            </w:tcBorders>
          </w:tcPr>
          <w:p w14:paraId="5281EF0A"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5DBC2D5F"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500364E9" w14:textId="77777777" w:rsidTr="00EB3ADA">
        <w:trPr>
          <w:cantSplit/>
        </w:trPr>
        <w:tc>
          <w:tcPr>
            <w:tcW w:w="6620" w:type="dxa"/>
          </w:tcPr>
          <w:p w14:paraId="11FCC392" w14:textId="77777777" w:rsidR="00F27DBC" w:rsidRPr="00F27DBC" w:rsidRDefault="00515E95" w:rsidP="00F27DBC">
            <w:pPr>
              <w:pStyle w:val="Committee"/>
              <w:rPr>
                <w:rtl/>
                <w:lang w:eastAsia="zh-CN"/>
              </w:rPr>
            </w:pPr>
            <w:r>
              <w:rPr>
                <w:rtl/>
              </w:rPr>
              <w:t>الجلسة</w:t>
            </w:r>
            <w:r>
              <w:rPr>
                <w:rFonts w:ascii="Traditional Arabic" w:hAnsi="Traditional Arabic"/>
                <w:sz w:val="19"/>
                <w:rtl/>
              </w:rPr>
              <w:t xml:space="preserve"> العامة</w:t>
            </w:r>
          </w:p>
        </w:tc>
        <w:tc>
          <w:tcPr>
            <w:tcW w:w="3052" w:type="dxa"/>
            <w:vAlign w:val="center"/>
          </w:tcPr>
          <w:p w14:paraId="28E76466" w14:textId="5A6C9CA4" w:rsidR="00F27DBC" w:rsidRPr="003A0ECA" w:rsidRDefault="006F6B98"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r>
              <w:rPr>
                <w:rFonts w:hint="cs"/>
                <w:b/>
                <w:bCs/>
                <w:rtl/>
              </w:rPr>
              <w:t>ا</w:t>
            </w:r>
            <w:r w:rsidR="00515E95" w:rsidRPr="00F37276">
              <w:rPr>
                <w:b/>
                <w:bCs/>
                <w:rtl/>
              </w:rPr>
              <w:t xml:space="preserve">لوثيقة </w:t>
            </w:r>
            <w:r w:rsidR="00634E51">
              <w:rPr>
                <w:b/>
                <w:bCs/>
              </w:rPr>
              <w:t>33</w:t>
            </w:r>
            <w:r w:rsidR="00515E95" w:rsidRPr="00F37276">
              <w:rPr>
                <w:b/>
                <w:bCs/>
              </w:rPr>
              <w:t>-A</w:t>
            </w:r>
          </w:p>
        </w:tc>
      </w:tr>
      <w:tr w:rsidR="00F27DBC" w:rsidRPr="003A0ECA" w14:paraId="3E554569" w14:textId="77777777" w:rsidTr="00EB3ADA">
        <w:trPr>
          <w:cantSplit/>
        </w:trPr>
        <w:tc>
          <w:tcPr>
            <w:tcW w:w="6620" w:type="dxa"/>
          </w:tcPr>
          <w:p w14:paraId="2D431FE7"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032BB1EB" w14:textId="51C0D2E3" w:rsidR="00F27DBC" w:rsidRPr="003A0ECA" w:rsidRDefault="00D23E04"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lang w:val="en-US"/>
              </w:rPr>
              <w:t>5 أغسطس</w:t>
            </w:r>
            <w:r w:rsidRPr="00F37276">
              <w:rPr>
                <w:b/>
                <w:bCs/>
                <w:rtl/>
              </w:rPr>
              <w:t> </w:t>
            </w:r>
            <w:r w:rsidR="00515E95" w:rsidRPr="00F37276">
              <w:rPr>
                <w:b/>
                <w:bCs/>
              </w:rPr>
              <w:t>20</w:t>
            </w:r>
            <w:r w:rsidR="00515E95">
              <w:rPr>
                <w:b/>
                <w:bCs/>
              </w:rPr>
              <w:t>2</w:t>
            </w:r>
            <w:r w:rsidR="003039A5">
              <w:rPr>
                <w:b/>
                <w:bCs/>
              </w:rPr>
              <w:t>6</w:t>
            </w:r>
          </w:p>
        </w:tc>
      </w:tr>
      <w:tr w:rsidR="00F27DBC" w:rsidRPr="003A0ECA" w14:paraId="2DBB07D6" w14:textId="77777777" w:rsidTr="00EB3ADA">
        <w:trPr>
          <w:cantSplit/>
        </w:trPr>
        <w:tc>
          <w:tcPr>
            <w:tcW w:w="6620" w:type="dxa"/>
          </w:tcPr>
          <w:p w14:paraId="68549A19"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0A89078"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67D0EED3" w14:textId="77777777" w:rsidTr="00EB3ADA">
        <w:trPr>
          <w:cantSplit/>
        </w:trPr>
        <w:tc>
          <w:tcPr>
            <w:tcW w:w="6620" w:type="dxa"/>
          </w:tcPr>
          <w:p w14:paraId="7B287814"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5A938137"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6A50B880" w14:textId="77777777" w:rsidTr="00EB3ADA">
        <w:trPr>
          <w:cantSplit/>
        </w:trPr>
        <w:tc>
          <w:tcPr>
            <w:tcW w:w="9672" w:type="dxa"/>
            <w:gridSpan w:val="2"/>
          </w:tcPr>
          <w:p w14:paraId="5566F84E" w14:textId="2DD14B27" w:rsidR="003A0ECA" w:rsidRPr="003A0ECA" w:rsidRDefault="00747F96" w:rsidP="00747F96">
            <w:pPr>
              <w:pStyle w:val="Source"/>
              <w:rPr>
                <w:lang w:eastAsia="zh-CN"/>
              </w:rPr>
            </w:pPr>
            <w:r w:rsidRPr="00747F96">
              <w:rPr>
                <w:rtl/>
                <w:lang w:eastAsia="zh-CN" w:bidi="ar-EG"/>
              </w:rPr>
              <w:t>تقرير من الأمينة العامة</w:t>
            </w:r>
          </w:p>
        </w:tc>
      </w:tr>
      <w:tr w:rsidR="003A0ECA" w:rsidRPr="003A0ECA" w14:paraId="15695EA0" w14:textId="77777777" w:rsidTr="00EB3ADA">
        <w:trPr>
          <w:cantSplit/>
        </w:trPr>
        <w:tc>
          <w:tcPr>
            <w:tcW w:w="9672" w:type="dxa"/>
            <w:gridSpan w:val="2"/>
          </w:tcPr>
          <w:p w14:paraId="35C3037B" w14:textId="1DFC0BF8" w:rsidR="003A0ECA" w:rsidRPr="003A0ECA" w:rsidRDefault="00747F96" w:rsidP="00747F96">
            <w:pPr>
              <w:pStyle w:val="Title1"/>
              <w:rPr>
                <w:lang w:eastAsia="zh-CN" w:bidi="ar-SY"/>
              </w:rPr>
            </w:pPr>
            <w:r w:rsidRPr="00747F96">
              <w:rPr>
                <w:rtl/>
                <w:lang w:eastAsia="zh-CN" w:bidi="ar-SA"/>
              </w:rPr>
              <w:t>الخطتان الاستراتيجية والمالية للاتحاد للفترة 2028-2031</w:t>
            </w:r>
          </w:p>
        </w:tc>
      </w:tr>
      <w:tr w:rsidR="003A0ECA" w:rsidRPr="003A0ECA" w14:paraId="75001CAA" w14:textId="77777777" w:rsidTr="00EB3ADA">
        <w:trPr>
          <w:cantSplit/>
        </w:trPr>
        <w:tc>
          <w:tcPr>
            <w:tcW w:w="9672" w:type="dxa"/>
            <w:gridSpan w:val="2"/>
          </w:tcPr>
          <w:p w14:paraId="6FBB06C8" w14:textId="77777777" w:rsidR="003A0ECA" w:rsidRPr="003A0ECA" w:rsidRDefault="003A0ECA" w:rsidP="003A0ECA">
            <w:pPr>
              <w:pStyle w:val="Agendaitem"/>
              <w:rPr>
                <w:lang w:eastAsia="zh-CN" w:bidi="ar-SY"/>
              </w:rPr>
            </w:pPr>
          </w:p>
        </w:tc>
      </w:tr>
    </w:tbl>
    <w:p w14:paraId="2058A942" w14:textId="5EE0CF50" w:rsidR="00716FEB" w:rsidRDefault="00716FEB" w:rsidP="00537938">
      <w:pPr>
        <w:rPr>
          <w:rtl/>
        </w:rPr>
      </w:pPr>
    </w:p>
    <w:tbl>
      <w:tblPr>
        <w:bidiVisual/>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747F96" w:rsidRPr="007B01D0" w14:paraId="57D7C104" w14:textId="77777777" w:rsidTr="00075FD1">
        <w:trPr>
          <w:cantSplit/>
          <w:jc w:val="center"/>
        </w:trPr>
        <w:tc>
          <w:tcPr>
            <w:tcW w:w="8080" w:type="dxa"/>
            <w:tcBorders>
              <w:top w:val="single" w:sz="12" w:space="0" w:color="auto"/>
              <w:left w:val="single" w:sz="12" w:space="0" w:color="auto"/>
              <w:bottom w:val="single" w:sz="12" w:space="0" w:color="auto"/>
              <w:right w:val="single" w:sz="12" w:space="0" w:color="auto"/>
            </w:tcBorders>
          </w:tcPr>
          <w:p w14:paraId="72764C8C" w14:textId="77777777" w:rsidR="00747F96" w:rsidRPr="007B01D0" w:rsidRDefault="00747F96" w:rsidP="00747F96">
            <w:pPr>
              <w:pStyle w:val="Headingb"/>
              <w:rPr>
                <w:bCs w:val="0"/>
                <w:lang w:val="ar-SA" w:eastAsia="zh-TW" w:bidi="en-GB"/>
              </w:rPr>
            </w:pPr>
            <w:bookmarkStart w:id="1" w:name="_Toc305764050"/>
            <w:r w:rsidRPr="00747F96">
              <w:rPr>
                <w:rtl/>
              </w:rPr>
              <w:t>ملخص</w:t>
            </w:r>
            <w:bookmarkEnd w:id="1"/>
          </w:p>
          <w:p w14:paraId="3F6384B4" w14:textId="77777777" w:rsidR="00747F96" w:rsidRPr="007B01D0" w:rsidRDefault="00747F96" w:rsidP="00075FD1">
            <w:pPr>
              <w:textDirection w:val="tbRlV"/>
              <w:rPr>
                <w:lang w:val="ar-SA" w:eastAsia="zh-TW" w:bidi="en-GB"/>
              </w:rPr>
            </w:pPr>
            <w:r w:rsidRPr="007B01D0">
              <w:rPr>
                <w:color w:val="000000"/>
                <w:rtl/>
              </w:rPr>
              <w:t>يعرض هذا التقرير، لينظر فيه مؤتمر المندوبين المفوضين لعام 2026، نتائج العمل الذي اضطلعت به الأمانة العامة لتنقيح مجموعة مختارة من المقاصد المقترحة والمؤشرات المرتبطة بها، بناءً على طلب المجلس في دورته لعام 2026.</w:t>
            </w:r>
          </w:p>
          <w:p w14:paraId="67E6D251" w14:textId="77777777" w:rsidR="00747F96" w:rsidRPr="007B01D0" w:rsidRDefault="00747F96" w:rsidP="00747F96">
            <w:pPr>
              <w:pStyle w:val="Headingb"/>
              <w:rPr>
                <w:bCs w:val="0"/>
                <w:lang w:val="ar-SA" w:eastAsia="zh-TW" w:bidi="en-GB"/>
              </w:rPr>
            </w:pPr>
            <w:bookmarkStart w:id="2" w:name="_Toc305764051"/>
            <w:r w:rsidRPr="007B01D0">
              <w:rPr>
                <w:rtl/>
              </w:rPr>
              <w:t xml:space="preserve">الإجراء </w:t>
            </w:r>
            <w:r w:rsidRPr="00747F96">
              <w:rPr>
                <w:rtl/>
              </w:rPr>
              <w:t>المطلوب</w:t>
            </w:r>
            <w:bookmarkEnd w:id="2"/>
          </w:p>
          <w:p w14:paraId="1D1F60F8" w14:textId="5893C57E" w:rsidR="00747F96" w:rsidRPr="007B01D0" w:rsidRDefault="00747F96" w:rsidP="00075FD1">
            <w:pPr>
              <w:textDirection w:val="tbRlV"/>
              <w:rPr>
                <w:lang w:val="ar-SA" w:eastAsia="zh-TW" w:bidi="en-GB"/>
              </w:rPr>
            </w:pPr>
            <w:r w:rsidRPr="007B01D0">
              <w:rPr>
                <w:color w:val="000000"/>
                <w:rtl/>
              </w:rPr>
              <w:t xml:space="preserve">يدعى مؤتمر المندوبين المفوضين إلى النظر في هذا التقرير، إلى جانب الوثيقة </w:t>
            </w:r>
            <w:hyperlink r:id="rId8" w:history="1">
              <w:r w:rsidR="00E47355">
                <w:rPr>
                  <w:rStyle w:val="Hyperlink"/>
                  <w:rFonts w:hint="cs"/>
                  <w:rtl/>
                </w:rPr>
                <w:t>32</w:t>
              </w:r>
            </w:hyperlink>
            <w:r w:rsidRPr="007B01D0">
              <w:rPr>
                <w:color w:val="000000"/>
                <w:rtl/>
              </w:rPr>
              <w:t>.</w:t>
            </w:r>
          </w:p>
        </w:tc>
      </w:tr>
    </w:tbl>
    <w:p w14:paraId="717E0FE5" w14:textId="77777777" w:rsidR="00747F96" w:rsidRPr="00A626E0" w:rsidRDefault="00747F96" w:rsidP="00537938">
      <w:pPr>
        <w:rPr>
          <w:rtl/>
        </w:rPr>
      </w:pPr>
    </w:p>
    <w:p w14:paraId="04621A6D" w14:textId="77777777" w:rsidR="00202773" w:rsidRDefault="00716FEB" w:rsidP="0015382E">
      <w:pPr>
        <w:tabs>
          <w:tab w:val="clear" w:pos="567"/>
          <w:tab w:val="clear" w:pos="1134"/>
          <w:tab w:val="clear" w:pos="1701"/>
          <w:tab w:val="clear" w:pos="2268"/>
          <w:tab w:val="clear" w:pos="2835"/>
        </w:tabs>
        <w:overflowPunct/>
        <w:autoSpaceDE/>
        <w:autoSpaceDN/>
        <w:bidi w:val="0"/>
        <w:adjustRightInd/>
        <w:spacing w:before="0" w:line="240" w:lineRule="auto"/>
        <w:jc w:val="left"/>
        <w:textAlignment w:val="auto"/>
      </w:pPr>
      <w:r>
        <w:rPr>
          <w:rtl/>
        </w:rPr>
        <w:br w:type="page"/>
      </w:r>
    </w:p>
    <w:p w14:paraId="749985F6" w14:textId="77777777" w:rsidR="00747F96" w:rsidRPr="00747F96" w:rsidRDefault="00747F96" w:rsidP="00747F96">
      <w:pPr>
        <w:rPr>
          <w:lang w:val="ar-SA"/>
        </w:rPr>
      </w:pPr>
      <w:r w:rsidRPr="00747F96">
        <w:rPr>
          <w:rtl/>
          <w:lang w:bidi="ar-SA"/>
        </w:rPr>
        <w:lastRenderedPageBreak/>
        <w:t>يُقدَّم هذا التقرير إلى مؤتمر المندوبين المفوضين لعام 2026 (PP-26) لينظر فيه، استجابةً للطلب الذي وجّهه المجلس في دورته لعام 2026 إلى الأمانة بأن تواصل النظر في مقاصد مقترحة مختارة والمؤشرات المرتبطة بها وتنقيحها، على النحو المفصّل أدناه:</w:t>
      </w:r>
    </w:p>
    <w:p w14:paraId="40B53670" w14:textId="77777777" w:rsidR="00747F96" w:rsidRPr="00747F96" w:rsidRDefault="00747F96" w:rsidP="00747F96">
      <w:pPr>
        <w:rPr>
          <w:lang w:val="ar-SA"/>
        </w:rPr>
      </w:pPr>
      <w:r w:rsidRPr="00747F96">
        <w:rPr>
          <w:lang w:val="en-US"/>
        </w:rPr>
        <w:t>–</w:t>
      </w:r>
      <w:r w:rsidRPr="00747F96">
        <w:rPr>
          <w:rtl/>
          <w:lang w:bidi="ar-SA"/>
        </w:rPr>
        <w:tab/>
        <w:t>المقصد 1.5 (الشبكات القادرة على الصمود): التنسيق مع الأمانة العامة والمكاتب المعنية لمواصلة بحث سبل تعزيز أنشطة الاتحاد المتعلقة بالكبلات البحرية وإمكانية إدراجها، مدعومةً بالإحصاءات ذات الصلة لإثبات الحاجة إلى إدراجها.</w:t>
      </w:r>
    </w:p>
    <w:p w14:paraId="02F63B23" w14:textId="73152F59" w:rsidR="00747F96" w:rsidRPr="00747F96" w:rsidRDefault="00747F96" w:rsidP="00747F96">
      <w:pPr>
        <w:rPr>
          <w:lang w:val="ar-SA"/>
        </w:rPr>
      </w:pPr>
      <w:r w:rsidRPr="00747F96">
        <w:rPr>
          <w:lang w:val="en-US"/>
        </w:rPr>
        <w:t>–</w:t>
      </w:r>
      <w:r w:rsidRPr="00747F96">
        <w:rPr>
          <w:rtl/>
          <w:lang w:bidi="ar-SA"/>
        </w:rPr>
        <w:tab/>
        <w:t>المقصد 1.6 (تجنب التداخل الضار): العمل عن كثب مع مدير مكتب الاتصالات الراديوية</w:t>
      </w:r>
      <w:r w:rsidR="00F745C9">
        <w:rPr>
          <w:rFonts w:hint="cs"/>
          <w:rtl/>
          <w:lang w:bidi="ar-SA"/>
        </w:rPr>
        <w:t xml:space="preserve"> </w:t>
      </w:r>
      <w:r w:rsidR="00F745C9">
        <w:rPr>
          <w:lang w:val="en-US" w:bidi="ar-SA"/>
        </w:rPr>
        <w:t>(BR)</w:t>
      </w:r>
      <w:r w:rsidRPr="00747F96">
        <w:rPr>
          <w:rtl/>
          <w:lang w:bidi="ar-SA"/>
        </w:rPr>
        <w:t xml:space="preserve"> لتحديد مؤشرات محسَّنة تعبّر بدقة أكبر عن الكيفية التي يعالج بها الاتحاد المسائل المتعلقة بالتداخل الضار.</w:t>
      </w:r>
    </w:p>
    <w:p w14:paraId="3B475607" w14:textId="77777777" w:rsidR="00747F96" w:rsidRPr="00747F96" w:rsidRDefault="00747F96" w:rsidP="00747F96">
      <w:pPr>
        <w:rPr>
          <w:lang w:val="ar-SA"/>
        </w:rPr>
      </w:pPr>
      <w:r w:rsidRPr="00747F96">
        <w:rPr>
          <w:lang w:val="en-US"/>
        </w:rPr>
        <w:t>–</w:t>
      </w:r>
      <w:r w:rsidRPr="00747F96">
        <w:rPr>
          <w:rtl/>
          <w:lang w:bidi="ar-SA"/>
        </w:rPr>
        <w:tab/>
        <w:t>المقصد 1.7 (تأثير معايير قابلية التشغيل البيني): العمل عن كثب مع مدير مكتب تقييس الاتصالات لتحديد مؤشرات أكثر ملاءمة لهذا المقصد.</w:t>
      </w:r>
    </w:p>
    <w:p w14:paraId="3ABC19BF" w14:textId="4F73D631" w:rsidR="00747F96" w:rsidRPr="00747F96" w:rsidRDefault="00747F96" w:rsidP="00747F96">
      <w:pPr>
        <w:rPr>
          <w:lang w:val="ar-SA"/>
        </w:rPr>
      </w:pPr>
      <w:r w:rsidRPr="00747F96">
        <w:rPr>
          <w:rtl/>
          <w:lang w:bidi="ar-SA"/>
        </w:rPr>
        <w:t>بعد مشاورات داخلية مع المكاتب ذات الصلة، يعرض هذا التقرير التحسينات التي اقترحتها الأمانة لينظر فيها مؤتمر المندوبين المفوضين لعام 2026، إلى جانب نتائج فريق العمل التابع للمجلس المعني بالخطتين الاستراتيجية والمالية للفترة</w:t>
      </w:r>
      <w:r>
        <w:rPr>
          <w:rFonts w:hint="cs"/>
          <w:rtl/>
          <w:lang w:bidi="ar-SA"/>
        </w:rPr>
        <w:t> </w:t>
      </w:r>
      <w:r w:rsidRPr="00747F96">
        <w:rPr>
          <w:rtl/>
          <w:lang w:bidi="ar-SA"/>
        </w:rPr>
        <w:t>2028</w:t>
      </w:r>
      <w:r>
        <w:rPr>
          <w:rtl/>
          <w:lang w:bidi="ar-SA"/>
        </w:rPr>
        <w:noBreakHyphen/>
      </w:r>
      <w:r w:rsidRPr="00747F96">
        <w:rPr>
          <w:rtl/>
          <w:lang w:bidi="ar-SA"/>
        </w:rPr>
        <w:t xml:space="preserve">2031 (انظر الوثيقة </w:t>
      </w:r>
      <w:hyperlink r:id="rId9" w:history="1">
        <w:r w:rsidR="00272044">
          <w:rPr>
            <w:rStyle w:val="Hyperlink"/>
            <w:rFonts w:hint="cs"/>
            <w:rtl/>
            <w:lang w:val="en-US"/>
          </w:rPr>
          <w:t>32</w:t>
        </w:r>
      </w:hyperlink>
      <w:r>
        <w:rPr>
          <w:rFonts w:hint="cs"/>
          <w:rtl/>
          <w:lang w:val="en-US"/>
        </w:rPr>
        <w:t>)</w:t>
      </w:r>
      <w:r w:rsidRPr="00747F96">
        <w:rPr>
          <w:rtl/>
          <w:lang w:bidi="ar-SA"/>
        </w:rPr>
        <w:t>.</w:t>
      </w:r>
    </w:p>
    <w:p w14:paraId="5D347EA4" w14:textId="77777777" w:rsidR="00747F96" w:rsidRPr="00747F96" w:rsidRDefault="00747F96" w:rsidP="00747F96">
      <w:pPr>
        <w:rPr>
          <w:lang w:val="ar-SA"/>
        </w:rPr>
      </w:pPr>
      <w:r w:rsidRPr="00747F96">
        <w:rPr>
          <w:rtl/>
          <w:lang w:bidi="ar-SA"/>
        </w:rPr>
        <w:t xml:space="preserve">ولدى استعراض المقصدين المقترحين 5.1 و6.1، رأت الأمانة أن من الأنسب إبراز مجالات العمل ذات الصلة على مستوى النواتج ضمن إطار النتائج. ومن شأن هذا النهج أن يعكس على نحو أفضل طبيعة عمل الاتحاد وأن يدعم تتبعه بفعالية من خلال مؤشرات </w:t>
      </w:r>
      <w:r w:rsidRPr="00747F96">
        <w:rPr>
          <w:lang w:val="en-US"/>
        </w:rPr>
        <w:t>SMART</w:t>
      </w:r>
      <w:r w:rsidRPr="00747F96">
        <w:rPr>
          <w:rtl/>
          <w:lang w:bidi="ar-SA"/>
        </w:rPr>
        <w:t>.</w:t>
      </w:r>
    </w:p>
    <w:p w14:paraId="41EB33A4" w14:textId="04C09E13" w:rsidR="00747F96" w:rsidRPr="00747F96" w:rsidRDefault="00747F96" w:rsidP="00FA7B3A">
      <w:pPr>
        <w:rPr>
          <w:lang w:val="ar-SA"/>
        </w:rPr>
      </w:pPr>
      <w:r w:rsidRPr="00747F96">
        <w:rPr>
          <w:rtl/>
          <w:lang w:bidi="ar-SA"/>
        </w:rPr>
        <w:t xml:space="preserve">وفيما يتعلق بالمقصد 5.1، فإن المؤشرات التقليدية، مثل جودة الخدمة وجودة التجربة، لا تعكس تماماً قدرة الشبكة على الصمود. وتتطلب القدرة على الصمود أيضاً الاهتمام بالتكرار، والتنوع، والقدرة على البقاء، والقدرة على الاستعادة، والأمن السيبراني، والتأهب للاضطرابات المادية والسيبرانية على السواء. ولذلك يعرض التقرير مؤشرات إضافية تكمّل المجالات التي يغطيها بالفعل إطار النتائج المقترح، بما في ذلك الأمن السيبراني والتأهب والاتصالات الناشئة. وتتزايد أهمية ذلك لأن الخدمات العامة الرقمية والمنصات السحابية وأنظمة المراقبة وتدفقات البيانات عبر الحدود تعتمد جميعها على توصيلية مستمرة وموثوقة. وتماشياً مع توجيهات المجلس، ينبغي أيضاً الاعتراف صراحة بقدرة الكبلات البحرية على الصمود باعتبارها جزءاً من البنية التحتية الحيوية للتوصيلية الدولية. ويشمل ذلك </w:t>
      </w:r>
      <w:r w:rsidR="005B5CAD">
        <w:rPr>
          <w:rFonts w:hint="cs"/>
          <w:rtl/>
          <w:lang w:bidi="ar-SA"/>
        </w:rPr>
        <w:t>المبادئ التوجيهية وال</w:t>
      </w:r>
      <w:r w:rsidRPr="00747F96">
        <w:rPr>
          <w:rtl/>
          <w:lang w:bidi="ar-SA"/>
        </w:rPr>
        <w:t xml:space="preserve">سياسات </w:t>
      </w:r>
      <w:r w:rsidR="005B5CAD">
        <w:rPr>
          <w:rFonts w:hint="cs"/>
          <w:rtl/>
          <w:lang w:bidi="ar-SA"/>
        </w:rPr>
        <w:t>المعنية ب</w:t>
      </w:r>
      <w:r w:rsidRPr="00747F96">
        <w:rPr>
          <w:rtl/>
          <w:lang w:bidi="ar-SA"/>
        </w:rPr>
        <w:t xml:space="preserve">الحماية الوطنية، وآليات تنسيق </w:t>
      </w:r>
      <w:r w:rsidR="000233C6">
        <w:rPr>
          <w:rFonts w:hint="cs"/>
          <w:rtl/>
          <w:lang w:bidi="ar-SA"/>
        </w:rPr>
        <w:t xml:space="preserve">الاستجابة </w:t>
      </w:r>
      <w:r w:rsidRPr="00747F96">
        <w:rPr>
          <w:rtl/>
          <w:lang w:bidi="ar-SA"/>
        </w:rPr>
        <w:t xml:space="preserve">للإصلاح والاستعادة، </w:t>
      </w:r>
      <w:r w:rsidR="00FA7B3A" w:rsidRPr="00FA7B3A">
        <w:rPr>
          <w:rtl/>
        </w:rPr>
        <w:t>ومعايير الاتحاد المعتمدة</w:t>
      </w:r>
      <w:r w:rsidR="00FA7B3A">
        <w:rPr>
          <w:rFonts w:hint="cs"/>
          <w:rtl/>
        </w:rPr>
        <w:t xml:space="preserve"> </w:t>
      </w:r>
      <w:r w:rsidRPr="00747F96">
        <w:rPr>
          <w:rtl/>
          <w:lang w:bidi="ar-SA"/>
        </w:rPr>
        <w:t>لضمان تنوع المسارات وا</w:t>
      </w:r>
      <w:r w:rsidR="00FA7B3A">
        <w:rPr>
          <w:rFonts w:hint="cs"/>
          <w:rtl/>
          <w:lang w:bidi="ar-SA"/>
        </w:rPr>
        <w:t>ستراتيجيات ال</w:t>
      </w:r>
      <w:r w:rsidRPr="00747F96">
        <w:rPr>
          <w:rtl/>
          <w:lang w:bidi="ar-SA"/>
        </w:rPr>
        <w:t>حد من نقاط التعطل الوحيدة في التوصيلية الدولية، والاعتماد التدريجي للتكنولوجيات الناشئة، بما في ذلك مراقبة الشبكات وآليات الصمود المؤتمتة للبنية التحتية الحيوية للاتصالات، بما في ذلك أنظمة الكبلات البحرية، دعماً للكشف المبكر عن الأعطال والصيانة التنبؤية واستعادة الخدمات بشكل أسرع.</w:t>
      </w:r>
    </w:p>
    <w:p w14:paraId="77290127" w14:textId="1617EFBB" w:rsidR="00747F96" w:rsidRPr="00747F96" w:rsidRDefault="00747F96" w:rsidP="00747F96">
      <w:pPr>
        <w:rPr>
          <w:lang w:val="ar-SA"/>
        </w:rPr>
      </w:pPr>
      <w:r w:rsidRPr="00747F96">
        <w:rPr>
          <w:rtl/>
          <w:lang w:bidi="ar-SA"/>
        </w:rPr>
        <w:t xml:space="preserve">ويستند التقرير إلى عمل الاتحاد الراسخ في مجال التقييس والتنمية ودعم السياسات. وقد تشمل المراجع ذات الصلة توصيات قطاع تقييس الاتصالات بشأن الموثوقية والقدرة على الصمود، وعمل قطاع تنمية الاتصالات في </w:t>
      </w:r>
      <w:r>
        <w:rPr>
          <w:rFonts w:hint="cs"/>
          <w:rtl/>
          <w:lang w:bidi="ar-SA"/>
        </w:rPr>
        <w:t xml:space="preserve">مجال الاتصالات في </w:t>
      </w:r>
      <w:r w:rsidRPr="00747F96">
        <w:rPr>
          <w:rtl/>
          <w:lang w:bidi="ar-SA"/>
        </w:rPr>
        <w:t>حالات الطوارئ، ومبادرات قدرة الشبكات على الصمود، التي يمكن تتبعها من خلال أداة الاتحاد لتتبع تنظيم تكنولوجيا المعلومات والاتصالات واستقصاءات قطاع تنمية الاتصالات، وتُستكمل بتقارير قائمة على الحالات.</w:t>
      </w:r>
    </w:p>
    <w:p w14:paraId="7B1E288E" w14:textId="2F54A1C4" w:rsidR="00747F96" w:rsidRPr="00747F96" w:rsidRDefault="00747F96" w:rsidP="00747F96">
      <w:pPr>
        <w:rPr>
          <w:lang w:val="ar-SA"/>
        </w:rPr>
      </w:pPr>
      <w:r w:rsidRPr="00747F96">
        <w:rPr>
          <w:rtl/>
          <w:lang w:bidi="ar-SA"/>
        </w:rPr>
        <w:t>وعلى هذا الأساس، تود الأمانة أن تعرض ثلاث</w:t>
      </w:r>
      <w:r>
        <w:rPr>
          <w:rFonts w:hint="cs"/>
          <w:rtl/>
          <w:lang w:bidi="ar-SA"/>
        </w:rPr>
        <w:t>ة</w:t>
      </w:r>
      <w:r w:rsidRPr="00747F96">
        <w:rPr>
          <w:rtl/>
          <w:lang w:bidi="ar-SA"/>
        </w:rPr>
        <w:t xml:space="preserve"> نواتج جديدة في إطار الأولوية بشأن "البنية التحتية والخدمات الشاملة والآمنة للاتصالات/تكنولوجيا المعلومات والاتصالات":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3836"/>
        <w:gridCol w:w="3838"/>
      </w:tblGrid>
      <w:tr w:rsidR="00747F96" w:rsidRPr="00747F96" w14:paraId="1414C129" w14:textId="77777777" w:rsidTr="00075FD1">
        <w:trPr>
          <w:cantSplit/>
          <w:jc w:val="center"/>
        </w:trPr>
        <w:tc>
          <w:tcPr>
            <w:tcW w:w="1015" w:type="pct"/>
          </w:tcPr>
          <w:p w14:paraId="51CBDC3C" w14:textId="55FFC541"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الأولوية</w:t>
            </w:r>
          </w:p>
        </w:tc>
        <w:tc>
          <w:tcPr>
            <w:tcW w:w="1992" w:type="pct"/>
          </w:tcPr>
          <w:p w14:paraId="14CCCBA8" w14:textId="503F2EAC"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الناتج</w:t>
            </w:r>
          </w:p>
        </w:tc>
        <w:tc>
          <w:tcPr>
            <w:tcW w:w="1993" w:type="pct"/>
          </w:tcPr>
          <w:p w14:paraId="0FADA80D" w14:textId="77777777"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مؤشر الناتج</w:t>
            </w:r>
          </w:p>
        </w:tc>
      </w:tr>
      <w:tr w:rsidR="00747F96" w:rsidRPr="00747F96" w14:paraId="0C27A36F" w14:textId="77777777" w:rsidTr="00075FD1">
        <w:trPr>
          <w:cantSplit/>
          <w:jc w:val="center"/>
        </w:trPr>
        <w:tc>
          <w:tcPr>
            <w:tcW w:w="1015" w:type="pct"/>
            <w:vMerge w:val="restart"/>
          </w:tcPr>
          <w:p w14:paraId="7B42EB7A" w14:textId="77777777" w:rsidR="00747F96" w:rsidRPr="00747F96" w:rsidRDefault="00747F96" w:rsidP="00747F96">
            <w:pPr>
              <w:spacing w:before="60" w:after="60" w:line="260" w:lineRule="exact"/>
              <w:jc w:val="left"/>
              <w:rPr>
                <w:position w:val="2"/>
                <w:sz w:val="20"/>
                <w:szCs w:val="20"/>
                <w:lang w:val="ar-SA"/>
              </w:rPr>
            </w:pPr>
            <w:r w:rsidRPr="00747F96">
              <w:rPr>
                <w:position w:val="2"/>
                <w:sz w:val="20"/>
                <w:szCs w:val="20"/>
                <w:rtl/>
                <w:lang w:bidi="ar-SA"/>
              </w:rPr>
              <w:t>البنية التحتية والخدمات الشاملة والآمنة للاتصالات/تكنولوجيا المعلومات والاتصالات</w:t>
            </w:r>
          </w:p>
        </w:tc>
        <w:tc>
          <w:tcPr>
            <w:tcW w:w="1992" w:type="pct"/>
          </w:tcPr>
          <w:p w14:paraId="5150A041"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تنظيم التكرار والتنوع في الشبكات</w:t>
            </w:r>
          </w:p>
        </w:tc>
        <w:tc>
          <w:tcPr>
            <w:tcW w:w="1993" w:type="pct"/>
          </w:tcPr>
          <w:p w14:paraId="1D20BE0C"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دول أعضاء تلزم المشغلين بتنفيذ التكرار وتنوع المسارات للبنية التحتية الحيوية، بما في ذلك التوصيلية الدولية</w:t>
            </w:r>
          </w:p>
        </w:tc>
      </w:tr>
      <w:tr w:rsidR="00747F96" w:rsidRPr="00747F96" w14:paraId="635DFB29" w14:textId="77777777" w:rsidTr="00075FD1">
        <w:trPr>
          <w:cantSplit/>
          <w:jc w:val="center"/>
        </w:trPr>
        <w:tc>
          <w:tcPr>
            <w:tcW w:w="1015" w:type="pct"/>
            <w:vMerge/>
          </w:tcPr>
          <w:p w14:paraId="67B5A154" w14:textId="77777777" w:rsidR="00747F96" w:rsidRPr="00747F96" w:rsidRDefault="00747F96" w:rsidP="00747F96">
            <w:pPr>
              <w:spacing w:before="60" w:after="60" w:line="260" w:lineRule="exact"/>
              <w:jc w:val="left"/>
              <w:rPr>
                <w:position w:val="2"/>
                <w:sz w:val="20"/>
                <w:szCs w:val="20"/>
                <w:lang w:val="en-US"/>
              </w:rPr>
            </w:pPr>
          </w:p>
        </w:tc>
        <w:tc>
          <w:tcPr>
            <w:tcW w:w="1992" w:type="pct"/>
          </w:tcPr>
          <w:p w14:paraId="3DFB02B6"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القدرة على مراقبة الانقطاع والاستجابة له</w:t>
            </w:r>
          </w:p>
        </w:tc>
        <w:tc>
          <w:tcPr>
            <w:tcW w:w="1993" w:type="pct"/>
          </w:tcPr>
          <w:p w14:paraId="61A3C8DF" w14:textId="7E9B332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دول أعضاء لديها آليات لرصد حالات الانقطاع الكبيرة في الشبكات عند تأثيرها في الخدمات الحيوية والإبلاغ عنها والاستجابة لها</w:t>
            </w:r>
          </w:p>
        </w:tc>
      </w:tr>
      <w:tr w:rsidR="00747F96" w:rsidRPr="00747F96" w14:paraId="748F1239" w14:textId="77777777" w:rsidTr="00075FD1">
        <w:trPr>
          <w:cantSplit/>
          <w:jc w:val="center"/>
        </w:trPr>
        <w:tc>
          <w:tcPr>
            <w:tcW w:w="1015" w:type="pct"/>
            <w:vMerge/>
          </w:tcPr>
          <w:p w14:paraId="2779402B" w14:textId="77777777" w:rsidR="00747F96" w:rsidRPr="00747F96" w:rsidRDefault="00747F96" w:rsidP="00747F96">
            <w:pPr>
              <w:spacing w:before="60" w:after="60" w:line="260" w:lineRule="exact"/>
              <w:jc w:val="left"/>
              <w:rPr>
                <w:position w:val="2"/>
                <w:sz w:val="20"/>
                <w:szCs w:val="20"/>
                <w:lang w:val="en-US"/>
              </w:rPr>
            </w:pPr>
          </w:p>
        </w:tc>
        <w:tc>
          <w:tcPr>
            <w:tcW w:w="1992" w:type="pct"/>
          </w:tcPr>
          <w:p w14:paraId="719F7727"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تدابير قدرة الكبلات البحرية على الصمود</w:t>
            </w:r>
          </w:p>
        </w:tc>
        <w:tc>
          <w:tcPr>
            <w:tcW w:w="1993" w:type="pct"/>
          </w:tcPr>
          <w:p w14:paraId="0DAB0297" w14:textId="6C7CFAC5" w:rsidR="00747F96" w:rsidRPr="00747F96" w:rsidRDefault="00747F96" w:rsidP="00A15EE8">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 xml:space="preserve">دول أعضاء تنفذ سياسات أو آليات تنسيق </w:t>
            </w:r>
            <w:r w:rsidR="00A15EE8" w:rsidRPr="00A15EE8">
              <w:rPr>
                <w:position w:val="2"/>
                <w:sz w:val="20"/>
                <w:szCs w:val="20"/>
                <w:rtl/>
              </w:rPr>
              <w:t>من أجل صمود الكبلات البحرية (أي</w:t>
            </w:r>
            <w:r w:rsidR="00A15EE8">
              <w:rPr>
                <w:rFonts w:hint="cs"/>
                <w:position w:val="2"/>
                <w:sz w:val="20"/>
                <w:szCs w:val="20"/>
                <w:rtl/>
              </w:rPr>
              <w:t xml:space="preserve"> </w:t>
            </w:r>
            <w:r w:rsidRPr="00747F96">
              <w:rPr>
                <w:position w:val="2"/>
                <w:sz w:val="20"/>
                <w:szCs w:val="20"/>
                <w:rtl/>
                <w:lang w:bidi="ar-SA"/>
              </w:rPr>
              <w:t>حماية الكبلات البحرية وتنويع المسارات والتأهب للاستعادة، بما في ذلك قدرات المراقبة والصمود المؤتمتة لكشف الأعطال والصيانة التنبؤية واستعادة الخدمة</w:t>
            </w:r>
            <w:r w:rsidR="00A15EE8">
              <w:rPr>
                <w:rFonts w:hint="cs"/>
                <w:position w:val="2"/>
                <w:sz w:val="20"/>
                <w:szCs w:val="20"/>
                <w:rtl/>
                <w:lang w:bidi="ar-SA"/>
              </w:rPr>
              <w:t>)</w:t>
            </w:r>
          </w:p>
        </w:tc>
      </w:tr>
    </w:tbl>
    <w:p w14:paraId="6467A160" w14:textId="77777777" w:rsidR="00824A32" w:rsidRDefault="00824A32" w:rsidP="00824A32">
      <w:pPr>
        <w:pStyle w:val="Tablefin"/>
      </w:pPr>
    </w:p>
    <w:p w14:paraId="38741114" w14:textId="1E41FBDA" w:rsidR="00747F96" w:rsidRPr="00747F96" w:rsidRDefault="00747F96" w:rsidP="00B76208">
      <w:pPr>
        <w:rPr>
          <w:lang w:val="ar-SA"/>
        </w:rPr>
      </w:pPr>
      <w:r w:rsidRPr="00747F96">
        <w:rPr>
          <w:rtl/>
          <w:lang w:bidi="ar-SA"/>
        </w:rPr>
        <w:t xml:space="preserve">فيما يتعلق بالمقصد 6.1، توصي الأمانة </w:t>
      </w:r>
      <w:r w:rsidR="00B76208" w:rsidRPr="00B76208">
        <w:rPr>
          <w:rtl/>
        </w:rPr>
        <w:t>بعدم الاحتفاظ به كمقصد منفصل وبدلا</w:t>
      </w:r>
      <w:r w:rsidR="00C74BAE">
        <w:rPr>
          <w:rFonts w:hint="cs"/>
          <w:rtl/>
        </w:rPr>
        <w:t>ً</w:t>
      </w:r>
      <w:r w:rsidR="00B76208" w:rsidRPr="00B76208">
        <w:rPr>
          <w:rtl/>
        </w:rPr>
        <w:t xml:space="preserve"> من ذلك إبراز</w:t>
      </w:r>
      <w:r w:rsidR="00C74BAE">
        <w:rPr>
          <w:rFonts w:hint="cs"/>
          <w:rtl/>
        </w:rPr>
        <w:t xml:space="preserve"> </w:t>
      </w:r>
      <w:r w:rsidRPr="00747F96">
        <w:rPr>
          <w:rtl/>
          <w:lang w:bidi="ar-SA"/>
        </w:rPr>
        <w:t xml:space="preserve">"طيف الترددات الراديوية الخالي من التداخلات الضارة" كناتج </w:t>
      </w:r>
      <w:r w:rsidR="00C74BAE">
        <w:rPr>
          <w:rFonts w:hint="cs"/>
          <w:rtl/>
          <w:lang w:bidi="ar-SA"/>
        </w:rPr>
        <w:t xml:space="preserve">آخر </w:t>
      </w:r>
      <w:r w:rsidRPr="00747F96">
        <w:rPr>
          <w:rtl/>
          <w:lang w:bidi="ar-SA"/>
        </w:rPr>
        <w:t>ضمن الأولوية بشأن "استخدام الطيف للخدمات الفضائية وخدمات الأرض"، على النحو المبين حالياً في الخطة الاستراتيجية للفترة</w:t>
      </w:r>
      <w:r>
        <w:rPr>
          <w:rFonts w:hint="cs"/>
          <w:rtl/>
          <w:lang w:bidi="ar-SA"/>
        </w:rPr>
        <w:t> </w:t>
      </w:r>
      <w:r w:rsidRPr="00747F96">
        <w:rPr>
          <w:rtl/>
          <w:lang w:bidi="ar-SA"/>
        </w:rPr>
        <w:t>2024</w:t>
      </w:r>
      <w:r>
        <w:rPr>
          <w:rtl/>
          <w:lang w:bidi="ar-SA"/>
        </w:rPr>
        <w:noBreakHyphen/>
      </w:r>
      <w:r w:rsidRPr="00747F96">
        <w:rPr>
          <w:rtl/>
          <w:lang w:bidi="ar-SA"/>
        </w:rPr>
        <w:t>2027.</w:t>
      </w:r>
    </w:p>
    <w:p w14:paraId="57BFF58B" w14:textId="77777777" w:rsidR="00747F96" w:rsidRPr="00747F96" w:rsidRDefault="00747F96" w:rsidP="00747F96">
      <w:pPr>
        <w:rPr>
          <w:lang w:val="ar-SA"/>
        </w:rPr>
      </w:pPr>
      <w:r w:rsidRPr="00747F96">
        <w:rPr>
          <w:rtl/>
          <w:lang w:bidi="ar-SA"/>
        </w:rPr>
        <w:t>ويتناول هذا الناتج المقترح بُعداً متميزاً ومكملاً لاستخدام الطيف ففي حين أن الناتج 1 الحالي (</w:t>
      </w:r>
      <w:r w:rsidRPr="00747F96">
        <w:rPr>
          <w:i/>
          <w:iCs/>
          <w:rtl/>
          <w:lang w:bidi="ar-SA"/>
        </w:rPr>
        <w:t>استعمال موارد طيف الترددات الراديوية والمدارات الراديوية بكفاءة وبطريقة اقتصادية وعقلانية ومنصفة</w:t>
      </w:r>
      <w:r w:rsidRPr="00747F96">
        <w:rPr>
          <w:rtl/>
          <w:lang w:bidi="ar-SA"/>
        </w:rPr>
        <w:t xml:space="preserve">) يجسد مبادئ الكفاءة والاقتصاد والعقلانية والإنصاف، فإن الناتج 2 المقترح سيُدخل معيار الخلو من التداخل الضار، مما يكفل ألا يكون استعمال الطيف أمثل فحسب، بل موثوقاً أيضاً. وتظل الحماية من التداخل الضار هدفاً أساسياً ودائماً وشاملاً لعمل قطاع الاتصالات الراديوية </w:t>
      </w:r>
      <w:r w:rsidRPr="00747F96">
        <w:rPr>
          <w:lang w:val="en-US"/>
        </w:rPr>
        <w:t>(ITU-R)</w:t>
      </w:r>
      <w:r w:rsidRPr="00747F96">
        <w:rPr>
          <w:rtl/>
          <w:lang w:bidi="ar-SA"/>
        </w:rPr>
        <w:t xml:space="preserve"> ونواتجه.</w:t>
      </w:r>
    </w:p>
    <w:p w14:paraId="4F39E6E5" w14:textId="4F6643FF" w:rsidR="0017092C" w:rsidRPr="00747F96" w:rsidRDefault="0017092C" w:rsidP="0017092C">
      <w:pPr>
        <w:rPr>
          <w:lang w:val="ar-SA"/>
        </w:rPr>
      </w:pPr>
      <w:r w:rsidRPr="0017092C">
        <w:rPr>
          <w:rtl/>
          <w:lang w:val="ar-SA"/>
        </w:rPr>
        <w:t xml:space="preserve">وبما أن عدد حالات التداخل الضار المبلغ عنها والتي تم </w:t>
      </w:r>
      <w:r>
        <w:rPr>
          <w:rFonts w:hint="cs"/>
          <w:rtl/>
          <w:lang w:val="ar-SA"/>
        </w:rPr>
        <w:t>حسمها</w:t>
      </w:r>
      <w:r w:rsidRPr="0017092C">
        <w:rPr>
          <w:rtl/>
          <w:lang w:val="ar-SA"/>
        </w:rPr>
        <w:t xml:space="preserve"> ه</w:t>
      </w:r>
      <w:r>
        <w:rPr>
          <w:rFonts w:hint="cs"/>
          <w:rtl/>
          <w:lang w:val="ar-SA"/>
        </w:rPr>
        <w:t>ي</w:t>
      </w:r>
      <w:r w:rsidRPr="0017092C">
        <w:rPr>
          <w:rtl/>
          <w:lang w:val="ar-SA"/>
        </w:rPr>
        <w:t xml:space="preserve"> مقاييس إجرائية تشغيلية لمكتب الاتصالات الراديوية وليس</w:t>
      </w:r>
      <w:r>
        <w:rPr>
          <w:rFonts w:hint="cs"/>
          <w:rtl/>
          <w:lang w:val="ar-SA"/>
        </w:rPr>
        <w:t>ت</w:t>
      </w:r>
      <w:r w:rsidRPr="0017092C">
        <w:rPr>
          <w:rtl/>
          <w:lang w:val="ar-SA"/>
        </w:rPr>
        <w:t xml:space="preserve"> مؤشرات أداء استراتيجية، فإن مثل هذه الحالات تتناسب مع مؤشرات نتائج </w:t>
      </w:r>
      <w:r w:rsidR="008369D8">
        <w:rPr>
          <w:rFonts w:hint="cs"/>
          <w:rtl/>
          <w:lang w:bidi="ar-SA"/>
        </w:rPr>
        <w:t>الناتج</w:t>
      </w:r>
      <w:r w:rsidRPr="0017092C">
        <w:rPr>
          <w:rtl/>
          <w:lang w:val="ar-SA"/>
        </w:rPr>
        <w:t xml:space="preserve"> </w:t>
      </w:r>
      <w:r w:rsidR="008369D8">
        <w:rPr>
          <w:rFonts w:hint="cs"/>
          <w:rtl/>
          <w:lang w:val="ar-SA"/>
        </w:rPr>
        <w:t>الثاني.</w:t>
      </w:r>
    </w:p>
    <w:p w14:paraId="6276DD3C" w14:textId="77777777" w:rsidR="00747F96" w:rsidRPr="00747F96" w:rsidRDefault="00747F96" w:rsidP="00747F96">
      <w:pPr>
        <w:rPr>
          <w:lang w:val="ar-SA"/>
        </w:rPr>
      </w:pPr>
      <w:r w:rsidRPr="00747F96">
        <w:rPr>
          <w:rtl/>
          <w:lang w:bidi="ar-SA"/>
        </w:rPr>
        <w:t>وفيما يلي التعديل المقترح لكي ينظر فيه مؤتمر المندوبين المفوضين لعام 2026: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3896"/>
        <w:gridCol w:w="3896"/>
      </w:tblGrid>
      <w:tr w:rsidR="00747F96" w:rsidRPr="00747F96" w14:paraId="628ABA9D" w14:textId="77777777" w:rsidTr="00075FD1">
        <w:trPr>
          <w:trHeight w:val="97"/>
        </w:trPr>
        <w:tc>
          <w:tcPr>
            <w:tcW w:w="954" w:type="pct"/>
          </w:tcPr>
          <w:p w14:paraId="26943B32" w14:textId="7219C6A0"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الأولوية</w:t>
            </w:r>
          </w:p>
        </w:tc>
        <w:tc>
          <w:tcPr>
            <w:tcW w:w="2023" w:type="pct"/>
          </w:tcPr>
          <w:p w14:paraId="1FAFADAE" w14:textId="61E5DDC3"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الناتج</w:t>
            </w:r>
          </w:p>
        </w:tc>
        <w:tc>
          <w:tcPr>
            <w:tcW w:w="2023" w:type="pct"/>
          </w:tcPr>
          <w:p w14:paraId="31A6AEC0" w14:textId="4A796292"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مؤشر الناتج</w:t>
            </w:r>
          </w:p>
        </w:tc>
      </w:tr>
      <w:tr w:rsidR="00747F96" w:rsidRPr="00747F96" w14:paraId="22757373" w14:textId="77777777" w:rsidTr="00075FD1">
        <w:trPr>
          <w:trHeight w:val="97"/>
        </w:trPr>
        <w:tc>
          <w:tcPr>
            <w:tcW w:w="954" w:type="pct"/>
          </w:tcPr>
          <w:p w14:paraId="7F260215" w14:textId="77777777" w:rsidR="00747F96" w:rsidRPr="00747F96" w:rsidRDefault="00747F96" w:rsidP="00747F96">
            <w:pPr>
              <w:spacing w:before="60" w:after="60" w:line="260" w:lineRule="exact"/>
              <w:jc w:val="left"/>
              <w:rPr>
                <w:b/>
                <w:position w:val="2"/>
                <w:sz w:val="20"/>
                <w:szCs w:val="20"/>
                <w:lang w:val="ar-SA"/>
              </w:rPr>
            </w:pPr>
            <w:r w:rsidRPr="00747F96">
              <w:rPr>
                <w:b/>
                <w:bCs/>
                <w:position w:val="2"/>
                <w:sz w:val="20"/>
                <w:szCs w:val="20"/>
                <w:rtl/>
                <w:lang w:bidi="ar-SA"/>
              </w:rPr>
              <w:t>استعمال الطيف للخدمات الفضائية وخدمات الأرض</w:t>
            </w:r>
          </w:p>
        </w:tc>
        <w:tc>
          <w:tcPr>
            <w:tcW w:w="2023" w:type="pct"/>
          </w:tcPr>
          <w:p w14:paraId="702AD2CB"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طيف الترددات الراديوية الخالي من التداخل الضار</w:t>
            </w:r>
          </w:p>
        </w:tc>
        <w:tc>
          <w:tcPr>
            <w:tcW w:w="2023" w:type="pct"/>
          </w:tcPr>
          <w:p w14:paraId="35E596A1"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 xml:space="preserve">عدد حالات التداخل الضار (لتخصيصات الترددات المتعلقة بالخدمات الفضائية) التي أُبلغ بها مكتب الاتصالات الراديوية في السنة الواحدة من الفترة المشمولة بالتقرير </w:t>
            </w:r>
          </w:p>
          <w:p w14:paraId="43D07315"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عدد حالات التداخل الضار (لتخصيصات الترددات المتعلقة بالخدمات الفضائية) التي أُبلغ بها مكتب الاتصالات الراديوية بانتظار الحل</w:t>
            </w:r>
          </w:p>
          <w:p w14:paraId="2EDBC93E"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عدد حالات التداخل الضار (للتخصيصات المتعلقة بخدمات الأرض) التي أُبلغ بها مكتب الاتصالات الراديوية في السنة الواحدة من الفترة المشمولة بالتقرير</w:t>
            </w:r>
          </w:p>
          <w:p w14:paraId="40C4167B"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عدد حالات التداخل الضار (للتخصيصات المتعلقة بخدمات الأرض) التي أُبلغ بها مكتب الاتصالات الراديوية بانتظار الحل</w:t>
            </w:r>
          </w:p>
          <w:p w14:paraId="3D9F470C"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عدد الحالات التي اتخذ مكتب الاتصالات الراديوية بشأنها الإجراءات المناسبة وفقاً للإجراء ذي الصلة (مثلاً وفقاً للرقمين 41.15 و42.15 من لوائح الراديو، وما إلى ذلك)</w:t>
            </w:r>
          </w:p>
        </w:tc>
      </w:tr>
    </w:tbl>
    <w:p w14:paraId="78658E29" w14:textId="77777777" w:rsidR="00824A32" w:rsidRDefault="00824A32" w:rsidP="00824A32">
      <w:pPr>
        <w:pStyle w:val="Tablefin"/>
      </w:pPr>
    </w:p>
    <w:p w14:paraId="78EA7DA2" w14:textId="76A6CF24" w:rsidR="00747F96" w:rsidRPr="00747F96" w:rsidRDefault="00747F96" w:rsidP="00747F96">
      <w:pPr>
        <w:rPr>
          <w:lang w:val="ar-SA"/>
        </w:rPr>
      </w:pPr>
      <w:r w:rsidRPr="00747F96">
        <w:rPr>
          <w:rtl/>
          <w:lang w:bidi="ar-SA"/>
        </w:rPr>
        <w:t xml:space="preserve">وفيما يتعلق بالمقصد 7.1، </w:t>
      </w:r>
      <w:r>
        <w:rPr>
          <w:rFonts w:hint="cs"/>
          <w:rtl/>
          <w:lang w:bidi="ar-SA"/>
        </w:rPr>
        <w:t>ي</w:t>
      </w:r>
      <w:r w:rsidRPr="00747F96">
        <w:rPr>
          <w:rtl/>
          <w:lang w:bidi="ar-SA"/>
        </w:rPr>
        <w:t xml:space="preserve">عد </w:t>
      </w:r>
      <w:r>
        <w:rPr>
          <w:rFonts w:hint="cs"/>
          <w:rtl/>
          <w:lang w:bidi="ar-SA"/>
        </w:rPr>
        <w:t xml:space="preserve">تأثير </w:t>
      </w:r>
      <w:r w:rsidRPr="00747F96">
        <w:rPr>
          <w:rtl/>
          <w:lang w:bidi="ar-SA"/>
        </w:rPr>
        <w:t>قابلية التشغيل البيني للمعايير أولوية مقترحة ترمي إلى إبراز أثر عمل الاتحاد في قطاع تكنولوجيا المعلومات والاتصالات والاقتصاد بشكل عام. وعلى هذا الأساس، تود الأمانة أن تقدم، كنقطة انطلاق، مؤشراً واحداً هو الأنسب على مستوى الأثر.</w:t>
      </w:r>
    </w:p>
    <w:p w14:paraId="56E2AFAE" w14:textId="1C5887AD" w:rsidR="00747F96" w:rsidRPr="00747F96" w:rsidRDefault="00747F96" w:rsidP="00747F96">
      <w:pPr>
        <w:rPr>
          <w:lang w:val="ar-SA"/>
        </w:rPr>
      </w:pPr>
      <w:r w:rsidRPr="00747F96">
        <w:rPr>
          <w:rtl/>
          <w:lang w:bidi="ar-SA"/>
        </w:rPr>
        <w:t xml:space="preserve">تعمل الغالبية العظمى من فيديو الإنترنت في العالم بنظام انضغاط </w:t>
      </w:r>
      <w:r>
        <w:rPr>
          <w:rFonts w:hint="cs"/>
          <w:rtl/>
          <w:lang w:bidi="ar-SA"/>
        </w:rPr>
        <w:t>مقيسة</w:t>
      </w:r>
      <w:r w:rsidRPr="00747F96">
        <w:rPr>
          <w:rtl/>
          <w:lang w:bidi="ar-SA"/>
        </w:rPr>
        <w:t xml:space="preserve"> للاتحاد. وعند التعبير عن هذا المؤشر في شكل نسبة، يمكن أن يتطور مع مرور الوقت وأن يعكس المنافسة الفعلية من كوديكات أخرى وأن يتيح وسيلة تمثيلية لإظهار أن معظم الفيديو في العالم يعتمد على معايير يسهم الاتحاد في وضعها.</w:t>
      </w:r>
    </w:p>
    <w:p w14:paraId="517A7B8E" w14:textId="602760C3" w:rsidR="00747F96" w:rsidRPr="00747F96" w:rsidRDefault="00747F96" w:rsidP="00747F96">
      <w:pPr>
        <w:rPr>
          <w:lang w:val="ar-SA"/>
        </w:rPr>
      </w:pPr>
      <w:r w:rsidRPr="00747F96">
        <w:rPr>
          <w:rtl/>
          <w:lang w:bidi="ar-SA"/>
        </w:rPr>
        <w:lastRenderedPageBreak/>
        <w:t>ومع مرور الوقت، ينبغي أن تساعد منهجية قصص النجاح الجاري وضعها في إطار الفريق الاستشاري لتقييس الاتصالات</w:t>
      </w:r>
      <w:r>
        <w:rPr>
          <w:rFonts w:hint="cs"/>
          <w:rtl/>
          <w:lang w:bidi="ar-SA"/>
        </w:rPr>
        <w:t> </w:t>
      </w:r>
      <w:r w:rsidRPr="00747F96">
        <w:rPr>
          <w:lang w:val="en-US"/>
        </w:rPr>
        <w:t>(TSAG)</w:t>
      </w:r>
      <w:r w:rsidRPr="00747F96">
        <w:rPr>
          <w:rtl/>
          <w:lang w:bidi="ar-SA"/>
        </w:rPr>
        <w:t xml:space="preserve"> في تحديد مؤشرات إضافية تعكس أثر الاتحاد، مع دعم رؤية مركبة لتأثير قابلية التشغيل البيني للمعايير بدلاً من مجموعة من المؤشرات المنفصلة المرتبطة بمعايير محددة.</w:t>
      </w:r>
    </w:p>
    <w:p w14:paraId="62E2CC27" w14:textId="77777777" w:rsidR="00747F96" w:rsidRPr="00747F96" w:rsidRDefault="00747F96" w:rsidP="00747F96">
      <w:pPr>
        <w:keepNext/>
        <w:rPr>
          <w:lang w:val="ar-SA"/>
        </w:rPr>
      </w:pPr>
      <w:r w:rsidRPr="00747F96">
        <w:rPr>
          <w:rtl/>
          <w:lang w:bidi="ar-SA"/>
        </w:rPr>
        <w:t>وفيما يلي مؤشر المقصد المقترح:</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4"/>
        <w:gridCol w:w="4815"/>
      </w:tblGrid>
      <w:tr w:rsidR="00747F96" w:rsidRPr="00747F96" w14:paraId="1FAC5EA8" w14:textId="77777777" w:rsidTr="00075FD1">
        <w:trPr>
          <w:trHeight w:val="98"/>
        </w:trPr>
        <w:tc>
          <w:tcPr>
            <w:tcW w:w="2500" w:type="pct"/>
          </w:tcPr>
          <w:p w14:paraId="027017B1" w14:textId="318B7C55" w:rsidR="00747F96" w:rsidRPr="00747F96" w:rsidRDefault="00747F96" w:rsidP="00747F96">
            <w:pPr>
              <w:keepNext/>
              <w:spacing w:before="60" w:after="60" w:line="260" w:lineRule="exact"/>
              <w:jc w:val="center"/>
              <w:rPr>
                <w:b/>
                <w:position w:val="2"/>
                <w:sz w:val="20"/>
                <w:szCs w:val="20"/>
                <w:lang w:val="ar-SA"/>
              </w:rPr>
            </w:pPr>
            <w:r w:rsidRPr="00747F96">
              <w:rPr>
                <w:b/>
                <w:bCs/>
                <w:position w:val="2"/>
                <w:sz w:val="20"/>
                <w:szCs w:val="20"/>
                <w:rtl/>
                <w:lang w:bidi="ar-SA"/>
              </w:rPr>
              <w:t>المقصد</w:t>
            </w:r>
          </w:p>
        </w:tc>
        <w:tc>
          <w:tcPr>
            <w:tcW w:w="2500" w:type="pct"/>
          </w:tcPr>
          <w:p w14:paraId="21499A2C" w14:textId="4F2D8ABE" w:rsidR="00747F96" w:rsidRPr="00747F96" w:rsidRDefault="00747F96" w:rsidP="00747F96">
            <w:pPr>
              <w:keepNext/>
              <w:spacing w:before="60" w:after="60" w:line="260" w:lineRule="exact"/>
              <w:jc w:val="center"/>
              <w:rPr>
                <w:b/>
                <w:position w:val="2"/>
                <w:sz w:val="20"/>
                <w:szCs w:val="20"/>
                <w:lang w:val="ar-SA"/>
              </w:rPr>
            </w:pPr>
            <w:r w:rsidRPr="00747F96">
              <w:rPr>
                <w:b/>
                <w:bCs/>
                <w:position w:val="2"/>
                <w:sz w:val="20"/>
                <w:szCs w:val="20"/>
                <w:rtl/>
                <w:lang w:bidi="ar-SA"/>
              </w:rPr>
              <w:t>مؤشر المقصد</w:t>
            </w:r>
          </w:p>
        </w:tc>
      </w:tr>
      <w:tr w:rsidR="00747F96" w:rsidRPr="00747F96" w14:paraId="2850652A" w14:textId="77777777" w:rsidTr="00075FD1">
        <w:trPr>
          <w:trHeight w:val="98"/>
        </w:trPr>
        <w:tc>
          <w:tcPr>
            <w:tcW w:w="2500" w:type="pct"/>
          </w:tcPr>
          <w:p w14:paraId="32B82740" w14:textId="77777777" w:rsidR="00747F96" w:rsidRPr="00747F96" w:rsidRDefault="00747F96" w:rsidP="00747F96">
            <w:pPr>
              <w:spacing w:before="60" w:after="60" w:line="260" w:lineRule="exact"/>
              <w:rPr>
                <w:position w:val="2"/>
                <w:sz w:val="20"/>
                <w:szCs w:val="20"/>
                <w:lang w:val="ar-SA"/>
              </w:rPr>
            </w:pPr>
            <w:r w:rsidRPr="00747F96">
              <w:rPr>
                <w:position w:val="2"/>
                <w:sz w:val="20"/>
                <w:szCs w:val="20"/>
                <w:rtl/>
                <w:lang w:bidi="ar-SA"/>
              </w:rPr>
              <w:t xml:space="preserve"> 7.1</w:t>
            </w:r>
            <w:r w:rsidRPr="00747F96">
              <w:rPr>
                <w:position w:val="2"/>
                <w:sz w:val="20"/>
                <w:szCs w:val="20"/>
                <w:lang w:val="en-US"/>
              </w:rPr>
              <w:t>:</w:t>
            </w:r>
            <w:r w:rsidRPr="00747F96">
              <w:rPr>
                <w:position w:val="2"/>
                <w:sz w:val="20"/>
                <w:szCs w:val="20"/>
                <w:rtl/>
                <w:lang w:bidi="ar-SA"/>
              </w:rPr>
              <w:t xml:space="preserve"> تأثير معايير قابلية التشغيل البيني</w:t>
            </w:r>
          </w:p>
        </w:tc>
        <w:tc>
          <w:tcPr>
            <w:tcW w:w="2500" w:type="pct"/>
          </w:tcPr>
          <w:p w14:paraId="5DC6A262" w14:textId="7747BB0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نسبة حركة الفيديو العالمية المنقولة بواسطة الكودكات المقيَّسة للاتحاد (</w:t>
            </w:r>
            <w:r>
              <w:rPr>
                <w:position w:val="2"/>
                <w:sz w:val="20"/>
                <w:szCs w:val="20"/>
                <w:lang w:bidi="ar-SA"/>
              </w:rPr>
              <w:t>%</w:t>
            </w:r>
            <w:r w:rsidRPr="00747F96">
              <w:rPr>
                <w:position w:val="2"/>
                <w:sz w:val="20"/>
                <w:szCs w:val="20"/>
                <w:rtl/>
                <w:lang w:bidi="ar-SA"/>
              </w:rPr>
              <w:t xml:space="preserve">) </w:t>
            </w:r>
          </w:p>
        </w:tc>
      </w:tr>
    </w:tbl>
    <w:p w14:paraId="4ACE33C9" w14:textId="77777777" w:rsidR="00824A32" w:rsidRDefault="00824A32" w:rsidP="00824A32">
      <w:pPr>
        <w:pStyle w:val="Tablefin"/>
      </w:pPr>
    </w:p>
    <w:p w14:paraId="24FF9115" w14:textId="224BA38E" w:rsidR="00747F96" w:rsidRPr="00747F96" w:rsidRDefault="00326A0E" w:rsidP="00747F96">
      <w:pPr>
        <w:rPr>
          <w:lang w:val="ar-SA"/>
        </w:rPr>
      </w:pPr>
      <w:r>
        <w:rPr>
          <w:rFonts w:hint="cs"/>
          <w:rtl/>
          <w:lang w:bidi="ar-SA"/>
        </w:rPr>
        <w:t>وفي إطار المشاورات التي جرت</w:t>
      </w:r>
      <w:r w:rsidR="00747F96" w:rsidRPr="00747F96">
        <w:rPr>
          <w:rtl/>
          <w:lang w:bidi="ar-SA"/>
        </w:rPr>
        <w:t xml:space="preserve">، </w:t>
      </w:r>
      <w:r>
        <w:rPr>
          <w:rFonts w:hint="cs"/>
          <w:rtl/>
          <w:lang w:bidi="ar-SA"/>
        </w:rPr>
        <w:t>حددت</w:t>
      </w:r>
      <w:r w:rsidRPr="00747F96">
        <w:rPr>
          <w:rtl/>
          <w:lang w:bidi="ar-SA"/>
        </w:rPr>
        <w:t xml:space="preserve"> </w:t>
      </w:r>
      <w:r w:rsidR="00747F96" w:rsidRPr="00747F96">
        <w:rPr>
          <w:rtl/>
          <w:lang w:bidi="ar-SA"/>
        </w:rPr>
        <w:t xml:space="preserve">الأمانة </w:t>
      </w:r>
      <w:r>
        <w:rPr>
          <w:rFonts w:hint="cs"/>
          <w:rtl/>
          <w:lang w:bidi="ar-SA"/>
        </w:rPr>
        <w:t xml:space="preserve">كذلك </w:t>
      </w:r>
      <w:r w:rsidR="00747F96" w:rsidRPr="00747F96">
        <w:rPr>
          <w:rtl/>
          <w:lang w:bidi="ar-SA"/>
        </w:rPr>
        <w:t xml:space="preserve">مؤشر </w:t>
      </w:r>
      <w:r>
        <w:rPr>
          <w:rFonts w:hint="cs"/>
          <w:rtl/>
          <w:lang w:bidi="ar-SA"/>
        </w:rPr>
        <w:t>ا</w:t>
      </w:r>
      <w:r w:rsidR="00747F96" w:rsidRPr="00747F96">
        <w:rPr>
          <w:rtl/>
          <w:lang w:bidi="ar-SA"/>
        </w:rPr>
        <w:t xml:space="preserve">لنتائج ذا </w:t>
      </w:r>
      <w:r>
        <w:rPr>
          <w:rFonts w:hint="cs"/>
          <w:rtl/>
          <w:lang w:bidi="ar-SA"/>
        </w:rPr>
        <w:t>ال</w:t>
      </w:r>
      <w:r w:rsidR="00747F96" w:rsidRPr="00747F96">
        <w:rPr>
          <w:rtl/>
          <w:lang w:bidi="ar-SA"/>
        </w:rPr>
        <w:t xml:space="preserve">طابع </w:t>
      </w:r>
      <w:r>
        <w:rPr>
          <w:rFonts w:hint="cs"/>
          <w:rtl/>
          <w:lang w:bidi="ar-SA"/>
        </w:rPr>
        <w:t>ال</w:t>
      </w:r>
      <w:r w:rsidR="00747F96" w:rsidRPr="00747F96">
        <w:rPr>
          <w:rtl/>
          <w:lang w:bidi="ar-SA"/>
        </w:rPr>
        <w:t xml:space="preserve">استشرافي </w:t>
      </w:r>
      <w:r>
        <w:rPr>
          <w:rFonts w:hint="cs"/>
          <w:rtl/>
          <w:lang w:bidi="ar-SA"/>
        </w:rPr>
        <w:t xml:space="preserve">التالي </w:t>
      </w:r>
      <w:r w:rsidR="00747F96" w:rsidRPr="00747F96">
        <w:rPr>
          <w:rtl/>
          <w:lang w:bidi="ar-SA"/>
        </w:rPr>
        <w:t>لينظر فيه مؤتمر المندوبين المفوضين لعام 2026. فنظام الترقيم نفسه الذي أتاح في السابق المهاتفة العالمية يعمل الآن على توسيع نطاق التوصيلية من خلال السماح للسواتل بالتوصيل مباشرة بأجهزة اليد التي تقع خارج نطاق شبكات الأرض. وفي هذا السياق، يكون مؤشر الناتج المقترح على النحو التالي: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3775"/>
        <w:gridCol w:w="3775"/>
      </w:tblGrid>
      <w:tr w:rsidR="00747F96" w:rsidRPr="00747F96" w14:paraId="63AD91B0" w14:textId="77777777" w:rsidTr="00075FD1">
        <w:trPr>
          <w:trHeight w:val="97"/>
        </w:trPr>
        <w:tc>
          <w:tcPr>
            <w:tcW w:w="1080" w:type="pct"/>
          </w:tcPr>
          <w:p w14:paraId="390B4E70" w14:textId="213067E7"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الأولوية</w:t>
            </w:r>
          </w:p>
        </w:tc>
        <w:tc>
          <w:tcPr>
            <w:tcW w:w="1960" w:type="pct"/>
          </w:tcPr>
          <w:p w14:paraId="01CD039F" w14:textId="590ECA54"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الناتج</w:t>
            </w:r>
          </w:p>
        </w:tc>
        <w:tc>
          <w:tcPr>
            <w:tcW w:w="1960" w:type="pct"/>
          </w:tcPr>
          <w:p w14:paraId="31109193" w14:textId="77777777" w:rsidR="00747F96" w:rsidRPr="00747F96" w:rsidRDefault="00747F96" w:rsidP="00747F96">
            <w:pPr>
              <w:spacing w:before="60" w:after="60" w:line="260" w:lineRule="exact"/>
              <w:jc w:val="center"/>
              <w:rPr>
                <w:b/>
                <w:position w:val="2"/>
                <w:sz w:val="20"/>
                <w:szCs w:val="20"/>
                <w:lang w:val="ar-SA"/>
              </w:rPr>
            </w:pPr>
            <w:r w:rsidRPr="00747F96">
              <w:rPr>
                <w:b/>
                <w:bCs/>
                <w:position w:val="2"/>
                <w:sz w:val="20"/>
                <w:szCs w:val="20"/>
                <w:rtl/>
                <w:lang w:bidi="ar-SA"/>
              </w:rPr>
              <w:t>مؤشر الناتج</w:t>
            </w:r>
          </w:p>
        </w:tc>
      </w:tr>
      <w:tr w:rsidR="00747F96" w:rsidRPr="00747F96" w14:paraId="316B428A" w14:textId="77777777" w:rsidTr="00075FD1">
        <w:trPr>
          <w:trHeight w:val="97"/>
        </w:trPr>
        <w:tc>
          <w:tcPr>
            <w:tcW w:w="1080" w:type="pct"/>
          </w:tcPr>
          <w:p w14:paraId="14BB0341" w14:textId="77777777" w:rsidR="00747F96" w:rsidRPr="00747F96" w:rsidRDefault="00747F96" w:rsidP="00747F96">
            <w:pPr>
              <w:spacing w:before="60" w:after="60" w:line="260" w:lineRule="exact"/>
              <w:jc w:val="left"/>
              <w:rPr>
                <w:position w:val="2"/>
                <w:sz w:val="20"/>
                <w:szCs w:val="20"/>
                <w:lang w:val="ar-SA"/>
              </w:rPr>
            </w:pPr>
            <w:r w:rsidRPr="00747F96">
              <w:rPr>
                <w:b/>
                <w:bCs/>
                <w:position w:val="2"/>
                <w:sz w:val="20"/>
                <w:szCs w:val="20"/>
                <w:rtl/>
                <w:lang w:bidi="ar-SA"/>
              </w:rPr>
              <w:t>قابلية التشغيل البيني والابتكار في الاتصالات/تكنولوجيا المعلومات والاتصالات العالمية</w:t>
            </w:r>
          </w:p>
        </w:tc>
        <w:tc>
          <w:tcPr>
            <w:tcW w:w="1960" w:type="pct"/>
          </w:tcPr>
          <w:p w14:paraId="657880D2"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تحسين أداء شبكات وخدمات الاتصالات العالمية وموثوقيتها وتنسيقها</w:t>
            </w:r>
          </w:p>
        </w:tc>
        <w:tc>
          <w:tcPr>
            <w:tcW w:w="1960" w:type="pct"/>
          </w:tcPr>
          <w:p w14:paraId="5AF2D892" w14:textId="77777777" w:rsidR="00747F96" w:rsidRPr="00747F96" w:rsidRDefault="00747F96" w:rsidP="00747F96">
            <w:pPr>
              <w:spacing w:before="60" w:after="60" w:line="260" w:lineRule="exact"/>
              <w:ind w:left="397" w:hanging="397"/>
              <w:rPr>
                <w:position w:val="2"/>
                <w:sz w:val="20"/>
                <w:szCs w:val="20"/>
                <w:lang w:val="ar-SA"/>
              </w:rPr>
            </w:pPr>
            <w:r w:rsidRPr="00747F96">
              <w:rPr>
                <w:position w:val="2"/>
                <w:sz w:val="20"/>
                <w:szCs w:val="20"/>
                <w:lang w:val="en-US"/>
              </w:rPr>
              <w:t>–</w:t>
            </w:r>
            <w:r w:rsidRPr="00747F96">
              <w:rPr>
                <w:position w:val="2"/>
                <w:sz w:val="20"/>
                <w:szCs w:val="20"/>
                <w:rtl/>
                <w:lang w:bidi="ar-SA"/>
              </w:rPr>
              <w:tab/>
              <w:t>عدد الشبكات الجديدة لإنترنت الأشياء والشبكات الساتلية وشبكات الخدمات الناشئة التي تستخدم الترقيم الدولي للاتحاد، سنوياً</w:t>
            </w:r>
          </w:p>
        </w:tc>
      </w:tr>
    </w:tbl>
    <w:p w14:paraId="242B1AF9" w14:textId="77777777" w:rsidR="00BD7556" w:rsidRDefault="00BD7556" w:rsidP="00BD7556">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BD7556" w:rsidSect="003E018F">
      <w:headerReference w:type="even" r:id="rId10"/>
      <w:headerReference w:type="default" r:id="rId11"/>
      <w:footerReference w:type="even" r:id="rId12"/>
      <w:footerReference w:type="default" r:id="rId13"/>
      <w:headerReference w:type="first" r:id="rId14"/>
      <w:footerReference w:type="first" r:id="rId15"/>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A5D66" w14:textId="77777777" w:rsidR="00891762" w:rsidRDefault="00891762" w:rsidP="00FE7FCA">
      <w:r>
        <w:separator/>
      </w:r>
    </w:p>
  </w:endnote>
  <w:endnote w:type="continuationSeparator" w:id="0">
    <w:p w14:paraId="785B4DF6" w14:textId="77777777" w:rsidR="00891762" w:rsidRDefault="00891762"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46AE" w14:textId="77777777" w:rsidR="00634E51" w:rsidRDefault="00634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A92D"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5FC1" w14:textId="77777777" w:rsidR="00255055" w:rsidRPr="00D23636" w:rsidRDefault="00D23636" w:rsidP="00D23636">
    <w:pPr>
      <w:tabs>
        <w:tab w:val="clear" w:pos="567"/>
        <w:tab w:val="clear" w:pos="1134"/>
        <w:tab w:val="clear" w:pos="1701"/>
        <w:tab w:val="clear" w:pos="2268"/>
        <w:tab w:val="clear" w:pos="2835"/>
      </w:tabs>
      <w:overflowPunct/>
      <w:autoSpaceDE/>
      <w:autoSpaceDN/>
      <w:bidi w:val="0"/>
      <w:adjustRightInd/>
      <w:spacing w:before="0" w:after="0" w:line="240" w:lineRule="auto"/>
      <w:jc w:val="center"/>
      <w:textAlignment w:val="auto"/>
      <w:rPr>
        <w:rFonts w:asciiTheme="minorHAnsi" w:hAnsiTheme="minorHAnsi" w:cs="Times New Roman"/>
        <w:sz w:val="18"/>
        <w:szCs w:val="18"/>
        <w:lang w:eastAsia="zh-CN" w:bidi="ar-SA"/>
      </w:rPr>
    </w:pPr>
    <w:r w:rsidRPr="00D23636">
      <w:rPr>
        <w:rFonts w:ascii="Symbol" w:hAnsi="Symbol" w:cs="Times New Roman"/>
        <w:szCs w:val="20"/>
        <w:lang w:eastAsia="zh-CN" w:bidi="ar-SA"/>
      </w:rPr>
      <w:t></w:t>
    </w:r>
    <w:r w:rsidRPr="00D23636">
      <w:rPr>
        <w:rFonts w:ascii="Calibri" w:hAnsi="Calibri" w:cs="Times New Roman"/>
        <w:sz w:val="20"/>
        <w:szCs w:val="20"/>
        <w:lang w:eastAsia="zh-CN" w:bidi="ar-SA"/>
      </w:rPr>
      <w:t xml:space="preserve"> </w:t>
    </w:r>
    <w:hyperlink r:id="rId1" w:anchor="/ar" w:history="1">
      <w:proofErr w:type="spellStart"/>
      <w:r w:rsidRPr="00D23636">
        <w:rPr>
          <w:rFonts w:ascii="Calibri" w:hAnsi="Calibri" w:cs="Times New Roman"/>
          <w:color w:val="00A3E0"/>
          <w:u w:val="single"/>
          <w:lang w:eastAsia="zh-CN" w:bidi="ar-SA"/>
        </w:rPr>
        <w:t>www.itu.int</w:t>
      </w:r>
      <w:proofErr w:type="spellEnd"/>
      <w:r w:rsidRPr="00D23636">
        <w:rPr>
          <w:rFonts w:ascii="Calibri" w:hAnsi="Calibri" w:cs="Times New Roman"/>
          <w:color w:val="00A3E0"/>
          <w:u w:val="single"/>
          <w:lang w:eastAsia="zh-CN" w:bidi="ar-SA"/>
        </w:rPr>
        <w:t>/plenipotentiary/</w:t>
      </w:r>
    </w:hyperlink>
    <w:r w:rsidRPr="00D23636">
      <w:rPr>
        <w:rFonts w:ascii="Calibri" w:hAnsi="Calibri" w:cs="Times New Roman"/>
        <w:sz w:val="20"/>
        <w:szCs w:val="20"/>
        <w:lang w:eastAsia="zh-CN" w:bidi="ar-SA"/>
      </w:rPr>
      <w:t xml:space="preserve"> </w:t>
    </w:r>
    <w:r w:rsidRPr="00D23636">
      <w:rPr>
        <w:rFonts w:ascii="Symbol" w:hAnsi="Symbol" w:cs="Times New Roman"/>
        <w:szCs w:val="20"/>
        <w:lang w:eastAsia="zh-CN" w:bidi="ar-S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F2C3" w14:textId="77777777" w:rsidR="00891762" w:rsidRDefault="00891762">
      <w:r>
        <w:t>_______________</w:t>
      </w:r>
    </w:p>
  </w:footnote>
  <w:footnote w:type="continuationSeparator" w:id="0">
    <w:p w14:paraId="0162C3C5" w14:textId="77777777" w:rsidR="00891762" w:rsidRDefault="00891762"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3DE4"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747F96">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07D141D" w14:textId="77777777" w:rsidR="003915D1" w:rsidRDefault="003915D1"/>
  <w:p w14:paraId="097996E6"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C2AC" w14:textId="736EF4A7" w:rsidR="003915D1" w:rsidRPr="003A0ECA" w:rsidRDefault="009F279B" w:rsidP="00253E92">
    <w:pPr>
      <w:bidi w:val="0"/>
      <w:spacing w:after="360" w:line="240" w:lineRule="auto"/>
      <w:jc w:val="center"/>
      <w:rPr>
        <w:rFonts w:ascii="Calibri" w:hAnsi="Calibri" w:cs="Times New Roman"/>
        <w:sz w:val="18"/>
        <w:szCs w:val="18"/>
      </w:rPr>
    </w:pPr>
    <w:r w:rsidRPr="003A0ECA">
      <w:rPr>
        <w:rStyle w:val="PageNumber"/>
        <w:rFonts w:ascii="Calibri" w:hAnsi="Calibri"/>
      </w:rPr>
      <w:fldChar w:fldCharType="begin"/>
    </w:r>
    <w:r w:rsidRPr="003A0ECA">
      <w:rPr>
        <w:rStyle w:val="PageNumber"/>
        <w:rFonts w:ascii="Calibri" w:hAnsi="Calibri"/>
      </w:rPr>
      <w:instrText xml:space="preserve"> PAGE </w:instrText>
    </w:r>
    <w:r w:rsidRPr="003A0ECA">
      <w:rPr>
        <w:rStyle w:val="PageNumber"/>
        <w:rFonts w:ascii="Calibri" w:hAnsi="Calibri"/>
      </w:rPr>
      <w:fldChar w:fldCharType="separate"/>
    </w:r>
    <w:r w:rsidR="00D10091" w:rsidRPr="003A0ECA">
      <w:rPr>
        <w:rStyle w:val="PageNumber"/>
        <w:rFonts w:ascii="Calibri" w:hAnsi="Calibri"/>
        <w:noProof/>
      </w:rPr>
      <w:t>2</w:t>
    </w:r>
    <w:r w:rsidRPr="003A0ECA">
      <w:rPr>
        <w:rStyle w:val="PageNumber"/>
        <w:rFonts w:ascii="Calibri" w:hAnsi="Calibri"/>
      </w:rPr>
      <w:fldChar w:fldCharType="end"/>
    </w:r>
    <w:r w:rsidRPr="003A0ECA">
      <w:rPr>
        <w:rStyle w:val="PageNumber"/>
        <w:rFonts w:ascii="Calibri" w:hAnsi="Calibri"/>
        <w:rtl/>
      </w:rPr>
      <w:br/>
    </w:r>
    <w:proofErr w:type="spellStart"/>
    <w:r w:rsidRPr="003A0ECA">
      <w:rPr>
        <w:rStyle w:val="PageNumber"/>
        <w:rFonts w:ascii="Calibri" w:hAnsi="Calibri"/>
      </w:rPr>
      <w:t>PP</w:t>
    </w:r>
    <w:r w:rsidR="00CF6871" w:rsidRPr="003A0ECA">
      <w:rPr>
        <w:rStyle w:val="PageNumber"/>
        <w:rFonts w:ascii="Calibri" w:hAnsi="Calibri"/>
      </w:rPr>
      <w:t>2</w:t>
    </w:r>
    <w:r w:rsidR="00B701B5">
      <w:rPr>
        <w:rStyle w:val="PageNumber"/>
        <w:rFonts w:ascii="Calibri" w:hAnsi="Calibri"/>
      </w:rPr>
      <w:t>6</w:t>
    </w:r>
    <w:proofErr w:type="spellEnd"/>
    <w:r w:rsidRPr="003A0ECA">
      <w:rPr>
        <w:rStyle w:val="PageNumber"/>
        <w:rFonts w:ascii="Calibri" w:hAnsi="Calibri"/>
      </w:rPr>
      <w:t>/</w:t>
    </w:r>
    <w:r w:rsidR="00634E51">
      <w:rPr>
        <w:rStyle w:val="PageNumber"/>
        <w:rFonts w:ascii="Calibri" w:hAnsi="Calibri"/>
      </w:rPr>
      <w:t>33</w:t>
    </w:r>
    <w:r w:rsidR="00515E95">
      <w:rPr>
        <w:rStyle w:val="PageNumber"/>
        <w:rFonts w:ascii="Calibri" w:hAnsi="Calibri"/>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74E8"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FA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48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459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ACC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BE9E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C45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7446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A29A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2643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7A0C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1"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2"/>
  </w:num>
  <w:num w:numId="12" w16cid:durableId="1538279458">
    <w:abstractNumId w:val="10"/>
  </w:num>
  <w:num w:numId="13" w16cid:durableId="1712068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F96"/>
    <w:rsid w:val="00003ED5"/>
    <w:rsid w:val="00004A19"/>
    <w:rsid w:val="00005A03"/>
    <w:rsid w:val="00006678"/>
    <w:rsid w:val="000075F1"/>
    <w:rsid w:val="00014526"/>
    <w:rsid w:val="00014808"/>
    <w:rsid w:val="00015A2C"/>
    <w:rsid w:val="00015D0B"/>
    <w:rsid w:val="000171F8"/>
    <w:rsid w:val="00022AB9"/>
    <w:rsid w:val="000233C6"/>
    <w:rsid w:val="000273BE"/>
    <w:rsid w:val="00027664"/>
    <w:rsid w:val="00032200"/>
    <w:rsid w:val="0003560D"/>
    <w:rsid w:val="00040CA3"/>
    <w:rsid w:val="000410FE"/>
    <w:rsid w:val="000413B4"/>
    <w:rsid w:val="00046E96"/>
    <w:rsid w:val="00046FB4"/>
    <w:rsid w:val="00050C62"/>
    <w:rsid w:val="00051A7D"/>
    <w:rsid w:val="00053565"/>
    <w:rsid w:val="00053D23"/>
    <w:rsid w:val="00056603"/>
    <w:rsid w:val="00056E73"/>
    <w:rsid w:val="0005749E"/>
    <w:rsid w:val="00057CBE"/>
    <w:rsid w:val="000640DE"/>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7073C"/>
    <w:rsid w:val="0017092C"/>
    <w:rsid w:val="00171990"/>
    <w:rsid w:val="001763DB"/>
    <w:rsid w:val="00177EA5"/>
    <w:rsid w:val="001806FE"/>
    <w:rsid w:val="00181306"/>
    <w:rsid w:val="001822F5"/>
    <w:rsid w:val="001853C0"/>
    <w:rsid w:val="00186AFE"/>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5562"/>
    <w:rsid w:val="001E7F8A"/>
    <w:rsid w:val="001F0201"/>
    <w:rsid w:val="001F09C7"/>
    <w:rsid w:val="001F0B24"/>
    <w:rsid w:val="001F352A"/>
    <w:rsid w:val="001F3956"/>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72044"/>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E120B"/>
    <w:rsid w:val="002E20D6"/>
    <w:rsid w:val="002E24F7"/>
    <w:rsid w:val="002E79C6"/>
    <w:rsid w:val="002F0B1D"/>
    <w:rsid w:val="002F3DC3"/>
    <w:rsid w:val="002F5546"/>
    <w:rsid w:val="002F6EA1"/>
    <w:rsid w:val="002F6FAE"/>
    <w:rsid w:val="002F736F"/>
    <w:rsid w:val="002F7461"/>
    <w:rsid w:val="00302911"/>
    <w:rsid w:val="00303069"/>
    <w:rsid w:val="003039A5"/>
    <w:rsid w:val="00304676"/>
    <w:rsid w:val="00306982"/>
    <w:rsid w:val="0031047C"/>
    <w:rsid w:val="0031501E"/>
    <w:rsid w:val="00324167"/>
    <w:rsid w:val="0032611B"/>
    <w:rsid w:val="00326A0E"/>
    <w:rsid w:val="00326A4C"/>
    <w:rsid w:val="00333132"/>
    <w:rsid w:val="003340A3"/>
    <w:rsid w:val="00335B35"/>
    <w:rsid w:val="00337F61"/>
    <w:rsid w:val="00342815"/>
    <w:rsid w:val="003466E8"/>
    <w:rsid w:val="003466E9"/>
    <w:rsid w:val="0035227D"/>
    <w:rsid w:val="00353D14"/>
    <w:rsid w:val="00355CBF"/>
    <w:rsid w:val="003565F7"/>
    <w:rsid w:val="00361DC0"/>
    <w:rsid w:val="00365686"/>
    <w:rsid w:val="00367C61"/>
    <w:rsid w:val="003701A8"/>
    <w:rsid w:val="0037444F"/>
    <w:rsid w:val="00374D21"/>
    <w:rsid w:val="00375BBA"/>
    <w:rsid w:val="0037782E"/>
    <w:rsid w:val="003810C1"/>
    <w:rsid w:val="00381E5A"/>
    <w:rsid w:val="0038225E"/>
    <w:rsid w:val="0038302F"/>
    <w:rsid w:val="00385872"/>
    <w:rsid w:val="003915D1"/>
    <w:rsid w:val="0039173C"/>
    <w:rsid w:val="00394B03"/>
    <w:rsid w:val="00395CE4"/>
    <w:rsid w:val="00397B27"/>
    <w:rsid w:val="003A0ECA"/>
    <w:rsid w:val="003A1506"/>
    <w:rsid w:val="003A185D"/>
    <w:rsid w:val="003A3F14"/>
    <w:rsid w:val="003A434B"/>
    <w:rsid w:val="003A61DC"/>
    <w:rsid w:val="003A761D"/>
    <w:rsid w:val="003A774C"/>
    <w:rsid w:val="003A7C81"/>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2CFF"/>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0DE"/>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E26"/>
    <w:rsid w:val="00524494"/>
    <w:rsid w:val="00524F13"/>
    <w:rsid w:val="005268DE"/>
    <w:rsid w:val="00531259"/>
    <w:rsid w:val="0053287E"/>
    <w:rsid w:val="00534AB6"/>
    <w:rsid w:val="005356FD"/>
    <w:rsid w:val="00536C2A"/>
    <w:rsid w:val="00537938"/>
    <w:rsid w:val="00540154"/>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B5CAD"/>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17D11"/>
    <w:rsid w:val="00620258"/>
    <w:rsid w:val="00620660"/>
    <w:rsid w:val="00620F32"/>
    <w:rsid w:val="006213E7"/>
    <w:rsid w:val="0062228A"/>
    <w:rsid w:val="00634E51"/>
    <w:rsid w:val="006422DC"/>
    <w:rsid w:val="006438BD"/>
    <w:rsid w:val="00646482"/>
    <w:rsid w:val="00646A3A"/>
    <w:rsid w:val="00650A04"/>
    <w:rsid w:val="00650B49"/>
    <w:rsid w:val="00651F6B"/>
    <w:rsid w:val="00652C0B"/>
    <w:rsid w:val="0065503D"/>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57C8"/>
    <w:rsid w:val="006E79C9"/>
    <w:rsid w:val="006E7D9F"/>
    <w:rsid w:val="006F5BA2"/>
    <w:rsid w:val="006F6B98"/>
    <w:rsid w:val="006F74AF"/>
    <w:rsid w:val="007016D6"/>
    <w:rsid w:val="00702908"/>
    <w:rsid w:val="00704E42"/>
    <w:rsid w:val="00706323"/>
    <w:rsid w:val="00706D9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47F96"/>
    <w:rsid w:val="00750829"/>
    <w:rsid w:val="00750EE5"/>
    <w:rsid w:val="0075136F"/>
    <w:rsid w:val="00753705"/>
    <w:rsid w:val="00753B98"/>
    <w:rsid w:val="00755AE8"/>
    <w:rsid w:val="007607C0"/>
    <w:rsid w:val="00761F8F"/>
    <w:rsid w:val="00762938"/>
    <w:rsid w:val="007638CF"/>
    <w:rsid w:val="0076605C"/>
    <w:rsid w:val="00767035"/>
    <w:rsid w:val="0077489F"/>
    <w:rsid w:val="007838F5"/>
    <w:rsid w:val="007844D3"/>
    <w:rsid w:val="00785921"/>
    <w:rsid w:val="007872AB"/>
    <w:rsid w:val="00792410"/>
    <w:rsid w:val="00792684"/>
    <w:rsid w:val="0079304C"/>
    <w:rsid w:val="007939EF"/>
    <w:rsid w:val="00794F1D"/>
    <w:rsid w:val="007A3270"/>
    <w:rsid w:val="007A6FF5"/>
    <w:rsid w:val="007B2866"/>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A32"/>
    <w:rsid w:val="00824C34"/>
    <w:rsid w:val="00826EF1"/>
    <w:rsid w:val="008300E4"/>
    <w:rsid w:val="0083067B"/>
    <w:rsid w:val="008369D8"/>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1762"/>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0AB5"/>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6D40"/>
    <w:rsid w:val="008F7023"/>
    <w:rsid w:val="008F75D7"/>
    <w:rsid w:val="008F7CFA"/>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F39"/>
    <w:rsid w:val="00972ED6"/>
    <w:rsid w:val="00975D77"/>
    <w:rsid w:val="00980117"/>
    <w:rsid w:val="00980D4E"/>
    <w:rsid w:val="00981740"/>
    <w:rsid w:val="00983786"/>
    <w:rsid w:val="00986576"/>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100"/>
    <w:rsid w:val="009F79BB"/>
    <w:rsid w:val="00A009FF"/>
    <w:rsid w:val="00A00B7A"/>
    <w:rsid w:val="00A01D3A"/>
    <w:rsid w:val="00A035A3"/>
    <w:rsid w:val="00A06CB2"/>
    <w:rsid w:val="00A07160"/>
    <w:rsid w:val="00A104C3"/>
    <w:rsid w:val="00A11C33"/>
    <w:rsid w:val="00A15EE8"/>
    <w:rsid w:val="00A16046"/>
    <w:rsid w:val="00A225DB"/>
    <w:rsid w:val="00A2287A"/>
    <w:rsid w:val="00A27221"/>
    <w:rsid w:val="00A306FA"/>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39A2"/>
    <w:rsid w:val="00B14684"/>
    <w:rsid w:val="00B14E40"/>
    <w:rsid w:val="00B1523B"/>
    <w:rsid w:val="00B1733E"/>
    <w:rsid w:val="00B22596"/>
    <w:rsid w:val="00B26D73"/>
    <w:rsid w:val="00B27061"/>
    <w:rsid w:val="00B3661A"/>
    <w:rsid w:val="00B37433"/>
    <w:rsid w:val="00B40192"/>
    <w:rsid w:val="00B40AF4"/>
    <w:rsid w:val="00B46E3B"/>
    <w:rsid w:val="00B474D9"/>
    <w:rsid w:val="00B54322"/>
    <w:rsid w:val="00B54D74"/>
    <w:rsid w:val="00B62918"/>
    <w:rsid w:val="00B6763D"/>
    <w:rsid w:val="00B701B5"/>
    <w:rsid w:val="00B714C0"/>
    <w:rsid w:val="00B71AC6"/>
    <w:rsid w:val="00B72104"/>
    <w:rsid w:val="00B76208"/>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8B1"/>
    <w:rsid w:val="00BD2884"/>
    <w:rsid w:val="00BD3AA2"/>
    <w:rsid w:val="00BD59D7"/>
    <w:rsid w:val="00BD7556"/>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627E"/>
    <w:rsid w:val="00C71396"/>
    <w:rsid w:val="00C73415"/>
    <w:rsid w:val="00C7395D"/>
    <w:rsid w:val="00C74BAE"/>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23636"/>
    <w:rsid w:val="00D23E04"/>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90B8A"/>
    <w:rsid w:val="00D92E12"/>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3424"/>
    <w:rsid w:val="00E350E8"/>
    <w:rsid w:val="00E35AD7"/>
    <w:rsid w:val="00E36718"/>
    <w:rsid w:val="00E376E3"/>
    <w:rsid w:val="00E42FCB"/>
    <w:rsid w:val="00E47355"/>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5921"/>
    <w:rsid w:val="00EB788F"/>
    <w:rsid w:val="00EC08B9"/>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08CE"/>
    <w:rsid w:val="00F02035"/>
    <w:rsid w:val="00F03CC5"/>
    <w:rsid w:val="00F0715F"/>
    <w:rsid w:val="00F114D5"/>
    <w:rsid w:val="00F15EBE"/>
    <w:rsid w:val="00F20226"/>
    <w:rsid w:val="00F20B32"/>
    <w:rsid w:val="00F20BC2"/>
    <w:rsid w:val="00F22C92"/>
    <w:rsid w:val="00F26849"/>
    <w:rsid w:val="00F27DBC"/>
    <w:rsid w:val="00F302AC"/>
    <w:rsid w:val="00F31DF7"/>
    <w:rsid w:val="00F339DD"/>
    <w:rsid w:val="00F34255"/>
    <w:rsid w:val="00F342E4"/>
    <w:rsid w:val="00F356BC"/>
    <w:rsid w:val="00F36293"/>
    <w:rsid w:val="00F502DF"/>
    <w:rsid w:val="00F5039E"/>
    <w:rsid w:val="00F508AB"/>
    <w:rsid w:val="00F5160E"/>
    <w:rsid w:val="00F53C03"/>
    <w:rsid w:val="00F53D7A"/>
    <w:rsid w:val="00F54444"/>
    <w:rsid w:val="00F54C9D"/>
    <w:rsid w:val="00F559DD"/>
    <w:rsid w:val="00F5625B"/>
    <w:rsid w:val="00F56F5D"/>
    <w:rsid w:val="00F607E1"/>
    <w:rsid w:val="00F6358B"/>
    <w:rsid w:val="00F6694B"/>
    <w:rsid w:val="00F67F30"/>
    <w:rsid w:val="00F7094E"/>
    <w:rsid w:val="00F725F7"/>
    <w:rsid w:val="00F74219"/>
    <w:rsid w:val="00F745C9"/>
    <w:rsid w:val="00F77CA2"/>
    <w:rsid w:val="00F85BE7"/>
    <w:rsid w:val="00F8664E"/>
    <w:rsid w:val="00F86FF8"/>
    <w:rsid w:val="00F90C7C"/>
    <w:rsid w:val="00F91F22"/>
    <w:rsid w:val="00F946E0"/>
    <w:rsid w:val="00F94814"/>
    <w:rsid w:val="00F97163"/>
    <w:rsid w:val="00FA7B3A"/>
    <w:rsid w:val="00FB1C68"/>
    <w:rsid w:val="00FB1FB3"/>
    <w:rsid w:val="00FB26C7"/>
    <w:rsid w:val="00FB341B"/>
    <w:rsid w:val="00FB4823"/>
    <w:rsid w:val="00FB4EC6"/>
    <w:rsid w:val="00FB56C5"/>
    <w:rsid w:val="00FB604C"/>
    <w:rsid w:val="00FB606D"/>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BD392"/>
  <w15:docId w15:val="{C080B767-EAE7-4E82-ACAB-158D72BD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01E"/>
    <w:pPr>
      <w:tabs>
        <w:tab w:val="left" w:pos="567"/>
        <w:tab w:val="left" w:pos="1134"/>
        <w:tab w:val="left" w:pos="1701"/>
        <w:tab w:val="left" w:pos="2268"/>
        <w:tab w:val="left" w:pos="2835"/>
      </w:tabs>
      <w:overflowPunct w:val="0"/>
      <w:autoSpaceDE w:val="0"/>
      <w:autoSpaceDN w:val="0"/>
      <w:bidi/>
      <w:adjustRightInd w:val="0"/>
      <w:spacing w:before="120" w:after="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uiPriority w:val="99"/>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jc w:val="center"/>
    </w:pPr>
    <w:rPr>
      <w:caps/>
      <w:position w:val="2"/>
    </w:rPr>
  </w:style>
  <w:style w:type="paragraph" w:customStyle="1" w:styleId="enumlev1">
    <w:name w:val="enumlev1"/>
    <w:basedOn w:val="Normal"/>
    <w:link w:val="enumlev1Char"/>
    <w:qFormat/>
    <w:rsid w:val="0031501E"/>
    <w:pPr>
      <w:spacing w:before="80" w:after="80"/>
      <w:ind w:left="567" w:hanging="567"/>
    </w:pPr>
  </w:style>
  <w:style w:type="character" w:customStyle="1" w:styleId="enumlev1Char">
    <w:name w:val="enumlev1 Char"/>
    <w:basedOn w:val="DefaultParagraphFont"/>
    <w:link w:val="enumlev1"/>
    <w:rsid w:val="0031501E"/>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31501E"/>
    <w:pPr>
      <w:spacing w:before="80" w:after="80"/>
    </w:pPr>
    <w:rPr>
      <w:b/>
      <w:bCs/>
    </w:rPr>
  </w:style>
  <w:style w:type="character" w:customStyle="1" w:styleId="enumlev1S2Char">
    <w:name w:val="enumlev1_S2 Char"/>
    <w:basedOn w:val="enumlev1Char"/>
    <w:link w:val="enumlev1S2"/>
    <w:rsid w:val="0031501E"/>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31501E"/>
    <w:pPr>
      <w:framePr w:wrap="around" w:hAnchor="text"/>
    </w:pPr>
  </w:style>
  <w:style w:type="character" w:customStyle="1" w:styleId="enumlev2S2Char">
    <w:name w:val="enumlev2_S2 Char"/>
    <w:basedOn w:val="enumlev2Char"/>
    <w:link w:val="enumlev2S2"/>
    <w:rsid w:val="0031501E"/>
    <w:rPr>
      <w:rFonts w:ascii="Dubai" w:hAnsi="Dubai" w:cs="Dubai"/>
      <w:b/>
      <w:bCs/>
      <w:sz w:val="22"/>
      <w:szCs w:val="22"/>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uiPriority w:val="99"/>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uiPriority w:val="99"/>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rsid w:val="00A626E0"/>
    <w:pPr>
      <w:keepNext/>
      <w:spacing w:before="360"/>
      <w:jc w:val="center"/>
    </w:pPr>
    <w:rPr>
      <w:sz w:val="28"/>
      <w:szCs w:val="28"/>
    </w:rPr>
  </w:style>
  <w:style w:type="table" w:styleId="TableGrid">
    <w:name w:val="Table Grid"/>
    <w:basedOn w:val="TableNormal"/>
    <w:uiPriority w:val="5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rsid w:val="00A626E0"/>
    <w:pPr>
      <w:spacing w:before="240" w:after="240"/>
      <w:jc w:val="center"/>
    </w:pPr>
    <w:rPr>
      <w:b/>
      <w:bCs/>
      <w:sz w:val="28"/>
      <w:szCs w:val="28"/>
    </w:rPr>
  </w:style>
  <w:style w:type="paragraph" w:styleId="ListParagraph">
    <w:name w:val="List Paragraph"/>
    <w:basedOn w:val="Normal"/>
    <w:uiPriority w:val="99"/>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2E20D6"/>
    <w:pPr>
      <w:tabs>
        <w:tab w:val="clear" w:pos="567"/>
        <w:tab w:val="clear" w:pos="1134"/>
        <w:tab w:val="clear" w:pos="1701"/>
        <w:tab w:val="clear" w:pos="2268"/>
        <w:tab w:val="clear" w:pos="2835"/>
        <w:tab w:val="left" w:pos="720"/>
        <w:tab w:val="left" w:pos="1418"/>
      </w:tabs>
      <w:jc w:val="center"/>
    </w:pPr>
    <w:rPr>
      <w:bCs/>
    </w:rPr>
  </w:style>
  <w:style w:type="character" w:styleId="FollowedHyperlink">
    <w:name w:val="FollowedHyperlink"/>
    <w:basedOn w:val="DefaultParagraphFont"/>
    <w:semiHidden/>
    <w:unhideWhenUsed/>
    <w:rsid w:val="005A636A"/>
    <w:rPr>
      <w:color w:val="800080" w:themeColor="followedHyperlink"/>
      <w:u w:val="single"/>
    </w:rPr>
  </w:style>
  <w:style w:type="character" w:styleId="UnresolvedMention">
    <w:name w:val="Unresolved Mention"/>
    <w:basedOn w:val="DefaultParagraphFont"/>
    <w:uiPriority w:val="99"/>
    <w:semiHidden/>
    <w:unhideWhenUsed/>
    <w:rsid w:val="00747F96"/>
    <w:rPr>
      <w:color w:val="605E5C"/>
      <w:shd w:val="clear" w:color="auto" w:fill="E1DFDD"/>
    </w:rPr>
  </w:style>
  <w:style w:type="paragraph" w:styleId="Revision">
    <w:name w:val="Revision"/>
    <w:hidden/>
    <w:uiPriority w:val="99"/>
    <w:semiHidden/>
    <w:rsid w:val="00D23E04"/>
    <w:rPr>
      <w:rFonts w:ascii="Dubai" w:hAnsi="Dubai" w:cs="Dubai"/>
      <w:sz w:val="22"/>
      <w:szCs w:val="22"/>
      <w:lang w:val="en-GB" w:eastAsia="en-US" w:bidi="ar-EG"/>
    </w:rPr>
  </w:style>
  <w:style w:type="paragraph" w:customStyle="1" w:styleId="Tablefin">
    <w:name w:val="Table_fin"/>
    <w:basedOn w:val="Tabletext"/>
    <w:rsid w:val="00824A32"/>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641933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PP-C-0032/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tu.int/md/S26-PP-C-0032/en"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pp.itu.int/2026/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PP26%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PA_PP26 New.dotx</Template>
  <TotalTime>161</TotalTime>
  <Pages>4</Pages>
  <Words>1069</Words>
  <Characters>6825</Characters>
  <Application>Microsoft Office Word</Application>
  <DocSecurity>0</DocSecurity>
  <Lines>179</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7833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Strategic and Financial Plans 2028-2031</dc:title>
  <dc:subject>Plenipotentiary Conference (PP-26)</dc:subject>
  <cp:keywords>PP-26, PP26, ITU</cp:keywords>
  <dc:description/>
  <dcterms:created xsi:type="dcterms:W3CDTF">2026-08-27T15:36:00Z</dcterms:created>
  <dcterms:modified xsi:type="dcterms:W3CDTF">2026-08-27T15:43:00Z</dcterms:modified>
  <cp:category>Conference document</cp:category>
</cp:coreProperties>
</file>