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2A6F8F" w14:paraId="5EBA9561" w14:textId="77777777" w:rsidTr="00CE496F">
        <w:trPr>
          <w:cantSplit/>
          <w:jc w:val="center"/>
        </w:trPr>
        <w:tc>
          <w:tcPr>
            <w:tcW w:w="7229" w:type="dxa"/>
          </w:tcPr>
          <w:p w14:paraId="081C5B53" w14:textId="208B41EF" w:rsidR="00BD1614" w:rsidRPr="008C10D9" w:rsidRDefault="00801154" w:rsidP="00801154">
            <w:pPr>
              <w:pStyle w:val="Committee"/>
              <w:framePr w:hSpace="0" w:wrap="auto" w:hAnchor="text" w:yAlign="inline"/>
              <w:spacing w:after="0" w:line="240" w:lineRule="auto"/>
            </w:pPr>
            <w:r w:rsidRPr="00801154">
              <w:rPr>
                <w:lang w:val="fr-FR"/>
              </w:rPr>
              <w:t>SÉANCE PLÉNIÈRE</w:t>
            </w:r>
          </w:p>
        </w:tc>
        <w:tc>
          <w:tcPr>
            <w:tcW w:w="2802" w:type="dxa"/>
            <w:tcMar>
              <w:left w:w="142" w:type="dxa"/>
              <w:right w:w="0" w:type="dxa"/>
            </w:tcMar>
          </w:tcPr>
          <w:p w14:paraId="42E82404" w14:textId="081404E8" w:rsidR="00BD1614" w:rsidRPr="008C10D9" w:rsidRDefault="00801154" w:rsidP="007A47E9">
            <w:pPr>
              <w:spacing w:before="0"/>
              <w:rPr>
                <w:rFonts w:cstheme="minorHAnsi"/>
                <w:szCs w:val="24"/>
                <w:lang w:val="en-US"/>
              </w:rPr>
            </w:pPr>
            <w:r>
              <w:rPr>
                <w:rFonts w:cstheme="minorHAnsi"/>
                <w:b/>
                <w:szCs w:val="24"/>
                <w:lang w:val="en-US"/>
              </w:rPr>
              <w:t xml:space="preserve">Document </w:t>
            </w:r>
            <w:r w:rsidR="007F31E2">
              <w:rPr>
                <w:rFonts w:cstheme="minorHAnsi"/>
                <w:b/>
                <w:bCs/>
                <w:color w:val="000000"/>
                <w:szCs w:val="24"/>
              </w:rPr>
              <w:t>32</w:t>
            </w:r>
            <w:r>
              <w:rPr>
                <w:rFonts w:cstheme="minorHAnsi"/>
                <w:b/>
                <w:szCs w:val="24"/>
                <w:lang w:val="en-US"/>
              </w:rPr>
              <w:t>-F</w:t>
            </w:r>
          </w:p>
        </w:tc>
      </w:tr>
      <w:tr w:rsidR="00BD1614" w:rsidRPr="002A6F8F" w14:paraId="5C605E2F" w14:textId="77777777" w:rsidTr="00CE496F">
        <w:trPr>
          <w:cantSplit/>
          <w:jc w:val="center"/>
        </w:trPr>
        <w:tc>
          <w:tcPr>
            <w:tcW w:w="7229" w:type="dxa"/>
          </w:tcPr>
          <w:p w14:paraId="3701819B" w14:textId="4343949C" w:rsidR="00BD1614" w:rsidRPr="00D0464B" w:rsidRDefault="00BD1614" w:rsidP="007A47E9">
            <w:pPr>
              <w:spacing w:before="0"/>
              <w:rPr>
                <w:rFonts w:cstheme="minorHAnsi"/>
                <w:b/>
                <w:szCs w:val="24"/>
                <w:lang w:val="en-US"/>
              </w:rPr>
            </w:pPr>
          </w:p>
        </w:tc>
        <w:tc>
          <w:tcPr>
            <w:tcW w:w="2802" w:type="dxa"/>
            <w:tcMar>
              <w:left w:w="142" w:type="dxa"/>
              <w:right w:w="0" w:type="dxa"/>
            </w:tcMar>
          </w:tcPr>
          <w:p w14:paraId="4FD5E934" w14:textId="19E92118" w:rsidR="00BD1614" w:rsidRPr="008C10D9" w:rsidRDefault="007F31E2" w:rsidP="007A47E9">
            <w:pPr>
              <w:spacing w:before="0"/>
              <w:rPr>
                <w:rFonts w:cstheme="minorHAnsi"/>
                <w:b/>
                <w:szCs w:val="24"/>
                <w:lang w:val="en-US"/>
              </w:rPr>
            </w:pPr>
            <w:r>
              <w:rPr>
                <w:rFonts w:cstheme="minorHAnsi"/>
                <w:b/>
                <w:bCs/>
                <w:color w:val="000000"/>
                <w:szCs w:val="24"/>
              </w:rPr>
              <w:t>9 juillet 2026</w:t>
            </w:r>
          </w:p>
        </w:tc>
      </w:tr>
      <w:tr w:rsidR="00BD1614" w:rsidRPr="002A6F8F" w14:paraId="6B2B4BC1" w14:textId="77777777" w:rsidTr="00CE496F">
        <w:trPr>
          <w:cantSplit/>
          <w:jc w:val="center"/>
        </w:trPr>
        <w:tc>
          <w:tcPr>
            <w:tcW w:w="7229" w:type="dxa"/>
          </w:tcPr>
          <w:p w14:paraId="780A194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6796BDA" w14:textId="560E6019" w:rsidR="00BD1614" w:rsidRPr="008C10D9" w:rsidRDefault="00801154" w:rsidP="007A47E9">
            <w:pPr>
              <w:spacing w:before="0"/>
              <w:rPr>
                <w:rFonts w:cstheme="minorHAnsi"/>
                <w:b/>
                <w:szCs w:val="24"/>
                <w:lang w:val="en-US"/>
              </w:rPr>
            </w:pPr>
            <w:r>
              <w:rPr>
                <w:rFonts w:cstheme="minorHAnsi"/>
                <w:b/>
                <w:szCs w:val="24"/>
                <w:lang w:val="en-US"/>
              </w:rPr>
              <w:t>Original: anglais</w:t>
            </w:r>
          </w:p>
        </w:tc>
      </w:tr>
      <w:tr w:rsidR="00BD1614" w:rsidRPr="002A6F8F" w14:paraId="4259B884" w14:textId="77777777" w:rsidTr="002E1AF7">
        <w:trPr>
          <w:cantSplit/>
          <w:jc w:val="center"/>
        </w:trPr>
        <w:tc>
          <w:tcPr>
            <w:tcW w:w="10031" w:type="dxa"/>
            <w:gridSpan w:val="2"/>
          </w:tcPr>
          <w:p w14:paraId="770628D7" w14:textId="77777777" w:rsidR="00BD1614" w:rsidRPr="008C10D9" w:rsidRDefault="00BD1614" w:rsidP="007A47E9">
            <w:pPr>
              <w:spacing w:before="0" w:line="240" w:lineRule="atLeast"/>
              <w:rPr>
                <w:rFonts w:cstheme="minorHAnsi"/>
                <w:b/>
                <w:szCs w:val="24"/>
                <w:lang w:val="en-US"/>
              </w:rPr>
            </w:pPr>
          </w:p>
        </w:tc>
      </w:tr>
      <w:tr w:rsidR="007F31E2" w:rsidRPr="002A6F8F" w14:paraId="6A9FB924" w14:textId="77777777" w:rsidTr="002E1AF7">
        <w:trPr>
          <w:cantSplit/>
          <w:jc w:val="center"/>
        </w:trPr>
        <w:tc>
          <w:tcPr>
            <w:tcW w:w="10031" w:type="dxa"/>
            <w:gridSpan w:val="2"/>
          </w:tcPr>
          <w:p w14:paraId="070875E6" w14:textId="4EF12E1B" w:rsidR="007F31E2" w:rsidRPr="002A6F8F" w:rsidRDefault="007F31E2" w:rsidP="007F31E2">
            <w:pPr>
              <w:pStyle w:val="Source"/>
              <w:rPr>
                <w:lang w:val="en-US"/>
              </w:rPr>
            </w:pPr>
            <w:bookmarkStart w:id="2" w:name="dsource" w:colFirst="0" w:colLast="0"/>
            <w:bookmarkEnd w:id="1"/>
            <w:r>
              <w:rPr>
                <w:bCs/>
                <w:color w:val="000000"/>
              </w:rPr>
              <w:t>Rapport du Conseil</w:t>
            </w:r>
          </w:p>
        </w:tc>
      </w:tr>
      <w:tr w:rsidR="007F31E2" w:rsidRPr="002A6F8F" w14:paraId="534EEA05" w14:textId="77777777" w:rsidTr="002E1AF7">
        <w:trPr>
          <w:cantSplit/>
          <w:jc w:val="center"/>
        </w:trPr>
        <w:tc>
          <w:tcPr>
            <w:tcW w:w="10031" w:type="dxa"/>
            <w:gridSpan w:val="2"/>
          </w:tcPr>
          <w:p w14:paraId="0C8E89F3" w14:textId="5F6F3931" w:rsidR="007F31E2" w:rsidRPr="007F31E2" w:rsidRDefault="007F31E2" w:rsidP="007F31E2">
            <w:pPr>
              <w:pStyle w:val="Title1"/>
            </w:pPr>
            <w:bookmarkStart w:id="3" w:name="dtitle1" w:colFirst="0" w:colLast="0"/>
            <w:bookmarkEnd w:id="2"/>
            <w:r>
              <w:rPr>
                <w:color w:val="000000"/>
              </w:rPr>
              <w:t>RAPPORT DU GROUPE DE TRAVAIL DU CONSEIL CHARGÉ D'ÉLABORER</w:t>
            </w:r>
            <w:r>
              <w:rPr>
                <w:color w:val="000000"/>
              </w:rPr>
              <w:br/>
              <w:t>LE PLAN STRATÉGIQUE ET LE PLAN FINANCIER</w:t>
            </w:r>
            <w:r>
              <w:rPr>
                <w:color w:val="000000"/>
              </w:rPr>
              <w:br/>
              <w:t>POUR LA PÉRIODE 2028-2031 (GTC-SFP)</w:t>
            </w:r>
          </w:p>
        </w:tc>
      </w:tr>
      <w:tr w:rsidR="007F31E2" w:rsidRPr="002A6F8F" w14:paraId="37DA32CE" w14:textId="77777777" w:rsidTr="002E1AF7">
        <w:trPr>
          <w:cantSplit/>
          <w:jc w:val="center"/>
        </w:trPr>
        <w:tc>
          <w:tcPr>
            <w:tcW w:w="10031" w:type="dxa"/>
            <w:gridSpan w:val="2"/>
          </w:tcPr>
          <w:p w14:paraId="1574AB3E" w14:textId="37D4D703" w:rsidR="007F31E2" w:rsidRPr="008D20E1" w:rsidRDefault="007F31E2" w:rsidP="007F31E2">
            <w:pPr>
              <w:pStyle w:val="Title2"/>
            </w:pPr>
            <w:bookmarkStart w:id="4" w:name="dtitle2" w:colFirst="0" w:colLast="0"/>
            <w:bookmarkEnd w:id="3"/>
          </w:p>
        </w:tc>
      </w:tr>
    </w:tbl>
    <w:p w14:paraId="5933A749" w14:textId="77777777" w:rsidR="008D20E1" w:rsidRDefault="008D20E1"/>
    <w:tbl>
      <w:tblPr>
        <w:tblpPr w:leftFromText="180" w:rightFromText="180" w:horzAnchor="margin" w:tblpXSpec="center" w:tblpY="-675"/>
        <w:tblW w:w="10031" w:type="dxa"/>
        <w:jc w:val="center"/>
        <w:tblLayout w:type="fixed"/>
        <w:tblLook w:val="0000" w:firstRow="0" w:lastRow="0" w:firstColumn="0" w:lastColumn="0" w:noHBand="0" w:noVBand="0"/>
      </w:tblPr>
      <w:tblGrid>
        <w:gridCol w:w="10031"/>
      </w:tblGrid>
      <w:tr w:rsidR="007F31E2" w14:paraId="3488B00F" w14:textId="77777777" w:rsidTr="002E1AF7">
        <w:trPr>
          <w:cantSplit/>
          <w:jc w:val="center"/>
        </w:trPr>
        <w:tc>
          <w:tcPr>
            <w:tcW w:w="10031" w:type="dxa"/>
          </w:tcPr>
          <w:p w14:paraId="48DBD50A" w14:textId="420EA0AD" w:rsidR="007F31E2" w:rsidRDefault="007F31E2" w:rsidP="007F31E2">
            <w:pPr>
              <w:pStyle w:val="Agendaitem"/>
            </w:pPr>
            <w:bookmarkStart w:id="5" w:name="dtitle3" w:colFirst="0" w:colLast="0"/>
            <w:bookmarkEnd w:id="4"/>
          </w:p>
        </w:tc>
      </w:tr>
    </w:tbl>
    <w:tbl>
      <w:tblPr>
        <w:tblStyle w:val="TableGrid"/>
        <w:tblW w:w="8222" w:type="dxa"/>
        <w:tblInd w:w="704" w:type="dxa"/>
        <w:tblLayout w:type="fixed"/>
        <w:tblLook w:val="04A0" w:firstRow="1" w:lastRow="0" w:firstColumn="1" w:lastColumn="0" w:noHBand="0" w:noVBand="1"/>
      </w:tblPr>
      <w:tblGrid>
        <w:gridCol w:w="8222"/>
      </w:tblGrid>
      <w:tr w:rsidR="007F31E2" w:rsidRPr="00CE1CA4" w14:paraId="3FC3505B" w14:textId="77777777" w:rsidTr="008D20E1">
        <w:trPr>
          <w:trHeight w:val="4886"/>
        </w:trPr>
        <w:tc>
          <w:tcPr>
            <w:tcW w:w="8222" w:type="dxa"/>
          </w:tcPr>
          <w:bookmarkEnd w:id="5"/>
          <w:p w14:paraId="0FA0DE4C" w14:textId="77777777" w:rsidR="007F31E2" w:rsidRPr="00CE1CA4" w:rsidRDefault="007F31E2" w:rsidP="00F63219">
            <w:pPr>
              <w:spacing w:before="160" w:after="120"/>
              <w:rPr>
                <w:szCs w:val="24"/>
              </w:rPr>
            </w:pPr>
            <w:r>
              <w:rPr>
                <w:color w:val="000000"/>
                <w:szCs w:val="24"/>
              </w:rPr>
              <w:t>Conformément au numéro 62A de la Convention, et à la suite des débats qui se sont tenus pendant la session de 2026 du Conseil, les résultats des travaux du Groupe de travail du Conseil chargé d'élaborer le Plan stratégique et le Plan financier pour la période 2028-2031 (GTC-SFP) sont transmis à la Conférence de plénipotentiaires comme suit:</w:t>
            </w:r>
          </w:p>
          <w:p w14:paraId="297CD4D7" w14:textId="68FB0057" w:rsidR="007F31E2" w:rsidRPr="008D20E1" w:rsidRDefault="00281329" w:rsidP="00F63219">
            <w:pPr>
              <w:pStyle w:val="enumlev1"/>
              <w:spacing w:before="80"/>
            </w:pPr>
            <w:r w:rsidRPr="008D20E1">
              <w:t>–</w:t>
            </w:r>
            <w:r w:rsidR="008D20E1" w:rsidRPr="008D20E1">
              <w:tab/>
            </w:r>
            <w:hyperlink r:id="rId10" w:history="1">
              <w:r w:rsidR="007F31E2" w:rsidRPr="008D20E1">
                <w:rPr>
                  <w:rStyle w:val="Hyperlink"/>
                </w:rPr>
                <w:t>Addendum 1 au Document 32</w:t>
              </w:r>
            </w:hyperlink>
            <w:r w:rsidR="007F31E2" w:rsidRPr="008D20E1">
              <w:t>: projet d'Annexe 1 de la Résolution 71</w:t>
            </w:r>
            <w:r w:rsidR="008D20E1">
              <w:t xml:space="preserve"> </w:t>
            </w:r>
            <w:r w:rsidR="008D20E1" w:rsidRPr="008D20E1">
              <w:t>–</w:t>
            </w:r>
            <w:r w:rsidR="007F31E2" w:rsidRPr="008D20E1">
              <w:t xml:space="preserve"> Plan</w:t>
            </w:r>
            <w:r w:rsidR="00A8615D">
              <w:t> </w:t>
            </w:r>
            <w:r w:rsidR="007F31E2" w:rsidRPr="008D20E1">
              <w:t>stratégique de l'UIT pour la période 2028-2031</w:t>
            </w:r>
          </w:p>
          <w:p w14:paraId="34FDFDAB" w14:textId="1911F738" w:rsidR="007F31E2" w:rsidRPr="008D20E1" w:rsidRDefault="00281329" w:rsidP="00F63219">
            <w:pPr>
              <w:pStyle w:val="enumlev1"/>
              <w:tabs>
                <w:tab w:val="clear" w:pos="567"/>
              </w:tabs>
              <w:spacing w:before="80"/>
            </w:pPr>
            <w:r w:rsidRPr="008D20E1">
              <w:t>–</w:t>
            </w:r>
            <w:r w:rsidR="008D20E1">
              <w:tab/>
            </w:r>
            <w:hyperlink r:id="rId11" w:history="1">
              <w:r w:rsidR="007F31E2" w:rsidRPr="008D20E1">
                <w:rPr>
                  <w:rStyle w:val="Hyperlink"/>
                </w:rPr>
                <w:t>Addendum 2 au Document 32</w:t>
              </w:r>
            </w:hyperlink>
            <w:r w:rsidR="007F31E2" w:rsidRPr="008D20E1">
              <w:t>: projet d'Annexe 2 de la Résolution 71</w:t>
            </w:r>
            <w:r w:rsidR="008D20E1">
              <w:t xml:space="preserve"> </w:t>
            </w:r>
            <w:r w:rsidR="008D20E1" w:rsidRPr="008D20E1">
              <w:t>–</w:t>
            </w:r>
            <w:r w:rsidR="007F31E2" w:rsidRPr="008D20E1">
              <w:t xml:space="preserve"> Analyse de la situation</w:t>
            </w:r>
            <w:r w:rsidR="008D20E1">
              <w:t>.</w:t>
            </w:r>
          </w:p>
          <w:p w14:paraId="0EF9607E" w14:textId="79C64300" w:rsidR="007F31E2" w:rsidRPr="008D20E1" w:rsidRDefault="00281329" w:rsidP="00F63219">
            <w:pPr>
              <w:pStyle w:val="enumlev1"/>
              <w:spacing w:before="80"/>
            </w:pPr>
            <w:r w:rsidRPr="008D20E1">
              <w:t>–</w:t>
            </w:r>
            <w:r w:rsidR="008D20E1">
              <w:tab/>
            </w:r>
            <w:hyperlink r:id="rId12" w:history="1">
              <w:r w:rsidR="007F31E2" w:rsidRPr="008D20E1">
                <w:rPr>
                  <w:rStyle w:val="Hyperlink"/>
                </w:rPr>
                <w:t>Addendum 3 au Document 32</w:t>
              </w:r>
            </w:hyperlink>
            <w:r w:rsidR="007F31E2" w:rsidRPr="008D20E1">
              <w:t>: projet d'Annexe 3 de la Résolution 71</w:t>
            </w:r>
            <w:r w:rsidR="008D20E1">
              <w:t xml:space="preserve"> </w:t>
            </w:r>
            <w:r w:rsidR="008D20E1" w:rsidRPr="008D20E1">
              <w:t>–</w:t>
            </w:r>
            <w:r w:rsidR="007F31E2" w:rsidRPr="008D20E1">
              <w:t xml:space="preserve"> Glossaire de termes</w:t>
            </w:r>
            <w:r w:rsidR="008D20E1">
              <w:t>.</w:t>
            </w:r>
          </w:p>
          <w:p w14:paraId="0FF76D4F" w14:textId="0790644A" w:rsidR="007F31E2" w:rsidRPr="00CE1CA4" w:rsidRDefault="007F31E2" w:rsidP="00F63219">
            <w:pPr>
              <w:tabs>
                <w:tab w:val="left" w:pos="284"/>
              </w:tabs>
              <w:spacing w:after="120"/>
            </w:pPr>
            <w:r>
              <w:rPr>
                <w:color w:val="000000"/>
              </w:rPr>
              <w:t>En ce qui concerne les dispositions de la Résolution 71 (Rév. Bucarest, 2022) de la Conférence de plénipotentiaires, étant donné que celles-ci n</w:t>
            </w:r>
            <w:r w:rsidR="00E95B1A">
              <w:rPr>
                <w:color w:val="000000"/>
              </w:rPr>
              <w:t>'</w:t>
            </w:r>
            <w:r>
              <w:rPr>
                <w:color w:val="000000"/>
              </w:rPr>
              <w:t>ont pas été examinées par le GTC-SFP, le Conseil a décidé de reporter l</w:t>
            </w:r>
            <w:r w:rsidR="00E95B1A">
              <w:rPr>
                <w:color w:val="000000"/>
              </w:rPr>
              <w:t>'</w:t>
            </w:r>
            <w:r>
              <w:rPr>
                <w:color w:val="000000"/>
              </w:rPr>
              <w:t xml:space="preserve">examen de cette Résolution à la PP-26. </w:t>
            </w:r>
          </w:p>
          <w:p w14:paraId="222937A2" w14:textId="3BCD1A82" w:rsidR="007F31E2" w:rsidRPr="00CE1CA4" w:rsidRDefault="007F31E2" w:rsidP="00F63219">
            <w:pPr>
              <w:tabs>
                <w:tab w:val="left" w:pos="284"/>
              </w:tabs>
              <w:spacing w:after="120"/>
            </w:pPr>
            <w:r>
              <w:rPr>
                <w:color w:val="000000"/>
              </w:rPr>
              <w:t xml:space="preserve">En outre, le rapport sur la suite donnée par le </w:t>
            </w:r>
            <w:r w:rsidR="00474363">
              <w:rPr>
                <w:color w:val="000000"/>
              </w:rPr>
              <w:t xml:space="preserve">secrétariat </w:t>
            </w:r>
            <w:r>
              <w:rPr>
                <w:color w:val="000000"/>
              </w:rPr>
              <w:t>aux tâches qui lui avaient été confiées par le Conseil à sa session de 2026 (</w:t>
            </w:r>
            <w:r w:rsidRPr="008D20E1">
              <w:t xml:space="preserve">Document </w:t>
            </w:r>
            <w:hyperlink r:id="rId13" w:history="1">
              <w:r w:rsidRPr="008D20E1">
                <w:rPr>
                  <w:rStyle w:val="Hyperlink"/>
                </w:rPr>
                <w:t>33</w:t>
              </w:r>
            </w:hyperlink>
            <w:r>
              <w:rPr>
                <w:color w:val="000000"/>
              </w:rPr>
              <w:t>) est également transmis à la Conférence de plénipotentiaires pour examen, conjointement avec le présent rapport.</w:t>
            </w:r>
            <w:hyperlink r:id="rId14" w:history="1"/>
          </w:p>
          <w:p w14:paraId="224803B7" w14:textId="046DF371" w:rsidR="007F31E2" w:rsidRPr="00CE1CA4" w:rsidRDefault="007F31E2" w:rsidP="00F63219">
            <w:pPr>
              <w:tabs>
                <w:tab w:val="left" w:pos="284"/>
              </w:tabs>
              <w:spacing w:after="120"/>
            </w:pPr>
            <w:r>
              <w:rPr>
                <w:color w:val="000000"/>
                <w:szCs w:val="24"/>
              </w:rPr>
              <w:t>À titre d</w:t>
            </w:r>
            <w:r w:rsidR="00E95B1A">
              <w:rPr>
                <w:color w:val="000000"/>
                <w:szCs w:val="24"/>
              </w:rPr>
              <w:t>'</w:t>
            </w:r>
            <w:r>
              <w:rPr>
                <w:color w:val="000000"/>
                <w:szCs w:val="24"/>
              </w:rPr>
              <w:t xml:space="preserve">information, le rapport du GTC-SFP figure dans le Document </w:t>
            </w:r>
            <w:hyperlink r:id="rId15" w:history="1">
              <w:r w:rsidRPr="00B72BA1">
                <w:rPr>
                  <w:rStyle w:val="Hyperlink"/>
                  <w:szCs w:val="24"/>
                </w:rPr>
                <w:t>C26/31</w:t>
              </w:r>
            </w:hyperlink>
            <w:r>
              <w:rPr>
                <w:color w:val="000000"/>
                <w:szCs w:val="24"/>
              </w:rPr>
              <w:t xml:space="preserve">. Les comptes rendus des cinquième et septième séances plénières de la session de 2026 du Conseil sont reproduits dans les Documents </w:t>
            </w:r>
            <w:hyperlink r:id="rId16" w:history="1">
              <w:proofErr w:type="spellStart"/>
              <w:r w:rsidRPr="008D20E1">
                <w:rPr>
                  <w:rStyle w:val="Hyperlink"/>
                  <w:szCs w:val="24"/>
                </w:rPr>
                <w:t>C26</w:t>
              </w:r>
              <w:proofErr w:type="spellEnd"/>
              <w:r w:rsidRPr="008D20E1">
                <w:rPr>
                  <w:rStyle w:val="Hyperlink"/>
                  <w:szCs w:val="24"/>
                </w:rPr>
                <w:t>/122</w:t>
              </w:r>
            </w:hyperlink>
            <w:r w:rsidRPr="008D20E1">
              <w:rPr>
                <w:color w:val="000000"/>
                <w:szCs w:val="24"/>
              </w:rPr>
              <w:t xml:space="preserve"> et </w:t>
            </w:r>
            <w:hyperlink r:id="rId17" w:history="1">
              <w:proofErr w:type="spellStart"/>
              <w:r w:rsidRPr="008D20E1">
                <w:rPr>
                  <w:rStyle w:val="Hyperlink"/>
                  <w:szCs w:val="24"/>
                </w:rPr>
                <w:t>C26</w:t>
              </w:r>
              <w:proofErr w:type="spellEnd"/>
              <w:r w:rsidRPr="008D20E1">
                <w:rPr>
                  <w:rStyle w:val="Hyperlink"/>
                  <w:szCs w:val="24"/>
                </w:rPr>
                <w:t>/124</w:t>
              </w:r>
            </w:hyperlink>
            <w:r>
              <w:rPr>
                <w:color w:val="000000"/>
                <w:szCs w:val="24"/>
              </w:rPr>
              <w:t>.</w:t>
            </w:r>
            <w:hyperlink r:id="rId18" w:history="1"/>
            <w:hyperlink r:id="rId19" w:history="1"/>
            <w:hyperlink r:id="rId20" w:history="1"/>
          </w:p>
        </w:tc>
      </w:tr>
    </w:tbl>
    <w:p w14:paraId="573F886E" w14:textId="77777777" w:rsidR="008D20E1" w:rsidRDefault="008D20E1">
      <w:pPr>
        <w:jc w:val="center"/>
      </w:pPr>
      <w:r>
        <w:t>______________</w:t>
      </w:r>
    </w:p>
    <w:sectPr w:rsidR="008D20E1" w:rsidSect="003A0B7D">
      <w:headerReference w:type="default" r:id="rId21"/>
      <w:footerReference w:type="first" r:id="rId22"/>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7A4E" w14:textId="77777777" w:rsidR="00B46A4D" w:rsidRDefault="00B46A4D">
      <w:r>
        <w:separator/>
      </w:r>
    </w:p>
  </w:endnote>
  <w:endnote w:type="continuationSeparator" w:id="0">
    <w:p w14:paraId="59700AF7" w14:textId="77777777" w:rsidR="00B46A4D" w:rsidRDefault="00B4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19444F93"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E95B1A" w:rsidRPr="00107BF2">
        <w:rPr>
          <w:rStyle w:val="Hyperlink"/>
        </w:rPr>
        <w:t>www.itu.int</w:t>
      </w:r>
      <w:proofErr w:type="spellEnd"/>
      <w:r w:rsidR="00E95B1A" w:rsidRPr="00107BF2">
        <w:rPr>
          <w:rStyle w:val="Hyperlink"/>
        </w:rPr>
        <w:t>/plenipotentiary/</w:t>
      </w:r>
    </w:hyperlink>
    <w:r w:rsidR="00E95B1A" w:rsidRPr="00474363">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3C70" w14:textId="77777777" w:rsidR="00B46A4D" w:rsidRDefault="00B46A4D">
      <w:r>
        <w:t>____________________</w:t>
      </w:r>
    </w:p>
  </w:footnote>
  <w:footnote w:type="continuationSeparator" w:id="0">
    <w:p w14:paraId="4605B0ED" w14:textId="77777777" w:rsidR="00B46A4D" w:rsidRDefault="00B46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34DF5DA6" w:rsidR="00BD1614" w:rsidRDefault="00BD1614" w:rsidP="001E2226">
    <w:pPr>
      <w:pStyle w:val="Header"/>
    </w:pPr>
    <w:r>
      <w:t>PP</w:t>
    </w:r>
    <w:r w:rsidR="002A7A1D">
      <w:t>2</w:t>
    </w:r>
    <w:r w:rsidR="008407A7">
      <w:t>6</w:t>
    </w:r>
    <w:r>
      <w:t>/</w:t>
    </w:r>
    <w:r w:rsidR="00801154">
      <w:t>xx-F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8F4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B2A0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15AB1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46CF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B2C33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20D2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BA90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BECB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CCC7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AEE0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4A30CCE"/>
    <w:multiLevelType w:val="hybridMultilevel"/>
    <w:tmpl w:val="864807C6"/>
    <w:lvl w:ilvl="0" w:tplc="F2B489EC">
      <w:start w:val="1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1213097">
    <w:abstractNumId w:val="9"/>
  </w:num>
  <w:num w:numId="2" w16cid:durableId="1218663995">
    <w:abstractNumId w:val="7"/>
  </w:num>
  <w:num w:numId="3" w16cid:durableId="617374391">
    <w:abstractNumId w:val="6"/>
  </w:num>
  <w:num w:numId="4" w16cid:durableId="840700487">
    <w:abstractNumId w:val="5"/>
  </w:num>
  <w:num w:numId="5" w16cid:durableId="1218277585">
    <w:abstractNumId w:val="4"/>
  </w:num>
  <w:num w:numId="6" w16cid:durableId="993069055">
    <w:abstractNumId w:val="8"/>
  </w:num>
  <w:num w:numId="7" w16cid:durableId="633562836">
    <w:abstractNumId w:val="3"/>
  </w:num>
  <w:num w:numId="8" w16cid:durableId="1218711275">
    <w:abstractNumId w:val="2"/>
  </w:num>
  <w:num w:numId="9" w16cid:durableId="1490899931">
    <w:abstractNumId w:val="1"/>
  </w:num>
  <w:num w:numId="10" w16cid:durableId="1957254715">
    <w:abstractNumId w:val="0"/>
  </w:num>
  <w:num w:numId="11" w16cid:durableId="794639407">
    <w:abstractNumId w:val="10"/>
  </w:num>
  <w:num w:numId="12" w16cid:durableId="2017078060">
    <w:abstractNumId w:val="8"/>
  </w:num>
  <w:num w:numId="13" w16cid:durableId="840047084">
    <w:abstractNumId w:val="3"/>
  </w:num>
  <w:num w:numId="14" w16cid:durableId="1792281865">
    <w:abstractNumId w:val="2"/>
  </w:num>
  <w:num w:numId="15" w16cid:durableId="2063358850">
    <w:abstractNumId w:val="1"/>
  </w:num>
  <w:num w:numId="16" w16cid:durableId="45380384">
    <w:abstractNumId w:val="0"/>
  </w:num>
  <w:num w:numId="17" w16cid:durableId="998774739">
    <w:abstractNumId w:val="8"/>
  </w:num>
  <w:num w:numId="18" w16cid:durableId="220793318">
    <w:abstractNumId w:val="3"/>
  </w:num>
  <w:num w:numId="19" w16cid:durableId="1617443237">
    <w:abstractNumId w:val="2"/>
  </w:num>
  <w:num w:numId="20" w16cid:durableId="1646201277">
    <w:abstractNumId w:val="1"/>
  </w:num>
  <w:num w:numId="21" w16cid:durableId="1753817084">
    <w:abstractNumId w:val="0"/>
  </w:num>
  <w:num w:numId="22" w16cid:durableId="145781697">
    <w:abstractNumId w:val="8"/>
  </w:num>
  <w:num w:numId="23" w16cid:durableId="1338997561">
    <w:abstractNumId w:val="3"/>
  </w:num>
  <w:num w:numId="24" w16cid:durableId="1409498174">
    <w:abstractNumId w:val="2"/>
  </w:num>
  <w:num w:numId="25" w16cid:durableId="25640589">
    <w:abstractNumId w:val="1"/>
  </w:num>
  <w:num w:numId="26" w16cid:durableId="1085609622">
    <w:abstractNumId w:val="0"/>
  </w:num>
  <w:num w:numId="27" w16cid:durableId="1460224928">
    <w:abstractNumId w:val="8"/>
  </w:num>
  <w:num w:numId="28" w16cid:durableId="1317226322">
    <w:abstractNumId w:val="3"/>
  </w:num>
  <w:num w:numId="29" w16cid:durableId="2127698729">
    <w:abstractNumId w:val="2"/>
  </w:num>
  <w:num w:numId="30" w16cid:durableId="167062999">
    <w:abstractNumId w:val="1"/>
  </w:num>
  <w:num w:numId="31" w16cid:durableId="128103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8132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74363"/>
    <w:rsid w:val="00482954"/>
    <w:rsid w:val="00487C15"/>
    <w:rsid w:val="004951C0"/>
    <w:rsid w:val="004C7646"/>
    <w:rsid w:val="00524001"/>
    <w:rsid w:val="00563698"/>
    <w:rsid w:val="00564B63"/>
    <w:rsid w:val="00575DC7"/>
    <w:rsid w:val="005800BB"/>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7F31E2"/>
    <w:rsid w:val="007F5FFC"/>
    <w:rsid w:val="00801154"/>
    <w:rsid w:val="00801256"/>
    <w:rsid w:val="008264FC"/>
    <w:rsid w:val="008407A7"/>
    <w:rsid w:val="008703CB"/>
    <w:rsid w:val="008B61AF"/>
    <w:rsid w:val="008C33C2"/>
    <w:rsid w:val="008C6137"/>
    <w:rsid w:val="008D20E1"/>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436E"/>
    <w:rsid w:val="00A8615D"/>
    <w:rsid w:val="00A95B66"/>
    <w:rsid w:val="00AB190D"/>
    <w:rsid w:val="00AC46F6"/>
    <w:rsid w:val="00AE0667"/>
    <w:rsid w:val="00B23CD4"/>
    <w:rsid w:val="00B41E0A"/>
    <w:rsid w:val="00B46A4D"/>
    <w:rsid w:val="00B56DE0"/>
    <w:rsid w:val="00B71F12"/>
    <w:rsid w:val="00B72BA1"/>
    <w:rsid w:val="00B76FEC"/>
    <w:rsid w:val="00B96B1E"/>
    <w:rsid w:val="00BB2A6F"/>
    <w:rsid w:val="00BD1614"/>
    <w:rsid w:val="00BD382C"/>
    <w:rsid w:val="00BD5C12"/>
    <w:rsid w:val="00BD5DA6"/>
    <w:rsid w:val="00BF7D25"/>
    <w:rsid w:val="00C010C0"/>
    <w:rsid w:val="00C0405F"/>
    <w:rsid w:val="00C26D3B"/>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95B1A"/>
    <w:rsid w:val="00EA45DB"/>
    <w:rsid w:val="00EC1877"/>
    <w:rsid w:val="00ED2CD9"/>
    <w:rsid w:val="00F07DA7"/>
    <w:rsid w:val="00F3254F"/>
    <w:rsid w:val="00F564C1"/>
    <w:rsid w:val="00F63219"/>
    <w:rsid w:val="00F77FA2"/>
    <w:rsid w:val="00F8357A"/>
    <w:rsid w:val="00FA1B77"/>
    <w:rsid w:val="00FB0A6D"/>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aliases w:val="超级链接,Style 58,超?级链"/>
    <w:basedOn w:val="DefaultParagraphFont"/>
    <w:uiPriority w:val="99"/>
    <w:rsid w:val="00474363"/>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styleId="ListParagraph">
    <w:name w:val="List Paragraph"/>
    <w:basedOn w:val="Normal"/>
    <w:link w:val="ListParagraphChar"/>
    <w:uiPriority w:val="34"/>
    <w:qFormat/>
    <w:rsid w:val="007F31E2"/>
    <w:pPr>
      <w:tabs>
        <w:tab w:val="clear" w:pos="567"/>
        <w:tab w:val="clear" w:pos="1134"/>
        <w:tab w:val="clear" w:pos="1701"/>
        <w:tab w:val="clear" w:pos="2268"/>
        <w:tab w:val="clear" w:pos="2835"/>
      </w:tabs>
      <w:overflowPunct/>
      <w:autoSpaceDE/>
      <w:autoSpaceDN/>
      <w:adjustRightInd/>
      <w:spacing w:before="0" w:after="160" w:line="259" w:lineRule="auto"/>
      <w:ind w:left="720"/>
      <w:contextualSpacing/>
      <w:textAlignment w:val="auto"/>
    </w:pPr>
    <w:rPr>
      <w:rFonts w:asciiTheme="minorHAnsi" w:eastAsiaTheme="minorHAnsi" w:hAnsiTheme="minorHAnsi" w:cstheme="minorBidi"/>
      <w:sz w:val="22"/>
      <w:szCs w:val="22"/>
      <w:lang w:val="en-GB"/>
    </w:rPr>
  </w:style>
  <w:style w:type="character" w:customStyle="1" w:styleId="ListParagraphChar">
    <w:name w:val="List Paragraph Char"/>
    <w:basedOn w:val="DefaultParagraphFont"/>
    <w:link w:val="ListParagraph"/>
    <w:uiPriority w:val="34"/>
    <w:rsid w:val="007F31E2"/>
    <w:rPr>
      <w:rFonts w:asciiTheme="minorHAnsi" w:eastAsiaTheme="minorHAnsi" w:hAnsiTheme="minorHAnsi" w:cstheme="minorBidi"/>
      <w:sz w:val="22"/>
      <w:szCs w:val="22"/>
      <w:lang w:val="en-GB" w:eastAsia="en-US"/>
    </w:rPr>
  </w:style>
  <w:style w:type="table" w:styleId="TableGrid">
    <w:name w:val="Table Grid"/>
    <w:basedOn w:val="TableNormal"/>
    <w:rsid w:val="007F31E2"/>
    <w:rPr>
      <w:rFonts w:asciiTheme="minorHAnsi" w:eastAsiaTheme="minorHAnsi" w:hAnsiTheme="minorHAnsi" w:cstheme="minorBid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tu.int/md/S26-PP-C-0033/fr" TargetMode="External"/><Relationship Id="rId18" Type="http://schemas.openxmlformats.org/officeDocument/2006/relationships/hyperlink" Target="https://www.itu.int/md/S26-CL-C-0031/en"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itu.int/md/S26-PP-C-0032/fr" TargetMode="External"/><Relationship Id="rId17" Type="http://schemas.openxmlformats.org/officeDocument/2006/relationships/hyperlink" Target="https://www.itu.int/md/S26-CL-C-0124/fr" TargetMode="External"/><Relationship Id="rId2" Type="http://schemas.openxmlformats.org/officeDocument/2006/relationships/customXml" Target="../customXml/item1.xml"/><Relationship Id="rId16" Type="http://schemas.openxmlformats.org/officeDocument/2006/relationships/hyperlink" Target="https://www.itu.int/md/S26-CL-C-0122/fr" TargetMode="External"/><Relationship Id="rId20" Type="http://schemas.openxmlformats.org/officeDocument/2006/relationships/hyperlink" Target="https://ituint.sharepoint.com/:w:/r/sites/council-COUNCIL26/Shared%20Documents/COUNCIL26/Draft%20PLEN%20SRs/124e-PL7-links-pending.docx?d=wf78748bd287f4d94aeb81299544c4c20&amp;csf=1&amp;web=1&amp;e=WOYIWo&amp;xsdata=MDV8MDJ8dmljdG9yaWEuc3VrZW5pa0BpdHUuaW50fDdjMTFiYmMxMzc1ZjQwMDI2ZmM4MDhkZWJmZmQwNGEyfDIzZTQ2NGQ3MDRlNjRiODc5MTNjMjRiZDg5MjE5ZmQzfDB8MHw2MzkxNTkyOTA1ODcyMDE0NDR8VW5rbm93bnxUV0ZwYkdac2IzZDhleUpGYlhCMGVVMWhjR2tpT25SeWRXVXNJbFlpT2lJd0xqQXVNREF3TUNJc0lsQWlPaUpYYVc0ek1pSXNJa0ZPSWpvaVRXRnBiQ0lzSWxkVUlqb3lmUT09fDB8fHw%3d&amp;sdata=UDU3MFJiZXJoTmRGdVNrNVE4U1U5cXgrNjMxWTZOTzgwODdoY3RIUzFzOD0%3d"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md/S26-PP-C-0032/fr"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itu.int/md/S26-CL-C-0031/fr" TargetMode="External"/><Relationship Id="rId23" Type="http://schemas.openxmlformats.org/officeDocument/2006/relationships/fontTable" Target="fontTable.xml"/><Relationship Id="rId10" Type="http://schemas.openxmlformats.org/officeDocument/2006/relationships/hyperlink" Target="https://www.itu.int/md/S26-PP-C-0032/fr" TargetMode="External"/><Relationship Id="rId19" Type="http://schemas.openxmlformats.org/officeDocument/2006/relationships/hyperlink" Target="https://ituint.sharepoint.com/:w:/r/sites/council-COUNCIL26/Shared%20Documents/COUNCIL26/Draft%20PLEN%20SRs/122e-PL5-link-pending.docx?d=weadddfddb0bc4a96a28ab59172dcd665&amp;csf=1&amp;web=1&amp;e=9eb1fp&amp;xsdata=MDV8MDJ8dmljdG9yaWEuc3VrZW5pa0BpdHUuaW50fDdjMTFiYmMxMzc1ZjQwMDI2ZmM4MDhkZWJmZmQwNGEyfDIzZTQ2NGQ3MDRlNjRiODc5MTNjMjRiZDg5MjE5ZmQzfDB8MHw2MzkxNTkyOTA1ODcxODgzNDF8VW5rbm93bnxUV0ZwYkdac2IzZDhleUpGYlhCMGVVMWhjR2tpT25SeWRXVXNJbFlpT2lJd0xqQXVNREF3TUNJc0lsQWlPaUpYYVc0ek1pSXNJa0ZPSWpvaVRXRnBiQ0lzSWxkVUlqb3lmUT09fDB8fHw%3d&amp;sdata=WCt6MXJtcnRla3RoZTlUQnAySWZlSE5kL2FzblZtazFKa0Q5TXVuTnBFaz0%3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tu.int/md/S26-PP-C-0033/e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A8525-9E83-40BC-AC4B-EA415F4A2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520</Words>
  <Characters>2822</Characters>
  <Application>Microsoft Office Word</Application>
  <DocSecurity>0</DocSecurity>
  <Lines>49</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Groupe de travail du Conseil chargé d'élaborer le plan stratégique et le plan financier pour la période 2028-2031 (GTC-SFP)</dc:title>
  <dc:subject>ITU Plenipotentiary Conference (PP-26)</dc:subject>
  <cp:keywords>PP-26, PP26, ITU</cp:keywords>
  <dc:description/>
  <dcterms:created xsi:type="dcterms:W3CDTF">2026-10-22T09:29:00Z</dcterms:created>
  <dcterms:modified xsi:type="dcterms:W3CDTF">2026-10-22T09:32:00Z</dcterms:modified>
  <cp:category>Conference document</cp:category>
</cp:coreProperties>
</file>