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512E1E" w14:paraId="448905D4" w14:textId="77777777" w:rsidTr="005A329F">
        <w:trPr>
          <w:cantSplit/>
          <w:jc w:val="center"/>
        </w:trPr>
        <w:tc>
          <w:tcPr>
            <w:tcW w:w="10031" w:type="dxa"/>
            <w:gridSpan w:val="2"/>
            <w:tcMar>
              <w:left w:w="0" w:type="dxa"/>
              <w:right w:w="0" w:type="dxa"/>
            </w:tcMar>
            <w:vAlign w:val="center"/>
          </w:tcPr>
          <w:p w14:paraId="67E4832B" w14:textId="77777777" w:rsidR="00BF32F2" w:rsidRPr="00512E1E" w:rsidRDefault="00BF32F2" w:rsidP="00BF32F2">
            <w:pPr>
              <w:spacing w:before="0" w:line="240" w:lineRule="atLeast"/>
              <w:rPr>
                <w:rFonts w:cstheme="minorHAnsi"/>
              </w:rPr>
            </w:pPr>
            <w:bookmarkStart w:id="0" w:name="ditulogo"/>
            <w:bookmarkEnd w:id="0"/>
            <w:r w:rsidRPr="00512E1E">
              <w:rPr>
                <w:rFonts w:cstheme="minorHAnsi"/>
                <w:noProof/>
              </w:rPr>
              <w:drawing>
                <wp:anchor distT="0" distB="0" distL="0" distR="0" simplePos="0" relativeHeight="251658240" behindDoc="1" locked="0" layoutInCell="1" allowOverlap="1" wp14:anchorId="3AD736E5" wp14:editId="6D61B45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512E1E" w14:paraId="4A5CB5EA" w14:textId="77777777" w:rsidTr="005A329F">
        <w:trPr>
          <w:cantSplit/>
          <w:trHeight w:val="283"/>
          <w:jc w:val="center"/>
        </w:trPr>
        <w:tc>
          <w:tcPr>
            <w:tcW w:w="10031" w:type="dxa"/>
            <w:gridSpan w:val="2"/>
            <w:tcBorders>
              <w:bottom w:val="single" w:sz="12" w:space="0" w:color="71716F"/>
            </w:tcBorders>
          </w:tcPr>
          <w:p w14:paraId="57B15D7F" w14:textId="77777777" w:rsidR="00277985" w:rsidRPr="00512E1E" w:rsidRDefault="00277985" w:rsidP="00BF32F2">
            <w:pPr>
              <w:spacing w:before="0" w:line="240" w:lineRule="atLeast"/>
              <w:rPr>
                <w:rFonts w:cstheme="minorHAnsi"/>
                <w:b/>
                <w:smallCaps/>
                <w:szCs w:val="24"/>
              </w:rPr>
            </w:pPr>
            <w:bookmarkStart w:id="1" w:name="dhead"/>
          </w:p>
        </w:tc>
      </w:tr>
      <w:tr w:rsidR="00255FA1" w:rsidRPr="00512E1E" w14:paraId="3523A016" w14:textId="77777777" w:rsidTr="005A329F">
        <w:trPr>
          <w:cantSplit/>
          <w:trHeight w:val="255"/>
          <w:jc w:val="center"/>
        </w:trPr>
        <w:tc>
          <w:tcPr>
            <w:tcW w:w="7229" w:type="dxa"/>
            <w:tcBorders>
              <w:top w:val="single" w:sz="12" w:space="0" w:color="71716F"/>
            </w:tcBorders>
          </w:tcPr>
          <w:p w14:paraId="61BBB79C" w14:textId="77777777" w:rsidR="00255FA1" w:rsidRPr="00512E1E" w:rsidRDefault="00255FA1" w:rsidP="00BF32F2">
            <w:pPr>
              <w:spacing w:before="0"/>
              <w:ind w:firstLine="720"/>
              <w:rPr>
                <w:rFonts w:cstheme="minorHAnsi"/>
                <w:b/>
                <w:smallCaps/>
                <w:szCs w:val="24"/>
              </w:rPr>
            </w:pPr>
          </w:p>
        </w:tc>
        <w:tc>
          <w:tcPr>
            <w:tcW w:w="2802" w:type="dxa"/>
            <w:tcBorders>
              <w:top w:val="single" w:sz="12" w:space="0" w:color="71716F"/>
            </w:tcBorders>
          </w:tcPr>
          <w:p w14:paraId="797FC132" w14:textId="77777777" w:rsidR="00255FA1" w:rsidRPr="00512E1E" w:rsidRDefault="00255FA1" w:rsidP="00BF32F2">
            <w:pPr>
              <w:spacing w:before="0"/>
              <w:rPr>
                <w:rFonts w:cstheme="minorHAnsi"/>
                <w:szCs w:val="24"/>
              </w:rPr>
            </w:pPr>
          </w:p>
        </w:tc>
      </w:tr>
      <w:tr w:rsidR="00255FA1" w:rsidRPr="00512E1E" w14:paraId="540F44FE" w14:textId="77777777" w:rsidTr="005A329F">
        <w:trPr>
          <w:cantSplit/>
          <w:jc w:val="center"/>
        </w:trPr>
        <w:tc>
          <w:tcPr>
            <w:tcW w:w="7229" w:type="dxa"/>
          </w:tcPr>
          <w:p w14:paraId="32C14ED3" w14:textId="77777777" w:rsidR="00255FA1" w:rsidRPr="00512E1E" w:rsidRDefault="00255FA1" w:rsidP="003B5DC9">
            <w:pPr>
              <w:pStyle w:val="Committee"/>
              <w:framePr w:hSpace="0" w:wrap="auto" w:hAnchor="text" w:yAlign="inline"/>
              <w:spacing w:after="0" w:line="240" w:lineRule="auto"/>
              <w:rPr>
                <w:lang w:val="es-ES_tradnl"/>
              </w:rPr>
            </w:pPr>
            <w:r w:rsidRPr="00512E1E">
              <w:rPr>
                <w:lang w:val="es-ES_tradnl"/>
              </w:rPr>
              <w:t>SESIÓN PLENARIA</w:t>
            </w:r>
          </w:p>
        </w:tc>
        <w:tc>
          <w:tcPr>
            <w:tcW w:w="2802" w:type="dxa"/>
          </w:tcPr>
          <w:p w14:paraId="3CF9BE88" w14:textId="77777777" w:rsidR="00255FA1" w:rsidRPr="00512E1E" w:rsidRDefault="00255FA1" w:rsidP="003B5DC9">
            <w:pPr>
              <w:spacing w:before="0"/>
              <w:rPr>
                <w:rFonts w:cstheme="minorHAnsi"/>
                <w:szCs w:val="24"/>
              </w:rPr>
            </w:pPr>
            <w:r w:rsidRPr="00512E1E">
              <w:rPr>
                <w:rFonts w:cstheme="minorHAnsi"/>
                <w:b/>
                <w:szCs w:val="24"/>
              </w:rPr>
              <w:t>Addéndum 4 al</w:t>
            </w:r>
            <w:r w:rsidRPr="00512E1E">
              <w:rPr>
                <w:rFonts w:cstheme="minorHAnsi"/>
                <w:b/>
                <w:szCs w:val="24"/>
              </w:rPr>
              <w:br/>
              <w:t>Documento 24</w:t>
            </w:r>
            <w:r w:rsidR="00262FF4" w:rsidRPr="00512E1E">
              <w:rPr>
                <w:rFonts w:cstheme="minorHAnsi"/>
                <w:b/>
                <w:szCs w:val="24"/>
              </w:rPr>
              <w:t>-S</w:t>
            </w:r>
          </w:p>
        </w:tc>
      </w:tr>
      <w:tr w:rsidR="00255FA1" w:rsidRPr="00512E1E" w14:paraId="454763F8" w14:textId="77777777" w:rsidTr="005A329F">
        <w:trPr>
          <w:cantSplit/>
          <w:jc w:val="center"/>
        </w:trPr>
        <w:tc>
          <w:tcPr>
            <w:tcW w:w="7229" w:type="dxa"/>
          </w:tcPr>
          <w:p w14:paraId="68D69917" w14:textId="77777777" w:rsidR="00255FA1" w:rsidRPr="00512E1E" w:rsidRDefault="00255FA1" w:rsidP="003B5DC9">
            <w:pPr>
              <w:spacing w:before="0"/>
              <w:rPr>
                <w:rFonts w:cstheme="minorHAnsi"/>
                <w:b/>
                <w:szCs w:val="24"/>
              </w:rPr>
            </w:pPr>
          </w:p>
        </w:tc>
        <w:tc>
          <w:tcPr>
            <w:tcW w:w="2802" w:type="dxa"/>
          </w:tcPr>
          <w:p w14:paraId="0BBBF8E0" w14:textId="77777777" w:rsidR="00255FA1" w:rsidRPr="00512E1E" w:rsidRDefault="00255FA1" w:rsidP="003B5DC9">
            <w:pPr>
              <w:spacing w:before="0"/>
              <w:rPr>
                <w:rFonts w:cstheme="minorHAnsi"/>
                <w:b/>
                <w:szCs w:val="24"/>
              </w:rPr>
            </w:pPr>
            <w:r w:rsidRPr="00512E1E">
              <w:rPr>
                <w:rFonts w:cstheme="minorHAnsi"/>
                <w:b/>
                <w:szCs w:val="24"/>
              </w:rPr>
              <w:t>19 de octubre de 2026</w:t>
            </w:r>
          </w:p>
        </w:tc>
      </w:tr>
      <w:tr w:rsidR="00255FA1" w:rsidRPr="00512E1E" w14:paraId="6A1C1F1E" w14:textId="77777777" w:rsidTr="005A329F">
        <w:trPr>
          <w:cantSplit/>
          <w:jc w:val="center"/>
        </w:trPr>
        <w:tc>
          <w:tcPr>
            <w:tcW w:w="7229" w:type="dxa"/>
          </w:tcPr>
          <w:p w14:paraId="5ED2FC94" w14:textId="77777777" w:rsidR="00255FA1" w:rsidRPr="00512E1E" w:rsidRDefault="00255FA1" w:rsidP="003B5DC9">
            <w:pPr>
              <w:spacing w:before="0"/>
              <w:rPr>
                <w:rFonts w:cstheme="minorHAnsi"/>
                <w:b/>
                <w:smallCaps/>
                <w:szCs w:val="24"/>
              </w:rPr>
            </w:pPr>
          </w:p>
        </w:tc>
        <w:tc>
          <w:tcPr>
            <w:tcW w:w="2802" w:type="dxa"/>
          </w:tcPr>
          <w:p w14:paraId="5F30B1A6" w14:textId="77777777" w:rsidR="00255FA1" w:rsidRPr="00512E1E" w:rsidRDefault="00255FA1" w:rsidP="003B5DC9">
            <w:pPr>
              <w:spacing w:before="0"/>
              <w:rPr>
                <w:rFonts w:cstheme="minorHAnsi"/>
                <w:b/>
                <w:szCs w:val="24"/>
              </w:rPr>
            </w:pPr>
            <w:r w:rsidRPr="00512E1E">
              <w:rPr>
                <w:rFonts w:cstheme="minorHAnsi"/>
                <w:b/>
                <w:szCs w:val="24"/>
              </w:rPr>
              <w:t>Original: inglés</w:t>
            </w:r>
          </w:p>
        </w:tc>
      </w:tr>
      <w:tr w:rsidR="00255FA1" w:rsidRPr="00512E1E" w14:paraId="3CBBD6F0" w14:textId="77777777" w:rsidTr="005A329F">
        <w:trPr>
          <w:cantSplit/>
          <w:jc w:val="center"/>
        </w:trPr>
        <w:tc>
          <w:tcPr>
            <w:tcW w:w="10031" w:type="dxa"/>
            <w:gridSpan w:val="2"/>
          </w:tcPr>
          <w:p w14:paraId="53E2BEBA" w14:textId="77777777" w:rsidR="00255FA1" w:rsidRPr="00512E1E" w:rsidRDefault="00255FA1" w:rsidP="003B5DC9">
            <w:pPr>
              <w:spacing w:before="0" w:line="240" w:lineRule="atLeast"/>
              <w:rPr>
                <w:rFonts w:cstheme="minorHAnsi"/>
                <w:b/>
                <w:szCs w:val="24"/>
              </w:rPr>
            </w:pPr>
          </w:p>
        </w:tc>
      </w:tr>
      <w:tr w:rsidR="00255FA1" w:rsidRPr="00512E1E" w14:paraId="40433CFC" w14:textId="77777777" w:rsidTr="005A329F">
        <w:trPr>
          <w:cantSplit/>
          <w:jc w:val="center"/>
        </w:trPr>
        <w:tc>
          <w:tcPr>
            <w:tcW w:w="10031" w:type="dxa"/>
            <w:gridSpan w:val="2"/>
          </w:tcPr>
          <w:p w14:paraId="0D318836" w14:textId="77777777" w:rsidR="00255FA1" w:rsidRPr="00512E1E" w:rsidRDefault="00255FA1" w:rsidP="003B5DC9">
            <w:pPr>
              <w:pStyle w:val="Source"/>
            </w:pPr>
            <w:bookmarkStart w:id="2" w:name="dsource" w:colFirst="0" w:colLast="0"/>
            <w:bookmarkEnd w:id="1"/>
            <w:r w:rsidRPr="00512E1E">
              <w:t>Administraciones de la Unión Africana de Telecomunicaciones</w:t>
            </w:r>
          </w:p>
        </w:tc>
      </w:tr>
      <w:tr w:rsidR="00255FA1" w:rsidRPr="00512E1E" w14:paraId="5A86FC49" w14:textId="77777777" w:rsidTr="005A329F">
        <w:trPr>
          <w:cantSplit/>
          <w:jc w:val="center"/>
        </w:trPr>
        <w:tc>
          <w:tcPr>
            <w:tcW w:w="10031" w:type="dxa"/>
            <w:gridSpan w:val="2"/>
          </w:tcPr>
          <w:p w14:paraId="6E876051" w14:textId="2C341C3D" w:rsidR="00255FA1" w:rsidRPr="00512E1E" w:rsidRDefault="00B63F47" w:rsidP="003B5DC9">
            <w:pPr>
              <w:pStyle w:val="Title1"/>
            </w:pPr>
            <w:bookmarkStart w:id="3" w:name="dtitle1" w:colFirst="0" w:colLast="0"/>
            <w:bookmarkEnd w:id="2"/>
            <w:r w:rsidRPr="00512E1E">
              <w:t>Proyecto de nueva resolución</w:t>
            </w:r>
            <w:r w:rsidR="00255FA1" w:rsidRPr="00512E1E">
              <w:t xml:space="preserve">: </w:t>
            </w:r>
            <w:r w:rsidRPr="00512E1E">
              <w:t>Mejorar la eficacia y la rentabilidad de las conferencias, asambleas y reuniones de la UIT</w:t>
            </w:r>
          </w:p>
        </w:tc>
      </w:tr>
      <w:tr w:rsidR="00255FA1" w:rsidRPr="00512E1E" w14:paraId="3AB199DF" w14:textId="77777777" w:rsidTr="005A329F">
        <w:trPr>
          <w:cantSplit/>
          <w:jc w:val="center"/>
        </w:trPr>
        <w:tc>
          <w:tcPr>
            <w:tcW w:w="10031" w:type="dxa"/>
            <w:gridSpan w:val="2"/>
          </w:tcPr>
          <w:p w14:paraId="078955EA" w14:textId="77777777" w:rsidR="00255FA1" w:rsidRPr="00512E1E" w:rsidRDefault="00255FA1" w:rsidP="003B5DC9">
            <w:pPr>
              <w:pStyle w:val="Title2"/>
            </w:pPr>
            <w:bookmarkStart w:id="4" w:name="dtitle2" w:colFirst="0" w:colLast="0"/>
            <w:bookmarkEnd w:id="3"/>
          </w:p>
        </w:tc>
      </w:tr>
      <w:tr w:rsidR="00255FA1" w:rsidRPr="00512E1E" w14:paraId="315DEA2E" w14:textId="77777777" w:rsidTr="005A329F">
        <w:trPr>
          <w:cantSplit/>
          <w:jc w:val="center"/>
        </w:trPr>
        <w:tc>
          <w:tcPr>
            <w:tcW w:w="10031" w:type="dxa"/>
            <w:gridSpan w:val="2"/>
          </w:tcPr>
          <w:p w14:paraId="4A68CBC4" w14:textId="77777777" w:rsidR="00255FA1" w:rsidRPr="00512E1E" w:rsidRDefault="00255FA1" w:rsidP="003B5DC9">
            <w:pPr>
              <w:pStyle w:val="Agendaitem"/>
            </w:pPr>
            <w:bookmarkStart w:id="5" w:name="dtitle3" w:colFirst="0" w:colLast="0"/>
            <w:bookmarkEnd w:id="4"/>
          </w:p>
        </w:tc>
      </w:tr>
      <w:bookmarkEnd w:id="5"/>
    </w:tbl>
    <w:p w14:paraId="7AEDC797" w14:textId="77777777" w:rsidR="00504FD4" w:rsidRPr="00512E1E" w:rsidRDefault="00504FD4" w:rsidP="00930E84"/>
    <w:p w14:paraId="0F0EE6BE" w14:textId="77777777" w:rsidR="00255FA1" w:rsidRPr="00512E1E"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512E1E">
        <w:rPr>
          <w:rStyle w:val="PageNumber"/>
        </w:rPr>
        <w:br w:type="page"/>
      </w:r>
    </w:p>
    <w:p w14:paraId="49B6B64E" w14:textId="77777777" w:rsidR="000B4597" w:rsidRPr="00512E1E" w:rsidRDefault="0051716B">
      <w:pPr>
        <w:pStyle w:val="Proposal"/>
        <w:rPr>
          <w:lang w:val="es-ES_tradnl"/>
        </w:rPr>
      </w:pPr>
      <w:r w:rsidRPr="00512E1E">
        <w:rPr>
          <w:lang w:val="es-ES_tradnl"/>
        </w:rPr>
        <w:lastRenderedPageBreak/>
        <w:t>ADD</w:t>
      </w:r>
      <w:r w:rsidRPr="00512E1E">
        <w:rPr>
          <w:lang w:val="es-ES_tradnl"/>
        </w:rPr>
        <w:tab/>
        <w:t>AFCP/24A4/1</w:t>
      </w:r>
    </w:p>
    <w:p w14:paraId="017C996B" w14:textId="77777777" w:rsidR="000B4597" w:rsidRPr="00512E1E" w:rsidRDefault="0051716B">
      <w:pPr>
        <w:pStyle w:val="ResNo"/>
      </w:pPr>
      <w:r w:rsidRPr="00512E1E">
        <w:t>Proyecto de nueva Resolución [AFCP-3]</w:t>
      </w:r>
    </w:p>
    <w:p w14:paraId="24165180" w14:textId="498E152E" w:rsidR="000B4597" w:rsidRPr="00512E1E" w:rsidRDefault="00B63F47" w:rsidP="00ED1737">
      <w:pPr>
        <w:pStyle w:val="Restitle"/>
      </w:pPr>
      <w:r w:rsidRPr="00512E1E">
        <w:t xml:space="preserve">Mejorar la eficacia y la rentabilidad de las conferencias, </w:t>
      </w:r>
      <w:r w:rsidR="00C40A64" w:rsidRPr="00512E1E">
        <w:br/>
      </w:r>
      <w:r w:rsidRPr="00512E1E">
        <w:t>asambleas y reuniones de la UIT</w:t>
      </w:r>
    </w:p>
    <w:p w14:paraId="22219F0A" w14:textId="336A15F2" w:rsidR="00B63F47" w:rsidRPr="00512E1E" w:rsidRDefault="00B63F47" w:rsidP="00ED1737">
      <w:pPr>
        <w:pStyle w:val="Normalaftertitle"/>
      </w:pPr>
      <w:r w:rsidRPr="00512E1E">
        <w:t>La Conferencia de Plenipotenciarios de la Unión Internacional de Telecomunicaciones (Doha,</w:t>
      </w:r>
      <w:r w:rsidR="00ED1737" w:rsidRPr="00512E1E">
        <w:t> </w:t>
      </w:r>
      <w:r w:rsidRPr="00512E1E">
        <w:t>2026),</w:t>
      </w:r>
    </w:p>
    <w:p w14:paraId="7EDF193F" w14:textId="77777777" w:rsidR="00B63F47" w:rsidRPr="00512E1E" w:rsidRDefault="00B63F47" w:rsidP="00ED1737">
      <w:pPr>
        <w:pStyle w:val="Call"/>
      </w:pPr>
      <w:r w:rsidRPr="00512E1E">
        <w:t>recordando</w:t>
      </w:r>
    </w:p>
    <w:p w14:paraId="4FD88530" w14:textId="77777777" w:rsidR="00B63F47" w:rsidRPr="00512E1E" w:rsidRDefault="00B63F47" w:rsidP="00ED1737">
      <w:r w:rsidRPr="00512E1E">
        <w:rPr>
          <w:i/>
          <w:iCs/>
        </w:rPr>
        <w:t>a)</w:t>
      </w:r>
      <w:r w:rsidRPr="00512E1E">
        <w:tab/>
        <w:t>la Decisión 5 (Rev. Bucarest, 2022) de la Conferencia de Plenipotenciarios, sobre los ingresos y gastos de la Unión para el periodo 2024-2027;</w:t>
      </w:r>
    </w:p>
    <w:p w14:paraId="407A73A8" w14:textId="22607A6D" w:rsidR="00B63F47" w:rsidRPr="00512E1E" w:rsidRDefault="00B63F47" w:rsidP="00ED1737">
      <w:r w:rsidRPr="00512E1E">
        <w:rPr>
          <w:i/>
          <w:iCs/>
        </w:rPr>
        <w:t>b)</w:t>
      </w:r>
      <w:r w:rsidRPr="00512E1E">
        <w:tab/>
        <w:t>la Resolución 66 (Rev. Bucarest, 2022) de la Conferencia de Plenipotenciarios, sobre los documentos y publicaciones de la Unión;</w:t>
      </w:r>
    </w:p>
    <w:p w14:paraId="34B3B91E" w14:textId="4E499CBB" w:rsidR="00B63F47" w:rsidRPr="00512E1E" w:rsidRDefault="00B63F47" w:rsidP="00ED1737">
      <w:r w:rsidRPr="00512E1E">
        <w:rPr>
          <w:i/>
          <w:iCs/>
        </w:rPr>
        <w:t>c)</w:t>
      </w:r>
      <w:r w:rsidRPr="00512E1E">
        <w:tab/>
        <w:t>la Resolución 167 (Rev. Bucarest, 2022) de la Conferencia de Plenipotenciarios, sobre el fortalecimiento y fomento de las capacidades de la UIT para celebrar reuniones totalmente virtuales y reuniones presenciales con participación a distancia, y los medios electrónicos para avanzar la labor de la Unión;</w:t>
      </w:r>
    </w:p>
    <w:p w14:paraId="6DD17981" w14:textId="77777777" w:rsidR="00B63F47" w:rsidRPr="00512E1E" w:rsidRDefault="00B63F47" w:rsidP="00ED1737">
      <w:r w:rsidRPr="00512E1E">
        <w:rPr>
          <w:i/>
          <w:iCs/>
        </w:rPr>
        <w:t>d)</w:t>
      </w:r>
      <w:r w:rsidRPr="00512E1E">
        <w:tab/>
        <w:t>la Resolución 5 (Kyoto, 1994) de la Conferencia de Plenipotenciarios, sobre invitaciones para celebrar conferencias o reuniones fuera de Ginebra,</w:t>
      </w:r>
    </w:p>
    <w:p w14:paraId="182F4041" w14:textId="77777777" w:rsidR="00B63F47" w:rsidRPr="00512E1E" w:rsidRDefault="00B63F47" w:rsidP="00ED1737">
      <w:pPr>
        <w:pStyle w:val="Call"/>
      </w:pPr>
      <w:r w:rsidRPr="00512E1E">
        <w:t>considerando</w:t>
      </w:r>
    </w:p>
    <w:p w14:paraId="67C0B0CA" w14:textId="77777777" w:rsidR="00B63F47" w:rsidRPr="00512E1E" w:rsidRDefault="00B63F47" w:rsidP="00ED1737">
      <w:r w:rsidRPr="00512E1E">
        <w:rPr>
          <w:i/>
          <w:iCs/>
        </w:rPr>
        <w:t>a)</w:t>
      </w:r>
      <w:r w:rsidRPr="00512E1E">
        <w:tab/>
        <w:t>la importancia de garantizar la participación efectiva de los Estados Miembros de todas las regiones en los trabajos y las actividades de la Unión;</w:t>
      </w:r>
    </w:p>
    <w:p w14:paraId="664B118B" w14:textId="77777777" w:rsidR="00B63F47" w:rsidRPr="00512E1E" w:rsidRDefault="00B63F47" w:rsidP="00ED1737">
      <w:r w:rsidRPr="00512E1E">
        <w:rPr>
          <w:i/>
          <w:iCs/>
        </w:rPr>
        <w:t>b)</w:t>
      </w:r>
      <w:r w:rsidRPr="00512E1E">
        <w:tab/>
        <w:t>los beneficios de celebrar las conferencias, reuniones, talleres, foros y otras actividades de la UIT en los Estados Miembros, como el fortalecimiento de la participación regional, la facilitación del intercambio de conocimientos y la creación de capacidad y la mayor visibilidad y la presencia regional de la Unión;</w:t>
      </w:r>
    </w:p>
    <w:p w14:paraId="68ECEB5E" w14:textId="7B91A4E1" w:rsidR="00B63F47" w:rsidRPr="00512E1E" w:rsidRDefault="00B63F47" w:rsidP="00ED1737">
      <w:r w:rsidRPr="00512E1E">
        <w:rPr>
          <w:i/>
          <w:iCs/>
        </w:rPr>
        <w:t>c)</w:t>
      </w:r>
      <w:r w:rsidRPr="00512E1E">
        <w:tab/>
        <w:t>que la organización de conferencias y reuniones requiere recursos financieros, logísticos y humanos considerables, tanto de la Unión como de las administraciones de los países anfitriones;</w:t>
      </w:r>
    </w:p>
    <w:p w14:paraId="640E683D" w14:textId="77777777" w:rsidR="00B63F47" w:rsidRPr="00512E1E" w:rsidRDefault="00B63F47" w:rsidP="00ED1737">
      <w:r w:rsidRPr="00512E1E">
        <w:rPr>
          <w:i/>
          <w:iCs/>
        </w:rPr>
        <w:t>d)</w:t>
      </w:r>
      <w:r w:rsidRPr="00512E1E">
        <w:tab/>
        <w:t>que las conferencias y asambleas de la UIT que tienen carácter reglamentario (a saber, la Conferencia Mundial de Telecomunicaciones Internacionales (CMTI), la Conferencia de Plenipotenciarios, la Conferencia Mundial de Radiocomunicaciones (CMR), la Asamblea Mundial de Normalización de las Telecomunicaciones (AMNT) y la Conferencia Mundial de Desarrollo de las Telecomunicaciones (CMDT)) y las reuniones y actividades no reglamentarias difieren en sus mandatos, objetivos, escala, requisitos de participación y complejidad operativa y, por lo tanto, pueden precisar acuerdos de acogida diferentes y, al mismo tiempo, conservar requisitos básicos comunes y armonizados,</w:t>
      </w:r>
    </w:p>
    <w:p w14:paraId="17C1C601" w14:textId="77777777" w:rsidR="00B63F47" w:rsidRPr="00512E1E" w:rsidRDefault="00B63F47" w:rsidP="00ED1737">
      <w:pPr>
        <w:pStyle w:val="Call"/>
      </w:pPr>
      <w:r w:rsidRPr="00512E1E">
        <w:t>reconociendo</w:t>
      </w:r>
    </w:p>
    <w:p w14:paraId="7FD5BFAB" w14:textId="77777777" w:rsidR="00B63F47" w:rsidRPr="00512E1E" w:rsidRDefault="00B63F47" w:rsidP="00C75FC3">
      <w:pPr>
        <w:rPr>
          <w:color w:val="000000"/>
        </w:rPr>
      </w:pPr>
      <w:r w:rsidRPr="00512E1E">
        <w:rPr>
          <w:i/>
          <w:iCs/>
        </w:rPr>
        <w:t>a)</w:t>
      </w:r>
      <w:r w:rsidRPr="00512E1E">
        <w:tab/>
        <w:t xml:space="preserve">que los costes asociados a la interpretación, la infraestructura de tecnologías de la información y la comunicación, los servicios audiovisuales, los equipos, la inscripción de </w:t>
      </w:r>
      <w:r w:rsidRPr="00512E1E">
        <w:lastRenderedPageBreak/>
        <w:t>participantes, las instalaciones del lugar de celebración, la documentación, el transporte y otras disposiciones logísticas pueden constituir un importante obstáculo para los Estados Miembros que se ofrecen voluntariamente para acoger eventos de la UIT, en particular los países en desarrollo</w:t>
      </w:r>
      <w:r w:rsidRPr="00512E1E">
        <w:rPr>
          <w:rStyle w:val="FootnoteReference"/>
        </w:rPr>
        <w:footnoteReference w:customMarkFollows="1" w:id="1"/>
        <w:t>1</w:t>
      </w:r>
      <w:r w:rsidRPr="00512E1E">
        <w:t>;</w:t>
      </w:r>
    </w:p>
    <w:p w14:paraId="462702E0" w14:textId="77777777" w:rsidR="00B63F47" w:rsidRPr="00512E1E" w:rsidRDefault="00B63F47" w:rsidP="00ED1737">
      <w:r w:rsidRPr="00512E1E">
        <w:rPr>
          <w:i/>
          <w:iCs/>
        </w:rPr>
        <w:t>b)</w:t>
      </w:r>
      <w:r w:rsidRPr="00512E1E">
        <w:tab/>
        <w:t>que los avances de las tecnologías digitales y las prácticas modernas de gestión de conferencias permiten mejorar la eficiencia sin perder la calidad y la accesibilidad de los eventos de la UIT;</w:t>
      </w:r>
    </w:p>
    <w:p w14:paraId="61A619AC" w14:textId="77777777" w:rsidR="00B63F47" w:rsidRPr="00512E1E" w:rsidRDefault="00B63F47" w:rsidP="00ED1737">
      <w:r w:rsidRPr="00512E1E">
        <w:rPr>
          <w:i/>
          <w:iCs/>
        </w:rPr>
        <w:t>c)</w:t>
      </w:r>
      <w:r w:rsidRPr="00512E1E">
        <w:tab/>
        <w:t>que una mayor utilización de recursos locales cualificados, tecnologías digitales, normas comunes y adquisiciones coordinadas puede reducir los costes y la complejidad logística asociados a la celebración de eventos de la UIT, al tiempo que fortalece la capacidad local y la participación regional;</w:t>
      </w:r>
    </w:p>
    <w:p w14:paraId="3C33D492" w14:textId="18E5AEFA" w:rsidR="00B63F47" w:rsidRPr="00512E1E" w:rsidRDefault="00B63F47" w:rsidP="00ED1737">
      <w:r w:rsidRPr="00512E1E">
        <w:rPr>
          <w:i/>
          <w:iCs/>
        </w:rPr>
        <w:t>d)</w:t>
      </w:r>
      <w:r w:rsidRPr="00512E1E">
        <w:tab/>
        <w:t>que las medidas de rentabilidad no deben comprometer la calidad, inclusión, accesibilidad, seguridad o eficacia de las conferencias y reuniones de la UIT, ni la igualdad de trato de los idiomas oficiales de la Unión</w:t>
      </w:r>
      <w:r w:rsidR="00B03D81" w:rsidRPr="00512E1E">
        <w:t>,</w:t>
      </w:r>
    </w:p>
    <w:p w14:paraId="2B6EACE6" w14:textId="77777777" w:rsidR="00B63F47" w:rsidRPr="00512E1E" w:rsidRDefault="00B63F47" w:rsidP="00ED1737">
      <w:pPr>
        <w:pStyle w:val="Call"/>
      </w:pPr>
      <w:r w:rsidRPr="00512E1E">
        <w:t>resuelve</w:t>
      </w:r>
    </w:p>
    <w:p w14:paraId="4FEBAE73" w14:textId="77777777" w:rsidR="00B63F47" w:rsidRPr="00512E1E" w:rsidRDefault="00B63F47" w:rsidP="00ED1737">
      <w:r w:rsidRPr="00512E1E">
        <w:t>1</w:t>
      </w:r>
      <w:r w:rsidRPr="00512E1E">
        <w:tab/>
        <w:t>elaborar y aplicar medidas rentables, modernas y eficaces para la celebración de conferencias, asambleas, reuniones, talleres, foros y otras actividades de la UIT en los Estados Miembros, con miras a mejorar la eficiencia operativa y financiera de la organización de eventos de la UIT y reducir la carga financiera para los países anfitriones;</w:t>
      </w:r>
    </w:p>
    <w:p w14:paraId="1F9042C7" w14:textId="22789D59" w:rsidR="00B63F47" w:rsidRPr="00512E1E" w:rsidRDefault="00B63F47" w:rsidP="00ED1737">
      <w:r w:rsidRPr="00512E1E">
        <w:t>2</w:t>
      </w:r>
      <w:r w:rsidRPr="00512E1E">
        <w:tab/>
        <w:t xml:space="preserve">establecer requisitos de acogida armonizados y comunes para toda la Unión, teniendo en cuenta su carácter reglamentario y requisitos específicos, así como las necesidades diferentes de las reuniones y actividades no </w:t>
      </w:r>
      <w:r w:rsidR="00B03D81" w:rsidRPr="00512E1E">
        <w:t>reglamentarias</w:t>
      </w:r>
      <w:r w:rsidRPr="00512E1E">
        <w:t>,</w:t>
      </w:r>
    </w:p>
    <w:p w14:paraId="7C5E8D54" w14:textId="77777777" w:rsidR="00B63F47" w:rsidRPr="00512E1E" w:rsidRDefault="00B63F47" w:rsidP="00ED1737">
      <w:pPr>
        <w:pStyle w:val="Call"/>
      </w:pPr>
      <w:r w:rsidRPr="00512E1E">
        <w:t>encarga al Secretario General y a los Directores de las tres Oficinas</w:t>
      </w:r>
    </w:p>
    <w:p w14:paraId="5260C2D4" w14:textId="77777777" w:rsidR="00B63F47" w:rsidRPr="00512E1E" w:rsidRDefault="00B63F47" w:rsidP="00ED1737">
      <w:r w:rsidRPr="00512E1E">
        <w:t>1</w:t>
      </w:r>
      <w:r w:rsidRPr="00512E1E">
        <w:tab/>
        <w:t>que sigan mejorando la eficacia y la rentabilidad de las conferencias y asambleas reglamentarias de la Unión, incluso mediante la identificación y aplicación de medidas operativas, logísticas y tecnológicas adecuadas;</w:t>
      </w:r>
    </w:p>
    <w:p w14:paraId="651F2DD5" w14:textId="51AB3501" w:rsidR="00B63F47" w:rsidRPr="00512E1E" w:rsidRDefault="00B63F47" w:rsidP="00ED1737">
      <w:r w:rsidRPr="00512E1E">
        <w:t>2</w:t>
      </w:r>
      <w:r w:rsidRPr="00512E1E">
        <w:tab/>
        <w:t>que velen por que los servicios, las disposiciones logísticas y los requisitos de organización de los eventos sean proporcionales a</w:t>
      </w:r>
      <w:r w:rsidR="00A9224C" w:rsidRPr="00512E1E">
        <w:t xml:space="preserve">l carácter </w:t>
      </w:r>
      <w:r w:rsidRPr="00512E1E">
        <w:t>reglamentari</w:t>
      </w:r>
      <w:r w:rsidR="00A9224C" w:rsidRPr="00512E1E">
        <w:t>o</w:t>
      </w:r>
      <w:r w:rsidRPr="00512E1E">
        <w:t xml:space="preserve"> y las necesidades de cada conferencia, asamblea o reunión, respetando al mismo tiempo la Constitución, el Convenio y el Reglamento general de las conferencias, asambleas y reuniones de la Unión, así como las decisiones aplicables de los órganos competentes de la UIT;</w:t>
      </w:r>
    </w:p>
    <w:p w14:paraId="782E3704" w14:textId="140B89A7" w:rsidR="00B63F47" w:rsidRPr="00512E1E" w:rsidRDefault="00B63F47" w:rsidP="00ED1737">
      <w:r w:rsidRPr="00512E1E">
        <w:t>3</w:t>
      </w:r>
      <w:r w:rsidRPr="00512E1E">
        <w:tab/>
        <w:t>que fomenten la utilización de equipos y servicios disponibles localmente, cuando quede demostrado que este enfoque es más rentable y adecuado desde el punto de vista operativo que transportar equipos que son propiedad de la UIT, garantizando al mismo tiempo la interoperabilidad, la ciberseguridad, la fiabilidad y la conformidad con los requisitos técnicos de la</w:t>
      </w:r>
      <w:r w:rsidR="00AA4F65" w:rsidRPr="00512E1E">
        <w:t> </w:t>
      </w:r>
      <w:r w:rsidRPr="00512E1E">
        <w:t>UIT;</w:t>
      </w:r>
    </w:p>
    <w:p w14:paraId="20019136" w14:textId="77777777" w:rsidR="00B63F47" w:rsidRPr="00512E1E" w:rsidRDefault="00B63F47" w:rsidP="00ED1737">
      <w:r w:rsidRPr="00512E1E">
        <w:t>4</w:t>
      </w:r>
      <w:r w:rsidRPr="00512E1E">
        <w:tab/>
        <w:t xml:space="preserve">que promuevan la utilización de modalidades de interpretación adecuadas y rentables, como intérpretes locales certificados por las Naciones Unidas, en los eventos de la UIT que se celebren fuera de Ginebra, cuando proceda, en particular las reuniones y actividades no reglamentarias de </w:t>
      </w:r>
      <w:r w:rsidRPr="00512E1E">
        <w:lastRenderedPageBreak/>
        <w:t>la Unión, con miras a reducir los gastos de viaje, alojamiento y logística conexos, manteniendo al mismo tiempo la calidad requerida de la interpretación;</w:t>
      </w:r>
    </w:p>
    <w:p w14:paraId="772C88B9" w14:textId="67A53C24" w:rsidR="00B63F47" w:rsidRPr="00512E1E" w:rsidRDefault="00B63F47" w:rsidP="00ED1737">
      <w:r w:rsidRPr="00512E1E">
        <w:t>5</w:t>
      </w:r>
      <w:r w:rsidRPr="00512E1E">
        <w:tab/>
        <w:t xml:space="preserve">que alienten la digitalización continua de los procesos de gestión de conferencias y eventos, cuando proceda, incluida la inscripción en línea, la documentación electrónica, las credenciales y tarjetas de identificación de participantes digitales, las pasarelas interactivas como los mecanismos de acceso basados en códigos QR, la comunicación electrónica y otras soluciones digitales adecuadas, garantizando al mismo tiempo la accesibilidad, la protección de datos, la ciberseguridad y la existencia de alternativas </w:t>
      </w:r>
      <w:r w:rsidR="00774807" w:rsidRPr="00512E1E">
        <w:t xml:space="preserve">convenientes </w:t>
      </w:r>
      <w:r w:rsidRPr="00512E1E">
        <w:t>para participantes con limitaciones de accesibilidad digital;</w:t>
      </w:r>
    </w:p>
    <w:p w14:paraId="028625AF" w14:textId="0ED62DED" w:rsidR="00B63F47" w:rsidRPr="00512E1E" w:rsidRDefault="00B63F47" w:rsidP="00ED1737">
      <w:r w:rsidRPr="00512E1E">
        <w:t>6</w:t>
      </w:r>
      <w:r w:rsidRPr="00512E1E">
        <w:tab/>
        <w:t>que promuevan la adopción generalizada de los métodos de trabajo sin papel y con poco papel en los eventos de la UIT, entre otras cosas para los programas, los documentos, los horarios, la rotulación y la información para participantes digitales, en consonancia con las medidas del Anexo</w:t>
      </w:r>
      <w:r w:rsidR="00AA4F65" w:rsidRPr="00512E1E">
        <w:t> </w:t>
      </w:r>
      <w:r w:rsidRPr="00512E1E">
        <w:t>2 a la Decisión</w:t>
      </w:r>
      <w:r w:rsidR="00AA4F65" w:rsidRPr="00512E1E">
        <w:t> </w:t>
      </w:r>
      <w:r w:rsidRPr="00512E1E">
        <w:t>5 (Rev. Bucarest, 2022);</w:t>
      </w:r>
    </w:p>
    <w:p w14:paraId="6F606371" w14:textId="77777777" w:rsidR="00B63F47" w:rsidRPr="00512E1E" w:rsidRDefault="00B63F47" w:rsidP="00ED1737">
      <w:r w:rsidRPr="00512E1E">
        <w:t>7</w:t>
      </w:r>
      <w:r w:rsidRPr="00512E1E">
        <w:tab/>
        <w:t>que informen anualmente al Consejo sobre la aplicación de la presente Resolución,</w:t>
      </w:r>
    </w:p>
    <w:p w14:paraId="5FD3E115" w14:textId="77777777" w:rsidR="00B63F47" w:rsidRPr="00512E1E" w:rsidRDefault="00B63F47" w:rsidP="00AA4F65">
      <w:pPr>
        <w:pStyle w:val="Call"/>
      </w:pPr>
      <w:r w:rsidRPr="00512E1E">
        <w:t>encarga al Consejo de la UIT</w:t>
      </w:r>
    </w:p>
    <w:p w14:paraId="5E6EDD49" w14:textId="77777777" w:rsidR="00B63F47" w:rsidRPr="00512E1E" w:rsidRDefault="00B63F47" w:rsidP="00ED1737">
      <w:r w:rsidRPr="00512E1E">
        <w:t>1</w:t>
      </w:r>
      <w:r w:rsidRPr="00512E1E">
        <w:tab/>
        <w:t>que examine y evalúe, en cada una de las siguientes reuniones del Consejo, las medidas propuestas por el Secretario General en aplicación de la presente Resolución para armonizar los requisitos de organización de eventos de la UIT y reducir la carga financiera de los países anfitriones de eventos de la UIT;</w:t>
      </w:r>
    </w:p>
    <w:p w14:paraId="5E2C209F" w14:textId="77777777" w:rsidR="00B63F47" w:rsidRPr="00512E1E" w:rsidRDefault="00B63F47" w:rsidP="00ED1737">
      <w:r w:rsidRPr="00512E1E">
        <w:t>2</w:t>
      </w:r>
      <w:r w:rsidRPr="00512E1E">
        <w:tab/>
        <w:t>que informe a la próxima Conferencia de Plenipotenciarios acerca de la aplicación de la presente Resolución.</w:t>
      </w:r>
    </w:p>
    <w:p w14:paraId="5530DC67" w14:textId="27CE7416" w:rsidR="00ED1737" w:rsidRPr="00512E1E" w:rsidRDefault="0051716B" w:rsidP="00411C49">
      <w:pPr>
        <w:pStyle w:val="Reasons"/>
      </w:pPr>
      <w:r w:rsidRPr="00512E1E">
        <w:rPr>
          <w:b/>
        </w:rPr>
        <w:t>Motivos:</w:t>
      </w:r>
      <w:r w:rsidRPr="00512E1E">
        <w:tab/>
      </w:r>
      <w:r w:rsidR="008209D5" w:rsidRPr="00512E1E">
        <w:t>En este proyecto de nueva Resolución se destaca el valor de celebrar las conferencias, asambleas, talleres y otras actividades de la Unión en los Estados Miembros, con el objetivo de fortalecer la participación regional, fomentar la creación de capacidad y mejorar la presencia regional de la Unión, al tiempo que se alivia la carga financiera de los países anfitriones mediante una utilización óptima de los recursos y servicios locales.</w:t>
      </w:r>
    </w:p>
    <w:p w14:paraId="36482DBC" w14:textId="77777777" w:rsidR="00074C3B" w:rsidRPr="00512E1E" w:rsidRDefault="00074C3B" w:rsidP="00074C3B"/>
    <w:p w14:paraId="4E844704" w14:textId="77777777" w:rsidR="00ED1737" w:rsidRPr="00512E1E" w:rsidRDefault="00ED1737">
      <w:pPr>
        <w:jc w:val="center"/>
      </w:pPr>
      <w:r w:rsidRPr="00512E1E">
        <w:t>______________</w:t>
      </w:r>
    </w:p>
    <w:sectPr w:rsidR="00ED1737" w:rsidRPr="00512E1E" w:rsidSect="00A70E95">
      <w:headerReference w:type="even" r:id="rId13"/>
      <w:headerReference w:type="default" r:id="rId14"/>
      <w:footerReference w:type="even" r:id="rId15"/>
      <w:footerReference w:type="default" r:id="rId16"/>
      <w:headerReference w:type="first" r:id="rId17"/>
      <w:footerReference w:type="first" r:id="rId1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50271" w14:textId="77777777" w:rsidR="00755412" w:rsidRDefault="00755412">
      <w:r>
        <w:separator/>
      </w:r>
    </w:p>
  </w:endnote>
  <w:endnote w:type="continuationSeparator" w:id="0">
    <w:p w14:paraId="74AD7AF3" w14:textId="77777777" w:rsidR="00755412" w:rsidRDefault="00755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5CC44"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6AC0"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B9B6B"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5197A" w14:textId="77777777" w:rsidR="00755412" w:rsidRDefault="00755412">
      <w:r>
        <w:t>____________________</w:t>
      </w:r>
    </w:p>
  </w:footnote>
  <w:footnote w:type="continuationSeparator" w:id="0">
    <w:p w14:paraId="5A4E977F" w14:textId="77777777" w:rsidR="00755412" w:rsidRDefault="00755412">
      <w:r>
        <w:continuationSeparator/>
      </w:r>
    </w:p>
  </w:footnote>
  <w:footnote w:id="1">
    <w:p w14:paraId="28C0F04A" w14:textId="7D714AB5" w:rsidR="00B63F47" w:rsidRPr="00213D36" w:rsidRDefault="00B63F47" w:rsidP="00B63F47">
      <w:pPr>
        <w:pStyle w:val="FootnoteText"/>
        <w:rPr>
          <w:lang w:val="es-ES"/>
        </w:rPr>
      </w:pPr>
      <w:r w:rsidRPr="00ED1737">
        <w:rPr>
          <w:rStyle w:val="FootnoteReference"/>
        </w:rPr>
        <w:t>1</w:t>
      </w:r>
      <w:r>
        <w:rPr>
          <w:lang w:val="es-ES"/>
        </w:rPr>
        <w:tab/>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EE408"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DF131"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85A9BF3" w14:textId="77777777" w:rsidR="00255FA1" w:rsidRDefault="00255FA1" w:rsidP="00C43474">
    <w:pPr>
      <w:pStyle w:val="Header"/>
    </w:pPr>
    <w:r>
      <w:rPr>
        <w:lang w:val="en-US"/>
      </w:rPr>
      <w:t>PP</w:t>
    </w:r>
    <w:r w:rsidR="009D1BE0">
      <w:rPr>
        <w:lang w:val="en-US"/>
      </w:rPr>
      <w:t>2</w:t>
    </w:r>
    <w:r w:rsidR="009415B6">
      <w:rPr>
        <w:lang w:val="en-US"/>
      </w:rPr>
      <w:t>6</w:t>
    </w:r>
    <w:r>
      <w:t>/24(Add.4)-</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D70B" w14:textId="77777777" w:rsidR="00BF32F2" w:rsidRDefault="00BF3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6ED3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5A7D3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886D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C65B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C801B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BA9A0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A0188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649A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FDA08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8C67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4C3B"/>
    <w:rsid w:val="000863AB"/>
    <w:rsid w:val="000A1523"/>
    <w:rsid w:val="000B1752"/>
    <w:rsid w:val="000B4597"/>
    <w:rsid w:val="0010546D"/>
    <w:rsid w:val="00135F93"/>
    <w:rsid w:val="001632E3"/>
    <w:rsid w:val="001D4983"/>
    <w:rsid w:val="001D6EC3"/>
    <w:rsid w:val="001D787B"/>
    <w:rsid w:val="001E3D06"/>
    <w:rsid w:val="001F0B24"/>
    <w:rsid w:val="00205D0F"/>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32515"/>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2E1E"/>
    <w:rsid w:val="0051716B"/>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55412"/>
    <w:rsid w:val="00774807"/>
    <w:rsid w:val="00780430"/>
    <w:rsid w:val="007875D2"/>
    <w:rsid w:val="007D61E2"/>
    <w:rsid w:val="007F6EBC"/>
    <w:rsid w:val="00810D8B"/>
    <w:rsid w:val="008209D5"/>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9224C"/>
    <w:rsid w:val="00AA1F73"/>
    <w:rsid w:val="00AA4F65"/>
    <w:rsid w:val="00AB190D"/>
    <w:rsid w:val="00AB34CA"/>
    <w:rsid w:val="00AD400E"/>
    <w:rsid w:val="00AF0DC5"/>
    <w:rsid w:val="00B012B7"/>
    <w:rsid w:val="00B03D81"/>
    <w:rsid w:val="00B30C52"/>
    <w:rsid w:val="00B501AB"/>
    <w:rsid w:val="00B63F47"/>
    <w:rsid w:val="00B73978"/>
    <w:rsid w:val="00B77C4D"/>
    <w:rsid w:val="00BB13FE"/>
    <w:rsid w:val="00BC7EE2"/>
    <w:rsid w:val="00BF32F2"/>
    <w:rsid w:val="00BF5475"/>
    <w:rsid w:val="00C20ED7"/>
    <w:rsid w:val="00C40A64"/>
    <w:rsid w:val="00C42D2D"/>
    <w:rsid w:val="00C43474"/>
    <w:rsid w:val="00C61A48"/>
    <w:rsid w:val="00C75FC3"/>
    <w:rsid w:val="00C80F8F"/>
    <w:rsid w:val="00C84355"/>
    <w:rsid w:val="00C84A65"/>
    <w:rsid w:val="00CA3051"/>
    <w:rsid w:val="00CD20D9"/>
    <w:rsid w:val="00CD701A"/>
    <w:rsid w:val="00D05AAE"/>
    <w:rsid w:val="00D05E6B"/>
    <w:rsid w:val="00D066F8"/>
    <w:rsid w:val="00D254A6"/>
    <w:rsid w:val="00D33918"/>
    <w:rsid w:val="00D42B55"/>
    <w:rsid w:val="00D57D70"/>
    <w:rsid w:val="00DE3E41"/>
    <w:rsid w:val="00E05D81"/>
    <w:rsid w:val="00E53DFC"/>
    <w:rsid w:val="00E66FC3"/>
    <w:rsid w:val="00E677DD"/>
    <w:rsid w:val="00E77F17"/>
    <w:rsid w:val="00E809D8"/>
    <w:rsid w:val="00E921EC"/>
    <w:rsid w:val="00EB23D0"/>
    <w:rsid w:val="00EC395A"/>
    <w:rsid w:val="00ED1737"/>
    <w:rsid w:val="00F01632"/>
    <w:rsid w:val="00F04858"/>
    <w:rsid w:val="00F13AA4"/>
    <w:rsid w:val="00F23399"/>
    <w:rsid w:val="00F3510D"/>
    <w:rsid w:val="00F43C07"/>
    <w:rsid w:val="00F43D44"/>
    <w:rsid w:val="00F80E6E"/>
    <w:rsid w:val="00FC6DB3"/>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7FD5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681e7a3-8e94-4599-8eff-772231b9f830" targetNamespace="http://schemas.microsoft.com/office/2006/metadata/properties" ma:root="true" ma:fieldsID="d41af5c836d734370eb92e7ee5f83852" ns2:_="" ns3:_="">
    <xsd:import namespace="996b2e75-67fd-4955-a3b0-5ab9934cb50b"/>
    <xsd:import namespace="3681e7a3-8e94-4599-8eff-772231b9f83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681e7a3-8e94-4599-8eff-772231b9f83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3681e7a3-8e94-4599-8eff-772231b9f830">DPM</DPM_x0020_Author>
    <DPM_x0020_File_x0020_name xmlns="3681e7a3-8e94-4599-8eff-772231b9f830">S26-PP-C-0024!A4!MSW-S</DPM_x0020_File_x0020_name>
    <DPM_x0020_Version xmlns="3681e7a3-8e94-4599-8eff-772231b9f830">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681e7a3-8e94-4599-8eff-772231b9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681e7a3-8e94-4599-8eff-772231b9f830"/>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1172</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S26-PP-C-0024!A4!MSW-S</vt:lpstr>
    </vt:vector>
  </TitlesOfParts>
  <Manager/>
  <Company/>
  <LinksUpToDate>false</LinksUpToDate>
  <CharactersWithSpaces>7866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S26-PP-C-0024!A4!MSW-S</dc:title>
  <dc:subject>ITU Plenipotentiary Conference (PP-26)</dc:subject>
  <dc:creator>Documents Proposals Manager (DPM)</dc:creator>
  <cp:keywords>DPM_v2026.8.25.1_prod</cp:keywords>
  <dc:description/>
  <cp:lastModifiedBy>Spanish</cp:lastModifiedBy>
  <cp:revision>8</cp:revision>
  <dcterms:created xsi:type="dcterms:W3CDTF">2026-10-22T11:06:00Z</dcterms:created>
  <dcterms:modified xsi:type="dcterms:W3CDTF">2026-10-22T11:12:00Z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