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C374FEE" w14:textId="77777777" w:rsidTr="00C70164">
        <w:trPr>
          <w:cantSplit/>
          <w:jc w:val="center"/>
        </w:trPr>
        <w:tc>
          <w:tcPr>
            <w:tcW w:w="10031" w:type="dxa"/>
            <w:gridSpan w:val="2"/>
            <w:tcMar>
              <w:left w:w="0" w:type="dxa"/>
              <w:right w:w="0" w:type="dxa"/>
            </w:tcMar>
            <w:vAlign w:val="center"/>
          </w:tcPr>
          <w:p w14:paraId="283A360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3867C86" wp14:editId="096428F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0BC4C5A" w14:textId="77777777" w:rsidTr="00C70164">
        <w:trPr>
          <w:cantSplit/>
          <w:trHeight w:val="283"/>
          <w:jc w:val="center"/>
        </w:trPr>
        <w:tc>
          <w:tcPr>
            <w:tcW w:w="10031" w:type="dxa"/>
            <w:gridSpan w:val="2"/>
            <w:tcBorders>
              <w:bottom w:val="single" w:sz="12" w:space="0" w:color="71716F"/>
            </w:tcBorders>
          </w:tcPr>
          <w:p w14:paraId="51024FC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6F68938" w14:textId="77777777" w:rsidTr="00C70164">
        <w:trPr>
          <w:cantSplit/>
          <w:trHeight w:val="255"/>
          <w:jc w:val="center"/>
        </w:trPr>
        <w:tc>
          <w:tcPr>
            <w:tcW w:w="7230" w:type="dxa"/>
            <w:tcBorders>
              <w:top w:val="single" w:sz="12" w:space="0" w:color="71716F"/>
            </w:tcBorders>
          </w:tcPr>
          <w:p w14:paraId="32CA139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D5DEA69" w14:textId="77777777" w:rsidR="001A16ED" w:rsidRPr="00D96B4B" w:rsidRDefault="001A16ED" w:rsidP="000B596F">
            <w:pPr>
              <w:spacing w:before="0"/>
              <w:rPr>
                <w:rFonts w:cstheme="minorHAnsi"/>
                <w:sz w:val="20"/>
              </w:rPr>
            </w:pPr>
          </w:p>
        </w:tc>
      </w:tr>
      <w:tr w:rsidR="001A16ED" w:rsidRPr="00C324A8" w14:paraId="0AB55B95" w14:textId="77777777" w:rsidTr="00C70164">
        <w:trPr>
          <w:cantSplit/>
          <w:trHeight w:val="23"/>
          <w:jc w:val="center"/>
        </w:trPr>
        <w:tc>
          <w:tcPr>
            <w:tcW w:w="7230" w:type="dxa"/>
          </w:tcPr>
          <w:p w14:paraId="1AFB29B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07B7146" w14:textId="77777777" w:rsidR="001A16ED" w:rsidRPr="00F44B1A" w:rsidRDefault="001A16ED" w:rsidP="000B596F">
            <w:pPr>
              <w:tabs>
                <w:tab w:val="left" w:pos="851"/>
              </w:tabs>
              <w:spacing w:before="0"/>
              <w:rPr>
                <w:rFonts w:cstheme="minorHAnsi"/>
                <w:b/>
                <w:szCs w:val="24"/>
              </w:rPr>
            </w:pPr>
            <w:r>
              <w:rPr>
                <w:rFonts w:cstheme="minorHAnsi"/>
                <w:b/>
                <w:szCs w:val="24"/>
              </w:rPr>
              <w:t>Addendum 4 to</w:t>
            </w:r>
            <w:r>
              <w:rPr>
                <w:rFonts w:cstheme="minorHAnsi"/>
                <w:b/>
                <w:szCs w:val="24"/>
              </w:rPr>
              <w:br/>
              <w:t>Document 24</w:t>
            </w:r>
            <w:r w:rsidR="00F44B1A" w:rsidRPr="00F44B1A">
              <w:rPr>
                <w:rFonts w:cstheme="minorHAnsi"/>
                <w:b/>
                <w:szCs w:val="24"/>
              </w:rPr>
              <w:t>-E</w:t>
            </w:r>
          </w:p>
        </w:tc>
      </w:tr>
      <w:tr w:rsidR="001A16ED" w:rsidRPr="00C324A8" w14:paraId="2458C16E" w14:textId="77777777" w:rsidTr="00C70164">
        <w:trPr>
          <w:cantSplit/>
          <w:trHeight w:val="23"/>
          <w:jc w:val="center"/>
        </w:trPr>
        <w:tc>
          <w:tcPr>
            <w:tcW w:w="7230" w:type="dxa"/>
          </w:tcPr>
          <w:p w14:paraId="6A870BB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9DA3CB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6773D137" w14:textId="77777777" w:rsidTr="00C70164">
        <w:trPr>
          <w:cantSplit/>
          <w:trHeight w:val="23"/>
          <w:jc w:val="center"/>
        </w:trPr>
        <w:tc>
          <w:tcPr>
            <w:tcW w:w="7230" w:type="dxa"/>
          </w:tcPr>
          <w:p w14:paraId="7C01573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A7C23B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02ABF0D" w14:textId="77777777" w:rsidTr="00C70164">
        <w:trPr>
          <w:cantSplit/>
          <w:trHeight w:val="23"/>
          <w:jc w:val="center"/>
        </w:trPr>
        <w:tc>
          <w:tcPr>
            <w:tcW w:w="10031" w:type="dxa"/>
            <w:gridSpan w:val="2"/>
          </w:tcPr>
          <w:p w14:paraId="612E16BA" w14:textId="77777777" w:rsidR="001A16ED" w:rsidRPr="00D96B4B" w:rsidRDefault="001A16ED" w:rsidP="000B596F">
            <w:pPr>
              <w:tabs>
                <w:tab w:val="left" w:pos="993"/>
              </w:tabs>
              <w:rPr>
                <w:rFonts w:ascii="Verdana" w:hAnsi="Verdana"/>
                <w:b/>
                <w:szCs w:val="24"/>
              </w:rPr>
            </w:pPr>
          </w:p>
        </w:tc>
      </w:tr>
      <w:tr w:rsidR="001A16ED" w:rsidRPr="00C324A8" w14:paraId="152C442A" w14:textId="77777777" w:rsidTr="00C70164">
        <w:trPr>
          <w:cantSplit/>
          <w:trHeight w:val="23"/>
          <w:jc w:val="center"/>
        </w:trPr>
        <w:tc>
          <w:tcPr>
            <w:tcW w:w="10031" w:type="dxa"/>
            <w:gridSpan w:val="2"/>
          </w:tcPr>
          <w:p w14:paraId="42F03BA0" w14:textId="77777777" w:rsidR="001A16ED" w:rsidRDefault="001A16ED" w:rsidP="000B596F">
            <w:pPr>
              <w:pStyle w:val="Source"/>
            </w:pPr>
            <w:r>
              <w:t>African Telecommunication Union Administrations</w:t>
            </w:r>
          </w:p>
        </w:tc>
      </w:tr>
      <w:tr w:rsidR="001A16ED" w:rsidRPr="00C324A8" w14:paraId="50B51A0F" w14:textId="77777777" w:rsidTr="00C70164">
        <w:trPr>
          <w:cantSplit/>
          <w:trHeight w:val="23"/>
          <w:jc w:val="center"/>
        </w:trPr>
        <w:tc>
          <w:tcPr>
            <w:tcW w:w="10031" w:type="dxa"/>
            <w:gridSpan w:val="2"/>
          </w:tcPr>
          <w:p w14:paraId="5E3FCD55" w14:textId="77777777" w:rsidR="001A16ED" w:rsidRDefault="001A16ED" w:rsidP="000B596F">
            <w:pPr>
              <w:pStyle w:val="Title1"/>
            </w:pPr>
            <w:r>
              <w:t>draft new resolution: Enhancing the Effectiveness and Cost-Efficiency of Hosting ITU Conferences, Assemblies and Meetings</w:t>
            </w:r>
          </w:p>
        </w:tc>
      </w:tr>
      <w:tr w:rsidR="001A16ED" w:rsidRPr="00C324A8" w14:paraId="24D5D142" w14:textId="77777777" w:rsidTr="00C70164">
        <w:trPr>
          <w:cantSplit/>
          <w:trHeight w:val="23"/>
          <w:jc w:val="center"/>
        </w:trPr>
        <w:tc>
          <w:tcPr>
            <w:tcW w:w="10031" w:type="dxa"/>
            <w:gridSpan w:val="2"/>
          </w:tcPr>
          <w:p w14:paraId="4EB585AB" w14:textId="77777777" w:rsidR="001A16ED" w:rsidRDefault="001A16ED" w:rsidP="000B596F">
            <w:pPr>
              <w:pStyle w:val="Title2"/>
            </w:pPr>
          </w:p>
        </w:tc>
      </w:tr>
      <w:tr w:rsidR="001A16ED" w:rsidRPr="00C324A8" w14:paraId="032D44D8" w14:textId="77777777" w:rsidTr="00C70164">
        <w:trPr>
          <w:cantSplit/>
          <w:trHeight w:val="23"/>
          <w:jc w:val="center"/>
        </w:trPr>
        <w:tc>
          <w:tcPr>
            <w:tcW w:w="10031" w:type="dxa"/>
            <w:gridSpan w:val="2"/>
          </w:tcPr>
          <w:p w14:paraId="39C9862D" w14:textId="77777777" w:rsidR="001A16ED" w:rsidRDefault="001A16ED" w:rsidP="000B596F">
            <w:pPr>
              <w:pStyle w:val="Agendaitem"/>
            </w:pPr>
          </w:p>
        </w:tc>
      </w:tr>
      <w:bookmarkEnd w:id="6"/>
      <w:bookmarkEnd w:id="7"/>
    </w:tbl>
    <w:p w14:paraId="7AB6B36F" w14:textId="77777777" w:rsidR="001A16ED" w:rsidRDefault="001A16ED" w:rsidP="00AB2D04"/>
    <w:p w14:paraId="4E0EA688" w14:textId="77777777" w:rsidR="0008540E" w:rsidRPr="0008540E" w:rsidRDefault="001A16ED" w:rsidP="00004F8B">
      <w:r>
        <w:br w:type="page"/>
      </w:r>
    </w:p>
    <w:p w14:paraId="23178DE5" w14:textId="77777777" w:rsidR="00A9098B" w:rsidRDefault="00000000">
      <w:pPr>
        <w:pStyle w:val="Proposal"/>
      </w:pPr>
      <w:r>
        <w:lastRenderedPageBreak/>
        <w:t>ADD</w:t>
      </w:r>
      <w:r>
        <w:tab/>
        <w:t>AFCP/24A4/1</w:t>
      </w:r>
    </w:p>
    <w:p w14:paraId="59AB3F8A" w14:textId="77777777" w:rsidR="00A9098B" w:rsidRDefault="00000000">
      <w:pPr>
        <w:pStyle w:val="ResNo"/>
      </w:pPr>
      <w:r>
        <w:t>Draft New Resolution [AFCP-3]</w:t>
      </w:r>
    </w:p>
    <w:p w14:paraId="19B17790" w14:textId="037502A4" w:rsidR="00A9098B" w:rsidRDefault="003204E1">
      <w:pPr>
        <w:pStyle w:val="Restitle"/>
      </w:pPr>
      <w:r>
        <w:rPr>
          <w:bCs/>
          <w:color w:val="000000"/>
          <w:szCs w:val="28"/>
        </w:rPr>
        <w:t xml:space="preserve">Enhancing the </w:t>
      </w:r>
      <w:r w:rsidR="00FD40F0">
        <w:rPr>
          <w:bCs/>
          <w:color w:val="000000"/>
          <w:szCs w:val="28"/>
        </w:rPr>
        <w:t>e</w:t>
      </w:r>
      <w:r>
        <w:rPr>
          <w:bCs/>
          <w:color w:val="000000"/>
          <w:szCs w:val="28"/>
        </w:rPr>
        <w:t xml:space="preserve">ffectiveness and </w:t>
      </w:r>
      <w:r w:rsidR="00FD40F0">
        <w:rPr>
          <w:bCs/>
          <w:color w:val="000000"/>
          <w:szCs w:val="28"/>
        </w:rPr>
        <w:t>c</w:t>
      </w:r>
      <w:r>
        <w:rPr>
          <w:bCs/>
          <w:color w:val="000000"/>
          <w:szCs w:val="28"/>
        </w:rPr>
        <w:t>ost-</w:t>
      </w:r>
      <w:r w:rsidR="00FD40F0">
        <w:rPr>
          <w:bCs/>
          <w:color w:val="000000"/>
          <w:szCs w:val="28"/>
        </w:rPr>
        <w:t>e</w:t>
      </w:r>
      <w:r>
        <w:rPr>
          <w:bCs/>
          <w:color w:val="000000"/>
          <w:szCs w:val="28"/>
        </w:rPr>
        <w:t xml:space="preserve">fficiency of </w:t>
      </w:r>
      <w:r w:rsidR="00FD40F0">
        <w:rPr>
          <w:bCs/>
          <w:color w:val="000000"/>
          <w:szCs w:val="28"/>
        </w:rPr>
        <w:t>h</w:t>
      </w:r>
      <w:r>
        <w:rPr>
          <w:bCs/>
          <w:color w:val="000000"/>
          <w:szCs w:val="28"/>
        </w:rPr>
        <w:t xml:space="preserve">osting ITU </w:t>
      </w:r>
      <w:r w:rsidR="00FD40F0">
        <w:rPr>
          <w:bCs/>
          <w:color w:val="000000"/>
          <w:szCs w:val="28"/>
        </w:rPr>
        <w:t>c</w:t>
      </w:r>
      <w:r>
        <w:rPr>
          <w:bCs/>
          <w:color w:val="000000"/>
          <w:szCs w:val="28"/>
        </w:rPr>
        <w:t xml:space="preserve">onferences, </w:t>
      </w:r>
      <w:r w:rsidR="00FD40F0">
        <w:rPr>
          <w:bCs/>
          <w:color w:val="000000"/>
          <w:szCs w:val="28"/>
        </w:rPr>
        <w:t>a</w:t>
      </w:r>
      <w:r>
        <w:rPr>
          <w:bCs/>
          <w:color w:val="000000"/>
          <w:szCs w:val="28"/>
        </w:rPr>
        <w:t xml:space="preserve">ssemblies and </w:t>
      </w:r>
      <w:r w:rsidR="00FD40F0">
        <w:rPr>
          <w:bCs/>
          <w:color w:val="000000"/>
          <w:szCs w:val="28"/>
        </w:rPr>
        <w:t>m</w:t>
      </w:r>
      <w:r>
        <w:rPr>
          <w:bCs/>
          <w:color w:val="000000"/>
          <w:szCs w:val="28"/>
        </w:rPr>
        <w:t>eetings</w:t>
      </w:r>
    </w:p>
    <w:p w14:paraId="48448E67" w14:textId="2ACCB93F" w:rsidR="00A9098B" w:rsidRDefault="003204E1">
      <w:pPr>
        <w:pStyle w:val="Normalaftertitle"/>
        <w:rPr>
          <w:color w:val="000000"/>
        </w:rPr>
      </w:pPr>
      <w:r>
        <w:rPr>
          <w:color w:val="000000"/>
        </w:rPr>
        <w:t>The Plenipotentiary Conference of the International Telecommunication Union (Doha, 2026),</w:t>
      </w:r>
    </w:p>
    <w:p w14:paraId="4B3BFE05" w14:textId="77777777" w:rsidR="003204E1" w:rsidRDefault="003204E1" w:rsidP="00682B80">
      <w:pPr>
        <w:pStyle w:val="Call"/>
      </w:pPr>
      <w:r>
        <w:t>recalling</w:t>
      </w:r>
    </w:p>
    <w:p w14:paraId="578CE726" w14:textId="1900D426" w:rsidR="003204E1" w:rsidRDefault="003204E1" w:rsidP="003204E1">
      <w:pPr>
        <w:jc w:val="both"/>
      </w:pPr>
      <w:r w:rsidRPr="00682B80">
        <w:rPr>
          <w:i/>
          <w:iCs/>
        </w:rPr>
        <w:t>a)</w:t>
      </w:r>
      <w:r>
        <w:tab/>
        <w:t>Decision 5 (Rev. Bucharest, 2022), of the Plenipotentiary Conference</w:t>
      </w:r>
      <w:r w:rsidR="007F400B">
        <w:t>, on r</w:t>
      </w:r>
      <w:r>
        <w:t>evenue and expenses for the Union for the period 2024-2027</w:t>
      </w:r>
      <w:r>
        <w:rPr>
          <w:rFonts w:ascii="Times New Roman" w:hAnsi="Times New Roman"/>
        </w:rPr>
        <w:t>;</w:t>
      </w:r>
    </w:p>
    <w:p w14:paraId="538C74C5" w14:textId="6B71DCAB" w:rsidR="003204E1" w:rsidRDefault="003204E1" w:rsidP="003204E1">
      <w:pPr>
        <w:jc w:val="both"/>
      </w:pPr>
      <w:r w:rsidRPr="00682B80">
        <w:rPr>
          <w:i/>
          <w:iCs/>
        </w:rPr>
        <w:t>b)</w:t>
      </w:r>
      <w:r>
        <w:tab/>
        <w:t xml:space="preserve">Resolutions 66 (Rev. Bucharest, 2022), of the Plenipotentiary Conference, on </w:t>
      </w:r>
      <w:r w:rsidR="00981AEA">
        <w:t>d</w:t>
      </w:r>
      <w:r>
        <w:t>ocuments and publications of the Union</w:t>
      </w:r>
      <w:r>
        <w:rPr>
          <w:rFonts w:ascii="Times New Roman" w:hAnsi="Times New Roman"/>
        </w:rPr>
        <w:t>;</w:t>
      </w:r>
    </w:p>
    <w:p w14:paraId="4E688CD9" w14:textId="5BED6158" w:rsidR="003204E1" w:rsidRDefault="003204E1" w:rsidP="003204E1">
      <w:pPr>
        <w:jc w:val="both"/>
      </w:pPr>
      <w:r w:rsidRPr="00682B80">
        <w:rPr>
          <w:i/>
          <w:iCs/>
        </w:rPr>
        <w:t>c)</w:t>
      </w:r>
      <w:r>
        <w:tab/>
        <w:t>Resolution 167 (Rev. Bucharest, 2022), of the Plenipotentiary Conference</w:t>
      </w:r>
      <w:r w:rsidR="00E96F4B">
        <w:t>,</w:t>
      </w:r>
      <w:r>
        <w:t xml:space="preserve"> on </w:t>
      </w:r>
      <w:r w:rsidR="002A4456">
        <w:t>s</w:t>
      </w:r>
      <w:r w:rsidR="002A4456" w:rsidRPr="00B66444">
        <w:t xml:space="preserve">trengthening and developing ITU capabilities for fully virtual meetings and physical meetings with remote participation, and the electronic means to advance </w:t>
      </w:r>
      <w:r w:rsidR="002A4456" w:rsidRPr="002A4456">
        <w:t>the work of the Union</w:t>
      </w:r>
      <w:r w:rsidRPr="002A4456">
        <w:t>;</w:t>
      </w:r>
    </w:p>
    <w:p w14:paraId="1BF02E29" w14:textId="259101F5" w:rsidR="003204E1" w:rsidRDefault="003204E1" w:rsidP="003204E1">
      <w:pPr>
        <w:jc w:val="both"/>
      </w:pPr>
      <w:r w:rsidRPr="00682B80">
        <w:rPr>
          <w:i/>
          <w:iCs/>
        </w:rPr>
        <w:t>d)</w:t>
      </w:r>
      <w:r>
        <w:tab/>
        <w:t>Resolution 5 (</w:t>
      </w:r>
      <w:r w:rsidR="00981AEA">
        <w:t>Kyoto, 1994</w:t>
      </w:r>
      <w:r>
        <w:t>) of the Plenipotentiary Conference</w:t>
      </w:r>
      <w:r w:rsidR="0024600A">
        <w:t>,</w:t>
      </w:r>
      <w:r>
        <w:t xml:space="preserve"> on invitation</w:t>
      </w:r>
      <w:r w:rsidR="00981AEA">
        <w:t>s to</w:t>
      </w:r>
      <w:r>
        <w:t xml:space="preserve"> hold </w:t>
      </w:r>
      <w:r w:rsidR="00981AEA">
        <w:t>c</w:t>
      </w:r>
      <w:r>
        <w:t xml:space="preserve">onferences or </w:t>
      </w:r>
      <w:r w:rsidR="00981AEA">
        <w:t>m</w:t>
      </w:r>
      <w:r>
        <w:t>eetings away from Geneva</w:t>
      </w:r>
      <w:r w:rsidR="00682B80">
        <w:t>,</w:t>
      </w:r>
    </w:p>
    <w:p w14:paraId="5328862E" w14:textId="41EA3978" w:rsidR="003204E1" w:rsidRDefault="003204E1" w:rsidP="00682B80">
      <w:pPr>
        <w:pStyle w:val="Call"/>
      </w:pPr>
      <w:r>
        <w:t>considering</w:t>
      </w:r>
    </w:p>
    <w:p w14:paraId="54B06F19" w14:textId="77777777" w:rsidR="003204E1" w:rsidRDefault="003204E1" w:rsidP="008B6791">
      <w:pPr>
        <w:jc w:val="both"/>
      </w:pPr>
      <w:r w:rsidRPr="00682B80">
        <w:rPr>
          <w:i/>
          <w:iCs/>
        </w:rPr>
        <w:t>a)</w:t>
      </w:r>
      <w:r>
        <w:tab/>
        <w:t>the importance of ensuring effective participation of Member States from all regions in the work and activities of the Union;</w:t>
      </w:r>
    </w:p>
    <w:p w14:paraId="73DA2CBE" w14:textId="77777777" w:rsidR="008B6791" w:rsidRDefault="003204E1" w:rsidP="008B6791">
      <w:pPr>
        <w:jc w:val="both"/>
      </w:pPr>
      <w:r w:rsidRPr="00682B80">
        <w:rPr>
          <w:i/>
          <w:iCs/>
        </w:rPr>
        <w:t>b)</w:t>
      </w:r>
      <w:r>
        <w:tab/>
        <w:t>the benefits of holding ITU conferences, meetings, workshops, forums and other activities in Member States, including strengthening regional engagement, facilitating knowledge-sharing and capacity-building, and enhancing the visibility and regional presence of the Union</w:t>
      </w:r>
      <w:r w:rsidR="008B6791">
        <w:t>;</w:t>
      </w:r>
    </w:p>
    <w:p w14:paraId="0FA2EA80" w14:textId="2F1EF8C8" w:rsidR="003204E1" w:rsidRDefault="008B6791" w:rsidP="008B6791">
      <w:pPr>
        <w:jc w:val="both"/>
      </w:pPr>
      <w:r w:rsidRPr="00E96F4B">
        <w:rPr>
          <w:i/>
          <w:iCs/>
        </w:rPr>
        <w:t>c)</w:t>
      </w:r>
      <w:r>
        <w:tab/>
      </w:r>
      <w:r w:rsidR="003204E1">
        <w:t>that the organization of conferences and meetings requires considerable financial, logistical and human resources from both the Union and host country administrations;</w:t>
      </w:r>
    </w:p>
    <w:p w14:paraId="780AF0DC" w14:textId="5CBFD81F" w:rsidR="003204E1" w:rsidRDefault="008B6791" w:rsidP="008B6791">
      <w:pPr>
        <w:jc w:val="both"/>
      </w:pPr>
      <w:r>
        <w:rPr>
          <w:i/>
          <w:iCs/>
        </w:rPr>
        <w:t>d</w:t>
      </w:r>
      <w:r w:rsidR="003204E1" w:rsidRPr="00682B80">
        <w:rPr>
          <w:i/>
          <w:iCs/>
        </w:rPr>
        <w:t>)</w:t>
      </w:r>
      <w:r w:rsidR="003204E1">
        <w:tab/>
        <w:t xml:space="preserve">that ITU conferences and assemblies of a statutory nature namely the World Conference on International Telecommunications (WCIT), </w:t>
      </w:r>
      <w:r w:rsidR="00D62518">
        <w:t xml:space="preserve">the </w:t>
      </w:r>
      <w:r w:rsidR="003204E1">
        <w:t xml:space="preserve">Plenipotentiary Conference, </w:t>
      </w:r>
      <w:r w:rsidR="00D62518">
        <w:t xml:space="preserve">the </w:t>
      </w:r>
      <w:r w:rsidR="003204E1">
        <w:t xml:space="preserve">World Radiocommunication Conference (WRC), </w:t>
      </w:r>
      <w:r w:rsidR="00D62518">
        <w:t xml:space="preserve">the </w:t>
      </w:r>
      <w:r w:rsidR="003204E1">
        <w:t xml:space="preserve">World Telecommunication Standardization Assembly (WTSA), </w:t>
      </w:r>
      <w:r w:rsidR="00D62518">
        <w:t xml:space="preserve">the </w:t>
      </w:r>
      <w:r w:rsidR="003204E1">
        <w:t>World Telecommunication Development Conference (WTDC), and other non-statutory meetings and activities differ in their respective mandates, objectives, scale, participation requirements and operational complexity, and therefore may require different hosting arrangements while maintaining common and harmonized core requirements</w:t>
      </w:r>
      <w:r w:rsidR="00682B80">
        <w:t>,</w:t>
      </w:r>
    </w:p>
    <w:p w14:paraId="56C7293F" w14:textId="51CD094A" w:rsidR="003204E1" w:rsidRDefault="003204E1" w:rsidP="00682B80">
      <w:pPr>
        <w:pStyle w:val="Call"/>
      </w:pPr>
      <w:r>
        <w:t>recognizing</w:t>
      </w:r>
    </w:p>
    <w:p w14:paraId="31864382" w14:textId="1A15D662" w:rsidR="003204E1" w:rsidRDefault="003204E1" w:rsidP="003204E1">
      <w:pPr>
        <w:pBdr>
          <w:top w:val="nil"/>
          <w:left w:val="nil"/>
          <w:bottom w:val="nil"/>
          <w:right w:val="nil"/>
          <w:between w:val="nil"/>
        </w:pBdr>
        <w:jc w:val="both"/>
        <w:rPr>
          <w:color w:val="000000"/>
        </w:rPr>
      </w:pPr>
      <w:r w:rsidRPr="00682B80">
        <w:rPr>
          <w:i/>
          <w:iCs/>
          <w:color w:val="000000"/>
        </w:rPr>
        <w:t>a)</w:t>
      </w:r>
      <w:r>
        <w:rPr>
          <w:color w:val="000000"/>
        </w:rPr>
        <w:tab/>
        <w:t xml:space="preserve">that the costs associated with interpretation, information and communication technology infrastructure, audio-visual services, equipment, participant registration, venue facilities, </w:t>
      </w:r>
      <w:r>
        <w:rPr>
          <w:color w:val="000000"/>
        </w:rPr>
        <w:lastRenderedPageBreak/>
        <w:t xml:space="preserve">documentation, transportation and other logistical arrangements, may constitute a significant barrier to Member States, </w:t>
      </w:r>
      <w:r w:rsidRPr="002A4456">
        <w:rPr>
          <w:color w:val="000000"/>
        </w:rPr>
        <w:t>particularly developing countries</w:t>
      </w:r>
      <w:r w:rsidR="002A4456" w:rsidRPr="002A4456">
        <w:rPr>
          <w:rStyle w:val="FootnoteReference"/>
          <w:color w:val="000000"/>
        </w:rPr>
        <w:footnoteReference w:customMarkFollows="1" w:id="1"/>
        <w:t>1</w:t>
      </w:r>
      <w:r w:rsidRPr="002A4456">
        <w:rPr>
          <w:color w:val="000000"/>
        </w:rPr>
        <w:t>, volunteering</w:t>
      </w:r>
      <w:r>
        <w:rPr>
          <w:color w:val="000000"/>
        </w:rPr>
        <w:t xml:space="preserve"> to host ITU events;</w:t>
      </w:r>
    </w:p>
    <w:p w14:paraId="06D8A21B" w14:textId="77777777" w:rsidR="003204E1" w:rsidRDefault="003204E1" w:rsidP="003204E1">
      <w:pPr>
        <w:pBdr>
          <w:top w:val="nil"/>
          <w:left w:val="nil"/>
          <w:bottom w:val="nil"/>
          <w:right w:val="nil"/>
          <w:between w:val="nil"/>
        </w:pBdr>
        <w:jc w:val="both"/>
        <w:rPr>
          <w:color w:val="000000"/>
        </w:rPr>
      </w:pPr>
      <w:r w:rsidRPr="00682B80">
        <w:rPr>
          <w:i/>
          <w:iCs/>
          <w:color w:val="000000"/>
        </w:rPr>
        <w:t>b)</w:t>
      </w:r>
      <w:r>
        <w:rPr>
          <w:color w:val="000000"/>
        </w:rPr>
        <w:tab/>
        <w:t>that advances in digital technologies and modern conference management practices provide opportunities to improve efficiency while maintaining the quality and accessibility of ITU events;</w:t>
      </w:r>
    </w:p>
    <w:p w14:paraId="3FCF8B0C" w14:textId="77777777" w:rsidR="003204E1" w:rsidRDefault="003204E1" w:rsidP="003204E1">
      <w:pPr>
        <w:pBdr>
          <w:top w:val="nil"/>
          <w:left w:val="nil"/>
          <w:bottom w:val="nil"/>
          <w:right w:val="nil"/>
          <w:between w:val="nil"/>
        </w:pBdr>
        <w:jc w:val="both"/>
        <w:rPr>
          <w:color w:val="000000"/>
        </w:rPr>
      </w:pPr>
      <w:r w:rsidRPr="00682B80">
        <w:rPr>
          <w:i/>
          <w:iCs/>
          <w:color w:val="000000"/>
        </w:rPr>
        <w:t>c)</w:t>
      </w:r>
      <w:r>
        <w:rPr>
          <w:color w:val="000000"/>
        </w:rPr>
        <w:tab/>
        <w:t>that greater use of qualified local resources, digital technologies, common standards and coordinated procurement can reduce the costs and logistical complexity associated with hosting ITU events, while strengthening local capacity and regional participation;</w:t>
      </w:r>
    </w:p>
    <w:p w14:paraId="18162FC4" w14:textId="51AB8569" w:rsidR="003204E1" w:rsidRDefault="003204E1" w:rsidP="003204E1">
      <w:pPr>
        <w:pBdr>
          <w:top w:val="nil"/>
          <w:left w:val="nil"/>
          <w:bottom w:val="nil"/>
          <w:right w:val="nil"/>
          <w:between w:val="nil"/>
        </w:pBdr>
        <w:jc w:val="both"/>
        <w:rPr>
          <w:color w:val="000000"/>
        </w:rPr>
      </w:pPr>
      <w:r w:rsidRPr="00682B80">
        <w:rPr>
          <w:i/>
          <w:iCs/>
          <w:color w:val="000000"/>
        </w:rPr>
        <w:t>d)</w:t>
      </w:r>
      <w:r>
        <w:rPr>
          <w:color w:val="000000"/>
        </w:rPr>
        <w:tab/>
        <w:t>that cost-efficiency measures should not compromise the quality, inclusiveness, accessibility, security or effectiveness of ITU conferences and meetings, nor the equal treatment of the official languages of the Union,</w:t>
      </w:r>
    </w:p>
    <w:p w14:paraId="263334F7" w14:textId="321B7A5A" w:rsidR="003204E1" w:rsidRDefault="003204E1" w:rsidP="00682B80">
      <w:pPr>
        <w:pStyle w:val="Call"/>
      </w:pPr>
      <w:r>
        <w:t>resolves</w:t>
      </w:r>
    </w:p>
    <w:p w14:paraId="1583BB81" w14:textId="77777777" w:rsidR="003204E1" w:rsidRDefault="003204E1" w:rsidP="003204E1">
      <w:pPr>
        <w:pBdr>
          <w:top w:val="nil"/>
          <w:left w:val="nil"/>
          <w:bottom w:val="nil"/>
          <w:right w:val="nil"/>
          <w:between w:val="nil"/>
        </w:pBdr>
        <w:jc w:val="both"/>
        <w:rPr>
          <w:color w:val="000000"/>
        </w:rPr>
      </w:pPr>
      <w:r>
        <w:rPr>
          <w:color w:val="000000"/>
        </w:rPr>
        <w:t>1</w:t>
      </w:r>
      <w:r>
        <w:rPr>
          <w:color w:val="000000"/>
        </w:rPr>
        <w:tab/>
        <w:t>to develop and implement cost-efficient, modern and effective measures to the hosting of ITU conferences, assemblies, meetings, workshops, forums and other activities in Member States, with a view to enhancing operational and financial efficiency of hosting ITU events and reducing financial burden on host countries;</w:t>
      </w:r>
    </w:p>
    <w:p w14:paraId="79BCFA2F" w14:textId="6331AA2E" w:rsidR="003204E1" w:rsidRDefault="003204E1" w:rsidP="003204E1">
      <w:pPr>
        <w:pBdr>
          <w:top w:val="nil"/>
          <w:left w:val="nil"/>
          <w:bottom w:val="nil"/>
          <w:right w:val="nil"/>
          <w:between w:val="nil"/>
        </w:pBdr>
        <w:jc w:val="both"/>
        <w:rPr>
          <w:color w:val="000000"/>
        </w:rPr>
      </w:pPr>
      <w:r>
        <w:rPr>
          <w:color w:val="000000"/>
        </w:rPr>
        <w:t>2</w:t>
      </w:r>
      <w:r>
        <w:rPr>
          <w:color w:val="000000"/>
        </w:rPr>
        <w:tab/>
        <w:t>to establish common and harmonized hosting requirements across the Union, while taking into account the statutory nature and its specific requirements as well as the different requirements of non-statutory meetings and activities</w:t>
      </w:r>
      <w:r w:rsidR="00682B80">
        <w:rPr>
          <w:color w:val="000000"/>
        </w:rPr>
        <w:t>,</w:t>
      </w:r>
    </w:p>
    <w:p w14:paraId="61D6D15C" w14:textId="035A9E9A" w:rsidR="003204E1" w:rsidRDefault="003204E1" w:rsidP="00682B80">
      <w:pPr>
        <w:pStyle w:val="Call"/>
      </w:pPr>
      <w:r>
        <w:t>instructs the Secretary-General and the Directors of the three Bureaux</w:t>
      </w:r>
    </w:p>
    <w:p w14:paraId="092AB308" w14:textId="46831F09" w:rsidR="003204E1" w:rsidRDefault="003204E1" w:rsidP="003204E1">
      <w:pPr>
        <w:pBdr>
          <w:top w:val="nil"/>
          <w:left w:val="nil"/>
          <w:bottom w:val="nil"/>
          <w:right w:val="nil"/>
          <w:between w:val="nil"/>
        </w:pBdr>
        <w:jc w:val="both"/>
        <w:rPr>
          <w:color w:val="000000"/>
        </w:rPr>
      </w:pPr>
      <w:r>
        <w:rPr>
          <w:color w:val="000000"/>
        </w:rPr>
        <w:t>1</w:t>
      </w:r>
      <w:r>
        <w:rPr>
          <w:color w:val="000000"/>
        </w:rPr>
        <w:tab/>
        <w:t>to further enhance the effectiveness and cost-efficiency of the statutory conferences and assemblies of the Union, including through the identification and implementation of appropriate operational, logistical and technological measures</w:t>
      </w:r>
      <w:r w:rsidR="00682B80">
        <w:rPr>
          <w:color w:val="000000"/>
        </w:rPr>
        <w:t>;</w:t>
      </w:r>
    </w:p>
    <w:p w14:paraId="4622F001" w14:textId="2F4A72BD" w:rsidR="003204E1" w:rsidRDefault="003204E1" w:rsidP="003204E1">
      <w:pPr>
        <w:pBdr>
          <w:top w:val="nil"/>
          <w:left w:val="nil"/>
          <w:bottom w:val="nil"/>
          <w:right w:val="nil"/>
          <w:between w:val="nil"/>
        </w:pBdr>
        <w:jc w:val="both"/>
        <w:rPr>
          <w:color w:val="000000"/>
        </w:rPr>
      </w:pPr>
      <w:r>
        <w:rPr>
          <w:color w:val="000000"/>
        </w:rPr>
        <w:t>2</w:t>
      </w:r>
      <w:r>
        <w:rPr>
          <w:color w:val="000000"/>
        </w:rPr>
        <w:tab/>
        <w:t>to ensure that event services, logistical arrangements and hosting requirements are proportionate to the statutory nature and requirements of each conference, assembly or meeting, while respecting the Constitution, Convention, General Rules of Conferences, Assemblies and Meetings of the Union, and applicable decisions of competent ITU bodies</w:t>
      </w:r>
      <w:r w:rsidR="00682B80">
        <w:rPr>
          <w:color w:val="000000"/>
        </w:rPr>
        <w:t>;</w:t>
      </w:r>
    </w:p>
    <w:p w14:paraId="455E35BF" w14:textId="77777777" w:rsidR="003204E1" w:rsidRDefault="003204E1" w:rsidP="003204E1">
      <w:pPr>
        <w:pBdr>
          <w:top w:val="nil"/>
          <w:left w:val="nil"/>
          <w:bottom w:val="nil"/>
          <w:right w:val="nil"/>
          <w:between w:val="nil"/>
        </w:pBdr>
        <w:jc w:val="both"/>
        <w:rPr>
          <w:color w:val="000000"/>
        </w:rPr>
      </w:pPr>
      <w:r>
        <w:rPr>
          <w:color w:val="000000"/>
        </w:rPr>
        <w:t>3</w:t>
      </w:r>
      <w:r>
        <w:rPr>
          <w:color w:val="000000"/>
        </w:rPr>
        <w:tab/>
        <w:t>to support the use of locally available equipment and services, where this is demonstrated to be more cost-efficient and operationally appropriate than transporting ITU-owned equipment, while ensuring interoperability, cybersecurity, reliability and compliance with ITU technical requirements;</w:t>
      </w:r>
    </w:p>
    <w:p w14:paraId="4A40C2FE" w14:textId="1C4EE7B3" w:rsidR="003204E1" w:rsidRDefault="003204E1" w:rsidP="003204E1">
      <w:pPr>
        <w:pBdr>
          <w:top w:val="nil"/>
          <w:left w:val="nil"/>
          <w:bottom w:val="nil"/>
          <w:right w:val="nil"/>
          <w:between w:val="nil"/>
        </w:pBdr>
        <w:jc w:val="both"/>
        <w:rPr>
          <w:color w:val="000000"/>
        </w:rPr>
      </w:pPr>
      <w:r>
        <w:rPr>
          <w:color w:val="000000"/>
        </w:rPr>
        <w:t>4</w:t>
      </w:r>
      <w:r>
        <w:rPr>
          <w:color w:val="000000"/>
        </w:rPr>
        <w:tab/>
        <w:t>to promote, the use of cost-efficient and appropriate interpretation modalities such as qualified UN certified local interpreters, for ITU events hosted outside Geneva, where appropriate, especially for non-statutory meetings and activities of the Union, with a view to reducing travel, accommodation and related logistical costs, while maintaining the required quality of interpretation</w:t>
      </w:r>
      <w:r w:rsidR="00682B80">
        <w:rPr>
          <w:color w:val="000000"/>
        </w:rPr>
        <w:t>;</w:t>
      </w:r>
    </w:p>
    <w:p w14:paraId="3185659D" w14:textId="77777777" w:rsidR="003204E1" w:rsidRDefault="003204E1" w:rsidP="003204E1">
      <w:pPr>
        <w:pBdr>
          <w:top w:val="nil"/>
          <w:left w:val="nil"/>
          <w:bottom w:val="nil"/>
          <w:right w:val="nil"/>
          <w:between w:val="nil"/>
        </w:pBdr>
        <w:jc w:val="both"/>
        <w:rPr>
          <w:color w:val="000000"/>
        </w:rPr>
      </w:pPr>
      <w:r>
        <w:rPr>
          <w:color w:val="000000"/>
        </w:rPr>
        <w:t>5</w:t>
      </w:r>
      <w:r>
        <w:rPr>
          <w:color w:val="000000"/>
        </w:rPr>
        <w:tab/>
        <w:t xml:space="preserve">to promote the continued digitalization of conference and event management processes where appropriate, including online registration, electronic documentation, digital participant credentials and badges, interactive gateways like QR-code-based access mechanisms, electronic </w:t>
      </w:r>
      <w:r>
        <w:rPr>
          <w:color w:val="000000"/>
        </w:rPr>
        <w:lastRenderedPageBreak/>
        <w:t>communication and other appropriate digital solutions, while ensuring accessibility, data protection, cybersecurity and suitable alternatives for participants who may face digital-accessibility constraints;</w:t>
      </w:r>
    </w:p>
    <w:p w14:paraId="6597FB9E" w14:textId="77777777" w:rsidR="003204E1" w:rsidRDefault="003204E1" w:rsidP="003204E1">
      <w:pPr>
        <w:pBdr>
          <w:top w:val="nil"/>
          <w:left w:val="nil"/>
          <w:bottom w:val="nil"/>
          <w:right w:val="nil"/>
          <w:between w:val="nil"/>
        </w:pBdr>
        <w:jc w:val="both"/>
        <w:rPr>
          <w:color w:val="000000"/>
        </w:rPr>
      </w:pPr>
      <w:r>
        <w:rPr>
          <w:color w:val="000000"/>
        </w:rPr>
        <w:t>6</w:t>
      </w:r>
      <w:r>
        <w:rPr>
          <w:color w:val="000000"/>
        </w:rPr>
        <w:tab/>
        <w:t>to promote the increased use of paperless and low-paper approaches for ITU events, including digital programmes, documents, schedules, signage and participant information, consistent with the measures of Annex 2 of Decision 5 (Rev. Bucharest, 2022);</w:t>
      </w:r>
    </w:p>
    <w:p w14:paraId="129CD676" w14:textId="4FD95246" w:rsidR="003204E1" w:rsidRDefault="003204E1" w:rsidP="003204E1">
      <w:pPr>
        <w:pBdr>
          <w:top w:val="nil"/>
          <w:left w:val="nil"/>
          <w:bottom w:val="nil"/>
          <w:right w:val="nil"/>
          <w:between w:val="nil"/>
        </w:pBdr>
        <w:jc w:val="both"/>
        <w:rPr>
          <w:color w:val="000000"/>
        </w:rPr>
      </w:pPr>
      <w:r>
        <w:rPr>
          <w:color w:val="000000"/>
        </w:rPr>
        <w:t>7</w:t>
      </w:r>
      <w:r>
        <w:rPr>
          <w:color w:val="000000"/>
        </w:rPr>
        <w:tab/>
        <w:t>To report annually to the council on the implementation of this resolution</w:t>
      </w:r>
      <w:r w:rsidR="004022C0">
        <w:rPr>
          <w:color w:val="000000"/>
        </w:rPr>
        <w:t>,</w:t>
      </w:r>
    </w:p>
    <w:p w14:paraId="25DC1C39" w14:textId="1A1B7960" w:rsidR="003204E1" w:rsidRDefault="003204E1" w:rsidP="00682B80">
      <w:pPr>
        <w:pStyle w:val="Call"/>
      </w:pPr>
      <w:r>
        <w:t>instructs the ITU Council</w:t>
      </w:r>
    </w:p>
    <w:p w14:paraId="083388C2" w14:textId="7E9DA683" w:rsidR="003204E1" w:rsidRDefault="00682B80" w:rsidP="003204E1">
      <w:pPr>
        <w:pBdr>
          <w:top w:val="nil"/>
          <w:left w:val="nil"/>
          <w:bottom w:val="nil"/>
          <w:right w:val="nil"/>
          <w:between w:val="nil"/>
        </w:pBdr>
        <w:jc w:val="both"/>
        <w:rPr>
          <w:color w:val="000000"/>
        </w:rPr>
      </w:pPr>
      <w:r>
        <w:rPr>
          <w:color w:val="000000"/>
        </w:rPr>
        <w:t>1</w:t>
      </w:r>
      <w:r>
        <w:rPr>
          <w:color w:val="000000"/>
        </w:rPr>
        <w:tab/>
        <w:t>t</w:t>
      </w:r>
      <w:r w:rsidR="003204E1">
        <w:rPr>
          <w:color w:val="000000"/>
        </w:rPr>
        <w:t>o review and assess, at each subsequent session of the council, the measures proposed by the Secretary General in implementation of this resolution to harmonize ITU events hosting requirements and reduce financial burden on hosting countries of ITU events</w:t>
      </w:r>
      <w:r>
        <w:rPr>
          <w:color w:val="000000"/>
        </w:rPr>
        <w:t>;</w:t>
      </w:r>
    </w:p>
    <w:p w14:paraId="1C77EB49" w14:textId="169D4AD0" w:rsidR="003204E1" w:rsidRPr="003204E1" w:rsidRDefault="003204E1" w:rsidP="008B6791">
      <w:pPr>
        <w:jc w:val="both"/>
      </w:pPr>
      <w:r>
        <w:t>2</w:t>
      </w:r>
      <w:r w:rsidR="00682B80">
        <w:tab/>
      </w:r>
      <w:r>
        <w:t xml:space="preserve">to report to the next plenipotentiary conference on the implementation of this </w:t>
      </w:r>
      <w:r w:rsidR="002E7062">
        <w:t>R</w:t>
      </w:r>
      <w:r>
        <w:t>esolution</w:t>
      </w:r>
      <w:r w:rsidR="00240F0E">
        <w:t>.</w:t>
      </w:r>
    </w:p>
    <w:p w14:paraId="0917DD03" w14:textId="4B709C12" w:rsidR="00A9098B" w:rsidRDefault="00000000" w:rsidP="008B6791">
      <w:pPr>
        <w:pStyle w:val="Reasons"/>
        <w:jc w:val="both"/>
        <w:rPr>
          <w:color w:val="000000"/>
        </w:rPr>
      </w:pPr>
      <w:r>
        <w:rPr>
          <w:b/>
        </w:rPr>
        <w:t>Reasons:</w:t>
      </w:r>
      <w:r>
        <w:tab/>
      </w:r>
      <w:r w:rsidR="003204E1">
        <w:rPr>
          <w:color w:val="000000"/>
        </w:rPr>
        <w:t>This draft new Resolution highlights the value of hosting Union conferences, assemblies, workshops, and other activities within Member States, aiming to strengthen regional engagement, foster capacity-building, and enhance the Union's regional presence while alleviating financial burdens on host countries through optimized reliance on local resources and services.</w:t>
      </w:r>
    </w:p>
    <w:p w14:paraId="50332A81" w14:textId="4D75E6A1" w:rsidR="008A5245" w:rsidRDefault="008A5245" w:rsidP="008A5245">
      <w:pPr>
        <w:jc w:val="center"/>
      </w:pPr>
      <w:r>
        <w:t>_______________</w:t>
      </w:r>
    </w:p>
    <w:sectPr w:rsidR="008A5245" w:rsidSect="00361097">
      <w:headerReference w:type="even" r:id="rId13"/>
      <w:headerReference w:type="default" r:id="rId14"/>
      <w:footerReference w:type="even" r:id="rId15"/>
      <w:footerReference w:type="default" r:id="rId16"/>
      <w:headerReference w:type="first" r:id="rId17"/>
      <w:footerReference w:type="first" r:id="rId18"/>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27DD" w14:textId="77777777" w:rsidR="00FA06B3" w:rsidRDefault="00FA06B3">
      <w:r>
        <w:separator/>
      </w:r>
    </w:p>
  </w:endnote>
  <w:endnote w:type="continuationSeparator" w:id="0">
    <w:p w14:paraId="65C924E9" w14:textId="77777777" w:rsidR="00FA06B3" w:rsidRDefault="00FA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C31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73C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5E77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CC822" w14:textId="77777777" w:rsidR="00FA06B3" w:rsidRDefault="00FA06B3">
      <w:r>
        <w:t>____________________</w:t>
      </w:r>
    </w:p>
  </w:footnote>
  <w:footnote w:type="continuationSeparator" w:id="0">
    <w:p w14:paraId="703E1958" w14:textId="77777777" w:rsidR="00FA06B3" w:rsidRDefault="00FA06B3">
      <w:r>
        <w:continuationSeparator/>
      </w:r>
    </w:p>
  </w:footnote>
  <w:footnote w:id="1">
    <w:p w14:paraId="52CE2306" w14:textId="50761016" w:rsidR="002A4456" w:rsidRPr="002A4456" w:rsidRDefault="002A4456">
      <w:pPr>
        <w:pStyle w:val="FootnoteText"/>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A6A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8E5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A69FA11" w14:textId="77777777" w:rsidR="00CE1B90" w:rsidRDefault="00CE1B90" w:rsidP="004F7925">
    <w:pPr>
      <w:pStyle w:val="Header"/>
    </w:pPr>
    <w:r>
      <w:t>PP</w:t>
    </w:r>
    <w:r w:rsidR="000235EC">
      <w:t>2</w:t>
    </w:r>
    <w:r w:rsidR="00EF3B7A">
      <w:t>6</w:t>
    </w:r>
    <w:r>
      <w:t>/24(Add.4)-E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02A99"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2D5B"/>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0F0E"/>
    <w:rsid w:val="00243BE4"/>
    <w:rsid w:val="0024600A"/>
    <w:rsid w:val="0024732C"/>
    <w:rsid w:val="00257188"/>
    <w:rsid w:val="002578B4"/>
    <w:rsid w:val="002646C6"/>
    <w:rsid w:val="00267D12"/>
    <w:rsid w:val="00281792"/>
    <w:rsid w:val="0028799E"/>
    <w:rsid w:val="002962A8"/>
    <w:rsid w:val="002A4456"/>
    <w:rsid w:val="002A56C0"/>
    <w:rsid w:val="002E7062"/>
    <w:rsid w:val="002E77F4"/>
    <w:rsid w:val="002F36B9"/>
    <w:rsid w:val="002F5FA2"/>
    <w:rsid w:val="003126B0"/>
    <w:rsid w:val="00314127"/>
    <w:rsid w:val="00314C12"/>
    <w:rsid w:val="003204E1"/>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22C0"/>
    <w:rsid w:val="004059B0"/>
    <w:rsid w:val="00411044"/>
    <w:rsid w:val="00416DC1"/>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B80"/>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B4643"/>
    <w:rsid w:val="007C3643"/>
    <w:rsid w:val="007C617F"/>
    <w:rsid w:val="007D5061"/>
    <w:rsid w:val="007D7003"/>
    <w:rsid w:val="007E00D2"/>
    <w:rsid w:val="007E2AD4"/>
    <w:rsid w:val="007E3469"/>
    <w:rsid w:val="007E7B63"/>
    <w:rsid w:val="007F400B"/>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5245"/>
    <w:rsid w:val="008B5A71"/>
    <w:rsid w:val="008B679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81AEA"/>
    <w:rsid w:val="009A078E"/>
    <w:rsid w:val="009A2B30"/>
    <w:rsid w:val="009A4211"/>
    <w:rsid w:val="009A47A2"/>
    <w:rsid w:val="009E425E"/>
    <w:rsid w:val="009E4322"/>
    <w:rsid w:val="009F4384"/>
    <w:rsid w:val="009F442D"/>
    <w:rsid w:val="009F50DA"/>
    <w:rsid w:val="00A06D56"/>
    <w:rsid w:val="00A314A2"/>
    <w:rsid w:val="00A516BB"/>
    <w:rsid w:val="00A619C5"/>
    <w:rsid w:val="00A742D6"/>
    <w:rsid w:val="00A808E1"/>
    <w:rsid w:val="00A8262F"/>
    <w:rsid w:val="00A82829"/>
    <w:rsid w:val="00A84B32"/>
    <w:rsid w:val="00A84B3A"/>
    <w:rsid w:val="00A87124"/>
    <w:rsid w:val="00A9098B"/>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2850"/>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2518"/>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96F4B"/>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A06B3"/>
    <w:rsid w:val="00FB5F12"/>
    <w:rsid w:val="00FC5117"/>
    <w:rsid w:val="00FD40F0"/>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E0948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8B679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94aa2815-fca9-40f3-9cd5-489f57e2d5ba">DPM</DPM_x0020_Author>
    <DPM_x0020_File_x0020_name xmlns="94aa2815-fca9-40f3-9cd5-489f57e2d5ba">S26-PP-C-0024!A4!MSW-E</DPM_x0020_File_x0020_name>
    <DPM_x0020_Version xmlns="94aa2815-fca9-40f3-9cd5-489f57e2d5ba">DPM_2025.10.23.1</DPM_x0020_Vers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4aa2815-fca9-40f3-9cd5-489f57e2d5ba" targetNamespace="http://schemas.microsoft.com/office/2006/metadata/properties" ma:root="true" ma:fieldsID="d41af5c836d734370eb92e7ee5f83852" ns2:_="" ns3:_="">
    <xsd:import namespace="996b2e75-67fd-4955-a3b0-5ab9934cb50b"/>
    <xsd:import namespace="94aa2815-fca9-40f3-9cd5-489f57e2d5b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4aa2815-fca9-40f3-9cd5-489f57e2d5b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4aa2815-fca9-40f3-9cd5-489f57e2d5ba"/>
  </ds:schemaRefs>
</ds:datastoreItem>
</file>

<file path=customXml/itemProps3.xml><?xml version="1.0" encoding="utf-8"?>
<ds:datastoreItem xmlns:ds="http://schemas.openxmlformats.org/officeDocument/2006/customXml" ds:itemID="{7301A9D2-AFFF-4D2A-B6FE-FA69138B3298}">
  <ds:schemaRefs>
    <ds:schemaRef ds:uri="http://schemas.openxmlformats.org/officeDocument/2006/bibliography"/>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4aa2815-fca9-40f3-9cd5-489f57e2d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901</Words>
  <Characters>6013</Characters>
  <Application>Microsoft Office Word</Application>
  <DocSecurity>0</DocSecurity>
  <Lines>109</Lines>
  <Paragraphs>47</Paragraphs>
  <ScaleCrop>false</ScaleCrop>
  <HeadingPairs>
    <vt:vector size="2" baseType="variant">
      <vt:variant>
        <vt:lpstr>Title</vt:lpstr>
      </vt:variant>
      <vt:variant>
        <vt:i4>1</vt:i4>
      </vt:variant>
    </vt:vector>
  </HeadingPairs>
  <TitlesOfParts>
    <vt:vector size="1" baseType="lpstr">
      <vt:lpstr>S26-PP-C-0024!A4!MSW-E</vt:lpstr>
    </vt:vector>
  </TitlesOfParts>
  <Manager/>
  <Company/>
  <LinksUpToDate>false</LinksUpToDate>
  <CharactersWithSpaces>6867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S26-PP-C-0024!A4!MSW-E</dc:title>
  <dc:subject>ITU Plenipotentiary Conference (PP-26)</dc:subject>
  <dc:creator>Documents Proposals Manager (DPM)</dc:creator>
  <cp:keywords>DPM_v2026.8.25.1_prod</cp:keywords>
  <cp:lastModifiedBy>BP</cp:lastModifiedBy>
  <cp:revision>15</cp:revision>
  <dcterms:created xsi:type="dcterms:W3CDTF">2026-10-21T12:46:00Z</dcterms:created>
  <dcterms:modified xsi:type="dcterms:W3CDTF">2026-10-21T15:29:00Z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