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5" w:tblpY="2317"/>
        <w:tblW w:w="9640" w:type="dxa"/>
        <w:tblLayout w:type="fixed"/>
        <w:tblLook w:val="0000" w:firstRow="0" w:lastRow="0" w:firstColumn="0" w:lastColumn="0" w:noHBand="0" w:noVBand="0"/>
      </w:tblPr>
      <w:tblGrid>
        <w:gridCol w:w="4395"/>
        <w:gridCol w:w="5245"/>
      </w:tblGrid>
      <w:tr w:rsidR="00AD3606" w:rsidRPr="004B51C8" w14:paraId="75738ABB" w14:textId="77777777" w:rsidTr="005A0841">
        <w:trPr>
          <w:cantSplit/>
          <w:trHeight w:val="23"/>
        </w:trPr>
        <w:tc>
          <w:tcPr>
            <w:tcW w:w="4395" w:type="dxa"/>
            <w:vMerge w:val="restart"/>
            <w:tcMar>
              <w:left w:w="0" w:type="dxa"/>
            </w:tcMar>
          </w:tcPr>
          <w:p w14:paraId="333D3DBA" w14:textId="77777777" w:rsidR="00AD3606" w:rsidRPr="00147C54" w:rsidRDefault="00AD3606" w:rsidP="005A0841">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06EE410D" w:rsidR="00AD3606" w:rsidRPr="00301AEE" w:rsidRDefault="00E85B67" w:rsidP="005A0841">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w:t>
            </w:r>
            <w:r w:rsidR="00B224B5">
              <w:rPr>
                <w:b/>
                <w:lang w:val="fr-CH"/>
              </w:rPr>
              <w:t>2</w:t>
            </w:r>
            <w:r w:rsidR="00F66A26">
              <w:rPr>
                <w:b/>
                <w:lang w:val="fr-FR"/>
              </w:rPr>
              <w:t>/</w:t>
            </w:r>
            <w:r w:rsidR="005A0841">
              <w:rPr>
                <w:b/>
                <w:lang w:val="fr-FR"/>
              </w:rPr>
              <w:t>8</w:t>
            </w:r>
            <w:r w:rsidR="005241E0">
              <w:rPr>
                <w:b/>
                <w:lang w:val="fr-FR"/>
              </w:rPr>
              <w:t>-E</w:t>
            </w:r>
          </w:p>
        </w:tc>
      </w:tr>
      <w:tr w:rsidR="00AD3606" w:rsidRPr="00147C54" w14:paraId="49AA1FBD" w14:textId="77777777" w:rsidTr="005A0841">
        <w:trPr>
          <w:cantSplit/>
        </w:trPr>
        <w:tc>
          <w:tcPr>
            <w:tcW w:w="4395" w:type="dxa"/>
            <w:vMerge/>
          </w:tcPr>
          <w:p w14:paraId="6C9E27D5" w14:textId="77777777" w:rsidR="00AD3606" w:rsidRPr="00301AEE" w:rsidRDefault="00AD3606" w:rsidP="005A0841">
            <w:pPr>
              <w:tabs>
                <w:tab w:val="left" w:pos="851"/>
              </w:tabs>
              <w:spacing w:line="240" w:lineRule="atLeast"/>
              <w:rPr>
                <w:b/>
                <w:lang w:val="fr-FR"/>
              </w:rPr>
            </w:pPr>
            <w:bookmarkStart w:id="6" w:name="ddate" w:colFirst="1" w:colLast="1"/>
            <w:bookmarkEnd w:id="0"/>
            <w:bookmarkEnd w:id="1"/>
          </w:p>
        </w:tc>
        <w:tc>
          <w:tcPr>
            <w:tcW w:w="5245" w:type="dxa"/>
          </w:tcPr>
          <w:p w14:paraId="0A6B18FC" w14:textId="6A68107F" w:rsidR="00AD3606" w:rsidRPr="00147C54" w:rsidRDefault="004C0B0D" w:rsidP="005A0841">
            <w:pPr>
              <w:tabs>
                <w:tab w:val="left" w:pos="851"/>
              </w:tabs>
              <w:spacing w:before="0"/>
              <w:jc w:val="right"/>
              <w:rPr>
                <w:b/>
              </w:rPr>
            </w:pPr>
            <w:r>
              <w:rPr>
                <w:b/>
              </w:rPr>
              <w:t>1 April</w:t>
            </w:r>
            <w:r w:rsidR="005A0841">
              <w:rPr>
                <w:b/>
              </w:rPr>
              <w:t xml:space="preserve"> 2026</w:t>
            </w:r>
          </w:p>
        </w:tc>
      </w:tr>
      <w:tr w:rsidR="00AD3606" w:rsidRPr="00147C54" w14:paraId="245EED5B" w14:textId="77777777" w:rsidTr="005A0841">
        <w:trPr>
          <w:cantSplit/>
          <w:trHeight w:val="23"/>
        </w:trPr>
        <w:tc>
          <w:tcPr>
            <w:tcW w:w="4395" w:type="dxa"/>
            <w:vMerge/>
          </w:tcPr>
          <w:p w14:paraId="1E90653D" w14:textId="77777777" w:rsidR="00AD3606" w:rsidRPr="00147C54" w:rsidRDefault="00AD3606" w:rsidP="005A0841">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5A0841">
            <w:pPr>
              <w:tabs>
                <w:tab w:val="left" w:pos="851"/>
              </w:tabs>
              <w:spacing w:before="0" w:line="240" w:lineRule="atLeast"/>
              <w:jc w:val="right"/>
              <w:rPr>
                <w:b/>
              </w:rPr>
            </w:pPr>
            <w:r w:rsidRPr="00147C54">
              <w:rPr>
                <w:b/>
              </w:rPr>
              <w:t>English only</w:t>
            </w:r>
          </w:p>
        </w:tc>
      </w:tr>
      <w:tr w:rsidR="00472BAD" w:rsidRPr="00147C54" w14:paraId="453B6052" w14:textId="77777777" w:rsidTr="005A0841">
        <w:trPr>
          <w:cantSplit/>
          <w:trHeight w:val="23"/>
        </w:trPr>
        <w:tc>
          <w:tcPr>
            <w:tcW w:w="4395" w:type="dxa"/>
          </w:tcPr>
          <w:p w14:paraId="68C47D52" w14:textId="77777777" w:rsidR="00472BAD" w:rsidRPr="00147C54" w:rsidRDefault="00472BAD" w:rsidP="005A0841">
            <w:pPr>
              <w:tabs>
                <w:tab w:val="left" w:pos="851"/>
              </w:tabs>
              <w:spacing w:line="240" w:lineRule="atLeast"/>
              <w:rPr>
                <w:b/>
              </w:rPr>
            </w:pPr>
          </w:p>
        </w:tc>
        <w:tc>
          <w:tcPr>
            <w:tcW w:w="5245" w:type="dxa"/>
          </w:tcPr>
          <w:p w14:paraId="550894A5" w14:textId="77777777" w:rsidR="00472BAD" w:rsidRPr="00147C54" w:rsidRDefault="00472BAD" w:rsidP="005A0841">
            <w:pPr>
              <w:tabs>
                <w:tab w:val="left" w:pos="851"/>
              </w:tabs>
              <w:spacing w:before="0" w:line="240" w:lineRule="atLeast"/>
              <w:jc w:val="right"/>
              <w:rPr>
                <w:b/>
              </w:rPr>
            </w:pPr>
          </w:p>
        </w:tc>
      </w:tr>
      <w:tr w:rsidR="00AD3606" w:rsidRPr="00147C54" w14:paraId="02CE4872" w14:textId="77777777" w:rsidTr="005A0841">
        <w:trPr>
          <w:cantSplit/>
        </w:trPr>
        <w:tc>
          <w:tcPr>
            <w:tcW w:w="9640" w:type="dxa"/>
            <w:gridSpan w:val="2"/>
            <w:tcMar>
              <w:left w:w="0" w:type="dxa"/>
            </w:tcMar>
          </w:tcPr>
          <w:p w14:paraId="11EB1697" w14:textId="32EFC955" w:rsidR="00AD3606" w:rsidRPr="00147C54" w:rsidRDefault="00006DB2" w:rsidP="005A0841">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rsidR="005A0841">
              <w:t>the Coordinator on Climate Change</w:t>
            </w:r>
          </w:p>
        </w:tc>
      </w:tr>
      <w:tr w:rsidR="00AD3606" w:rsidRPr="00147C54" w14:paraId="16B8590D" w14:textId="77777777" w:rsidTr="005A0841">
        <w:trPr>
          <w:cantSplit/>
        </w:trPr>
        <w:tc>
          <w:tcPr>
            <w:tcW w:w="9640" w:type="dxa"/>
            <w:gridSpan w:val="2"/>
            <w:tcMar>
              <w:left w:w="0" w:type="dxa"/>
            </w:tcMar>
          </w:tcPr>
          <w:p w14:paraId="3EBDE99F" w14:textId="645D2561" w:rsidR="00AD3606" w:rsidRPr="005A0841" w:rsidRDefault="006B6174" w:rsidP="005A0841">
            <w:pPr>
              <w:pStyle w:val="Subtitle"/>
              <w:framePr w:hSpace="0" w:wrap="auto" w:xAlign="left" w:yAlign="inline"/>
              <w:rPr>
                <w:caps/>
              </w:rPr>
            </w:pPr>
            <w:bookmarkStart w:id="9" w:name="dtitle1" w:colFirst="0" w:colLast="0"/>
            <w:bookmarkEnd w:id="8"/>
            <w:r w:rsidRPr="005A0841">
              <w:rPr>
                <w:caps/>
              </w:rPr>
              <w:t>ITU-T S</w:t>
            </w:r>
            <w:r w:rsidR="005A0841" w:rsidRPr="005A0841">
              <w:rPr>
                <w:caps/>
              </w:rPr>
              <w:t xml:space="preserve">tudy </w:t>
            </w:r>
            <w:r w:rsidRPr="005A0841">
              <w:rPr>
                <w:caps/>
              </w:rPr>
              <w:t>G</w:t>
            </w:r>
            <w:r w:rsidR="005A0841" w:rsidRPr="005A0841">
              <w:rPr>
                <w:caps/>
              </w:rPr>
              <w:t xml:space="preserve">roup </w:t>
            </w:r>
            <w:r w:rsidRPr="005A0841">
              <w:rPr>
                <w:caps/>
              </w:rPr>
              <w:t>5 activities on Environmental Efficiency of ICT and ICT solutions</w:t>
            </w:r>
          </w:p>
        </w:tc>
      </w:tr>
      <w:tr w:rsidR="00AD3606" w:rsidRPr="00147C54" w14:paraId="738924AE" w14:textId="77777777" w:rsidTr="005A0841">
        <w:trPr>
          <w:cantSplit/>
        </w:trPr>
        <w:tc>
          <w:tcPr>
            <w:tcW w:w="9640" w:type="dxa"/>
            <w:gridSpan w:val="2"/>
            <w:tcBorders>
              <w:top w:val="single" w:sz="4" w:space="0" w:color="auto"/>
              <w:bottom w:val="single" w:sz="4" w:space="0" w:color="auto"/>
            </w:tcBorders>
            <w:tcMar>
              <w:left w:w="0" w:type="dxa"/>
            </w:tcMar>
          </w:tcPr>
          <w:p w14:paraId="393CFB80" w14:textId="3D8149DB" w:rsidR="005241E0" w:rsidRPr="005241E0" w:rsidRDefault="00F16BAB" w:rsidP="005A0841">
            <w:pPr>
              <w:spacing w:before="160" w:after="120"/>
              <w:rPr>
                <w:sz w:val="26"/>
                <w:szCs w:val="26"/>
              </w:rPr>
            </w:pPr>
            <w:r w:rsidRPr="00147C54">
              <w:rPr>
                <w:b/>
                <w:bCs/>
                <w:sz w:val="26"/>
                <w:szCs w:val="26"/>
              </w:rPr>
              <w:t>Purpose</w:t>
            </w:r>
            <w:r w:rsidR="005241E0">
              <w:rPr>
                <w:b/>
                <w:bCs/>
                <w:sz w:val="26"/>
                <w:szCs w:val="26"/>
              </w:rPr>
              <w:t xml:space="preserve">: </w:t>
            </w:r>
            <w:r w:rsidR="005241E0">
              <w:t xml:space="preserve"> </w:t>
            </w:r>
            <w:r w:rsidR="005241E0" w:rsidRPr="005241E0">
              <w:rPr>
                <w:sz w:val="26"/>
                <w:szCs w:val="26"/>
              </w:rPr>
              <w:t xml:space="preserve">Admin </w:t>
            </w:r>
            <w:proofErr w:type="gramStart"/>
            <w:r w:rsidR="005241E0" w:rsidRPr="005241E0">
              <w:rPr>
                <w:sz w:val="26"/>
                <w:szCs w:val="26"/>
              </w:rPr>
              <w:t>( )</w:t>
            </w:r>
            <w:proofErr w:type="gramEnd"/>
            <w:r w:rsidR="005241E0" w:rsidRPr="005241E0">
              <w:rPr>
                <w:sz w:val="26"/>
                <w:szCs w:val="26"/>
              </w:rPr>
              <w:t xml:space="preserve"> / Information (</w:t>
            </w:r>
            <w:r w:rsidR="005A0841" w:rsidRPr="005A0841">
              <w:rPr>
                <w:b/>
                <w:bCs/>
                <w:sz w:val="26"/>
                <w:szCs w:val="26"/>
              </w:rPr>
              <w:t>X</w:t>
            </w:r>
            <w:r w:rsidR="005241E0" w:rsidRPr="005241E0">
              <w:rPr>
                <w:sz w:val="26"/>
                <w:szCs w:val="26"/>
              </w:rPr>
              <w:t xml:space="preserve">) / Discussion </w:t>
            </w:r>
            <w:proofErr w:type="gramStart"/>
            <w:r w:rsidR="005241E0" w:rsidRPr="005241E0">
              <w:rPr>
                <w:sz w:val="26"/>
                <w:szCs w:val="26"/>
              </w:rPr>
              <w:t>(</w:t>
            </w:r>
            <w:r w:rsidR="005241E0">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tc>
      </w:tr>
      <w:tr w:rsidR="005241E0" w:rsidRPr="004C0B0D" w14:paraId="14D83C7C" w14:textId="77777777" w:rsidTr="005A0841">
        <w:trPr>
          <w:cantSplit/>
        </w:trPr>
        <w:tc>
          <w:tcPr>
            <w:tcW w:w="9640" w:type="dxa"/>
            <w:gridSpan w:val="2"/>
            <w:tcBorders>
              <w:top w:val="single" w:sz="4" w:space="0" w:color="auto"/>
              <w:bottom w:val="single" w:sz="4" w:space="0" w:color="auto"/>
            </w:tcBorders>
            <w:tcMar>
              <w:left w:w="0" w:type="dxa"/>
            </w:tcMar>
          </w:tcPr>
          <w:p w14:paraId="6F51167A" w14:textId="3F179D85" w:rsidR="005241E0" w:rsidRPr="005241E0" w:rsidRDefault="005241E0" w:rsidP="004C0B0D">
            <w:pPr>
              <w:tabs>
                <w:tab w:val="clear" w:pos="2835"/>
                <w:tab w:val="left" w:pos="4536"/>
              </w:tabs>
              <w:spacing w:before="160" w:after="120"/>
              <w:rPr>
                <w:b/>
                <w:bCs/>
                <w:sz w:val="26"/>
                <w:szCs w:val="26"/>
                <w:lang w:val="it-IT"/>
              </w:rPr>
            </w:pPr>
            <w:r>
              <w:rPr>
                <w:b/>
                <w:bCs/>
                <w:sz w:val="26"/>
                <w:szCs w:val="26"/>
                <w:lang w:val="it-IT"/>
              </w:rPr>
              <w:t>Contact:</w:t>
            </w:r>
            <w:r w:rsidR="005A0841">
              <w:rPr>
                <w:b/>
                <w:bCs/>
                <w:sz w:val="26"/>
                <w:szCs w:val="26"/>
                <w:lang w:val="it-IT"/>
              </w:rPr>
              <w:t xml:space="preserve"> </w:t>
            </w:r>
            <w:r w:rsidR="006B6174" w:rsidRPr="000B4653">
              <w:rPr>
                <w:sz w:val="26"/>
                <w:szCs w:val="26"/>
                <w:lang w:val="it-IT"/>
              </w:rPr>
              <w:t>Paolo Gemma</w:t>
            </w:r>
            <w:r w:rsidR="006B6174">
              <w:rPr>
                <w:b/>
                <w:bCs/>
                <w:sz w:val="26"/>
                <w:szCs w:val="26"/>
                <w:lang w:val="it-IT"/>
              </w:rPr>
              <w:t xml:space="preserve"> </w:t>
            </w:r>
            <w:r w:rsidR="006B6174">
              <w:rPr>
                <w:b/>
                <w:bCs/>
                <w:sz w:val="26"/>
                <w:szCs w:val="26"/>
                <w:lang w:val="it-IT"/>
              </w:rPr>
              <w:tab/>
            </w:r>
            <w:r>
              <w:rPr>
                <w:b/>
                <w:bCs/>
                <w:sz w:val="26"/>
                <w:szCs w:val="26"/>
                <w:lang w:val="it-IT"/>
              </w:rPr>
              <w:t>E-mail:</w:t>
            </w:r>
            <w:r w:rsidR="006B6174">
              <w:rPr>
                <w:b/>
                <w:bCs/>
                <w:sz w:val="26"/>
                <w:szCs w:val="26"/>
                <w:lang w:val="it-IT"/>
              </w:rPr>
              <w:t xml:space="preserve"> </w:t>
            </w:r>
            <w:hyperlink r:id="rId11" w:history="1">
              <w:r w:rsidR="006B6174" w:rsidRPr="000B4653">
                <w:rPr>
                  <w:rStyle w:val="Hyperlink"/>
                  <w:sz w:val="26"/>
                  <w:szCs w:val="26"/>
                  <w:lang w:val="it-IT"/>
                </w:rPr>
                <w:t>paolo.gemma@huawei.com</w:t>
              </w:r>
            </w:hyperlink>
          </w:p>
        </w:tc>
      </w:tr>
      <w:tr w:rsidR="006B6174" w:rsidRPr="004C0B0D" w14:paraId="6C1FE11D" w14:textId="77777777" w:rsidTr="005A0841">
        <w:trPr>
          <w:cantSplit/>
        </w:trPr>
        <w:tc>
          <w:tcPr>
            <w:tcW w:w="9640" w:type="dxa"/>
            <w:gridSpan w:val="2"/>
            <w:tcBorders>
              <w:top w:val="single" w:sz="4" w:space="0" w:color="auto"/>
              <w:bottom w:val="single" w:sz="4" w:space="0" w:color="auto"/>
            </w:tcBorders>
            <w:tcMar>
              <w:left w:w="0" w:type="dxa"/>
            </w:tcMar>
          </w:tcPr>
          <w:p w14:paraId="5CE8DAD4" w14:textId="0802C88B" w:rsidR="006B6174" w:rsidRPr="005A0841" w:rsidRDefault="006B6174" w:rsidP="004C0B0D">
            <w:pPr>
              <w:tabs>
                <w:tab w:val="left" w:pos="4497"/>
              </w:tabs>
              <w:spacing w:before="160" w:after="120"/>
              <w:rPr>
                <w:b/>
                <w:bCs/>
                <w:sz w:val="26"/>
                <w:szCs w:val="26"/>
                <w:lang w:val="fr-FR"/>
              </w:rPr>
            </w:pPr>
            <w:r w:rsidRPr="005A0841">
              <w:rPr>
                <w:b/>
                <w:bCs/>
                <w:sz w:val="26"/>
                <w:szCs w:val="26"/>
                <w:lang w:val="fr-FR"/>
              </w:rPr>
              <w:t xml:space="preserve">Contact: </w:t>
            </w:r>
            <w:r w:rsidRPr="005A0841">
              <w:rPr>
                <w:sz w:val="26"/>
                <w:szCs w:val="26"/>
                <w:lang w:val="fr-FR"/>
              </w:rPr>
              <w:t>Jean Manuel Canet</w:t>
            </w:r>
            <w:r w:rsidRPr="005A0841">
              <w:rPr>
                <w:b/>
                <w:bCs/>
                <w:sz w:val="26"/>
                <w:szCs w:val="26"/>
                <w:lang w:val="fr-FR"/>
              </w:rPr>
              <w:t xml:space="preserve"> </w:t>
            </w:r>
            <w:r w:rsidRPr="005A0841">
              <w:rPr>
                <w:b/>
                <w:bCs/>
                <w:sz w:val="26"/>
                <w:szCs w:val="26"/>
                <w:lang w:val="fr-FR"/>
              </w:rPr>
              <w:tab/>
              <w:t xml:space="preserve">E-mail: </w:t>
            </w:r>
            <w:r w:rsidR="000B4653" w:rsidRPr="005A0841">
              <w:rPr>
                <w:lang w:val="fr-FR"/>
              </w:rPr>
              <w:t xml:space="preserve"> </w:t>
            </w:r>
            <w:hyperlink r:id="rId12" w:history="1">
              <w:r w:rsidR="000B4653" w:rsidRPr="005A0841">
                <w:rPr>
                  <w:rStyle w:val="Hyperlink"/>
                  <w:sz w:val="26"/>
                  <w:szCs w:val="26"/>
                  <w:lang w:val="fr-FR"/>
                </w:rPr>
                <w:t>jean-manuel.canet@orange.com</w:t>
              </w:r>
            </w:hyperlink>
            <w:r w:rsidR="000B4653" w:rsidRPr="005A0841">
              <w:rPr>
                <w:b/>
                <w:bCs/>
                <w:sz w:val="26"/>
                <w:szCs w:val="26"/>
                <w:lang w:val="fr-FR"/>
              </w:rPr>
              <w:t xml:space="preserve"> </w:t>
            </w:r>
          </w:p>
        </w:tc>
      </w:tr>
    </w:tbl>
    <w:p w14:paraId="469525C2" w14:textId="77777777" w:rsidR="00E227F3" w:rsidRPr="005A0841" w:rsidRDefault="00E227F3">
      <w:pPr>
        <w:tabs>
          <w:tab w:val="clear" w:pos="567"/>
          <w:tab w:val="clear" w:pos="1134"/>
          <w:tab w:val="clear" w:pos="1701"/>
          <w:tab w:val="clear" w:pos="2268"/>
          <w:tab w:val="clear" w:pos="2835"/>
        </w:tabs>
        <w:overflowPunct/>
        <w:autoSpaceDE/>
        <w:autoSpaceDN/>
        <w:adjustRightInd/>
        <w:spacing w:before="0"/>
        <w:textAlignment w:val="auto"/>
        <w:rPr>
          <w:lang w:val="fr-FR"/>
        </w:rPr>
      </w:pPr>
      <w:bookmarkStart w:id="10" w:name="_Hlk133421428"/>
      <w:bookmarkEnd w:id="2"/>
      <w:bookmarkEnd w:id="9"/>
    </w:p>
    <w:bookmarkEnd w:id="3"/>
    <w:bookmarkEnd w:id="4"/>
    <w:bookmarkEnd w:id="5"/>
    <w:bookmarkEnd w:id="10"/>
    <w:p w14:paraId="582160DA" w14:textId="055B0E2D" w:rsidR="005241E0" w:rsidRPr="005A0841" w:rsidRDefault="00806D26" w:rsidP="005A0841">
      <w:pPr>
        <w:jc w:val="both"/>
        <w:rPr>
          <w:rFonts w:asciiTheme="minorHAnsi" w:hAnsiTheme="minorHAnsi" w:cstheme="minorHAnsi"/>
          <w:szCs w:val="24"/>
        </w:rPr>
      </w:pPr>
      <w:r w:rsidRPr="005A0841">
        <w:rPr>
          <w:rFonts w:asciiTheme="minorHAnsi" w:hAnsiTheme="minorHAnsi" w:cstheme="minorHAnsi"/>
          <w:szCs w:val="24"/>
        </w:rPr>
        <w:t>Please find below information on ongoing ITU-T SG5 activities related to the environmental efficiency of ICT and ICT solutions.</w:t>
      </w:r>
    </w:p>
    <w:p w14:paraId="42143AA9" w14:textId="77777777" w:rsidR="00E864BD" w:rsidRPr="005A0841" w:rsidRDefault="00E864BD" w:rsidP="005A0841">
      <w:pPr>
        <w:jc w:val="both"/>
        <w:rPr>
          <w:rFonts w:cstheme="minorHAnsi"/>
          <w:b/>
          <w:bCs/>
          <w:szCs w:val="24"/>
        </w:rPr>
      </w:pPr>
      <w:r w:rsidRPr="005A0841">
        <w:rPr>
          <w:rFonts w:cstheme="minorHAnsi"/>
          <w:b/>
          <w:bCs/>
          <w:szCs w:val="24"/>
        </w:rPr>
        <w:t>ITU-T work on the development of a methodology for the database on the ICT sector at the worldwide level</w:t>
      </w:r>
    </w:p>
    <w:p w14:paraId="1D1B4861" w14:textId="77777777" w:rsidR="00E864BD" w:rsidRPr="005A0841" w:rsidRDefault="00E864BD" w:rsidP="005A0841">
      <w:pPr>
        <w:jc w:val="both"/>
        <w:rPr>
          <w:rFonts w:asciiTheme="minorHAnsi" w:hAnsiTheme="minorHAnsi" w:cstheme="minorHAnsi"/>
          <w:szCs w:val="24"/>
        </w:rPr>
      </w:pPr>
      <w:r w:rsidRPr="005A0841">
        <w:rPr>
          <w:rFonts w:asciiTheme="minorHAnsi" w:hAnsiTheme="minorHAnsi" w:cstheme="minorHAnsi"/>
          <w:szCs w:val="24"/>
        </w:rPr>
        <w:t>ITU-T SG5 developed Recommendation ITU-T L.1472 on Requirements for the creation of a database on energy consumption and GHG emissions of the ICT sector which was consented on 21 June 2024.</w:t>
      </w:r>
    </w:p>
    <w:p w14:paraId="6BF05268" w14:textId="2FA255E2" w:rsidR="00E864BD" w:rsidRPr="005A0841" w:rsidRDefault="00700778" w:rsidP="005A0841">
      <w:pPr>
        <w:jc w:val="both"/>
        <w:rPr>
          <w:rFonts w:asciiTheme="minorHAnsi" w:hAnsiTheme="minorHAnsi" w:cstheme="minorHAnsi"/>
          <w:szCs w:val="24"/>
        </w:rPr>
      </w:pPr>
      <w:r w:rsidRPr="005A0841">
        <w:rPr>
          <w:rFonts w:asciiTheme="minorHAnsi" w:hAnsiTheme="minorHAnsi" w:cstheme="minorHAnsi"/>
          <w:szCs w:val="24"/>
        </w:rPr>
        <w:t>During the Last Call period, comments were received recommending that a pilot be carried out to assess the feasibility of the data categories proposed in the Recommendation. In response, a pilot project was conducted in 2025. The main information and results are summarized below.</w:t>
      </w:r>
    </w:p>
    <w:p w14:paraId="09897224" w14:textId="680EE441" w:rsidR="00E864BD" w:rsidRPr="005A0841" w:rsidRDefault="00E864BD" w:rsidP="005A0841">
      <w:pPr>
        <w:jc w:val="both"/>
        <w:rPr>
          <w:rFonts w:cstheme="minorHAnsi"/>
          <w:b/>
          <w:bCs/>
          <w:szCs w:val="24"/>
        </w:rPr>
      </w:pPr>
      <w:r w:rsidRPr="005A0841">
        <w:rPr>
          <w:rFonts w:cstheme="minorHAnsi"/>
          <w:b/>
          <w:bCs/>
          <w:szCs w:val="24"/>
        </w:rPr>
        <w:t>Participating companies</w:t>
      </w:r>
    </w:p>
    <w:p w14:paraId="78EC87F2" w14:textId="3C7AF0C1" w:rsidR="00E864BD" w:rsidRPr="005A0841" w:rsidRDefault="00A420D2" w:rsidP="005A0841">
      <w:pPr>
        <w:pStyle w:val="ListParagraph"/>
        <w:numPr>
          <w:ilvl w:val="0"/>
          <w:numId w:val="3"/>
        </w:numPr>
        <w:jc w:val="both"/>
        <w:rPr>
          <w:rFonts w:cstheme="minorHAnsi"/>
          <w:sz w:val="24"/>
          <w:szCs w:val="24"/>
        </w:rPr>
      </w:pPr>
      <w:r w:rsidRPr="005A0841">
        <w:rPr>
          <w:rFonts w:cstheme="minorHAnsi"/>
          <w:sz w:val="24"/>
          <w:szCs w:val="24"/>
        </w:rPr>
        <w:t xml:space="preserve">A total of </w:t>
      </w:r>
      <w:r w:rsidR="00E864BD" w:rsidRPr="005A0841">
        <w:rPr>
          <w:rFonts w:cstheme="minorHAnsi"/>
          <w:sz w:val="24"/>
          <w:szCs w:val="24"/>
        </w:rPr>
        <w:t>13 companies agreed to participate in the pilot:</w:t>
      </w:r>
    </w:p>
    <w:p w14:paraId="1DC3462B" w14:textId="77777777" w:rsidR="006B6174" w:rsidRPr="005A0841" w:rsidRDefault="006B6174" w:rsidP="005A0841">
      <w:pPr>
        <w:pStyle w:val="ListParagraph"/>
        <w:numPr>
          <w:ilvl w:val="1"/>
          <w:numId w:val="3"/>
        </w:numPr>
        <w:jc w:val="both"/>
        <w:rPr>
          <w:rFonts w:cstheme="minorHAnsi"/>
          <w:sz w:val="24"/>
          <w:szCs w:val="24"/>
        </w:rPr>
        <w:sectPr w:rsidR="006B6174" w:rsidRPr="005A0841"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pPr>
    </w:p>
    <w:p w14:paraId="252849F3"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sz w:val="24"/>
          <w:szCs w:val="24"/>
        </w:rPr>
        <w:t>Nokia</w:t>
      </w:r>
    </w:p>
    <w:p w14:paraId="15A9ACA6"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sz w:val="24"/>
          <w:szCs w:val="24"/>
        </w:rPr>
        <w:t xml:space="preserve">Ericsson </w:t>
      </w:r>
    </w:p>
    <w:p w14:paraId="295106B7"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sz w:val="24"/>
          <w:szCs w:val="24"/>
        </w:rPr>
        <w:t>Cisco</w:t>
      </w:r>
    </w:p>
    <w:p w14:paraId="247B6CFB"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sz w:val="24"/>
          <w:szCs w:val="24"/>
        </w:rPr>
        <w:t xml:space="preserve">Fortinet </w:t>
      </w:r>
    </w:p>
    <w:p w14:paraId="2E108C23"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sz w:val="24"/>
          <w:szCs w:val="24"/>
        </w:rPr>
        <w:t>American Tower</w:t>
      </w:r>
    </w:p>
    <w:p w14:paraId="4BDCE1F9"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sz w:val="24"/>
          <w:szCs w:val="24"/>
        </w:rPr>
        <w:t>Orange</w:t>
      </w:r>
    </w:p>
    <w:p w14:paraId="73D5DD54"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sz w:val="24"/>
          <w:szCs w:val="24"/>
        </w:rPr>
        <w:t>Deutsche Telekom (was interviewed but did not provide data)</w:t>
      </w:r>
    </w:p>
    <w:p w14:paraId="6E98D17B"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sz w:val="24"/>
          <w:szCs w:val="24"/>
        </w:rPr>
        <w:t>NTT</w:t>
      </w:r>
    </w:p>
    <w:p w14:paraId="77A94029" w14:textId="77777777" w:rsidR="00E864BD" w:rsidRPr="005A0841" w:rsidRDefault="00E864BD" w:rsidP="005A0841">
      <w:pPr>
        <w:pStyle w:val="ListParagraph"/>
        <w:numPr>
          <w:ilvl w:val="1"/>
          <w:numId w:val="3"/>
        </w:numPr>
        <w:jc w:val="both"/>
        <w:rPr>
          <w:rFonts w:cstheme="minorHAnsi"/>
          <w:sz w:val="24"/>
          <w:szCs w:val="24"/>
        </w:rPr>
      </w:pPr>
      <w:proofErr w:type="spellStart"/>
      <w:r w:rsidRPr="005A0841">
        <w:rPr>
          <w:rFonts w:cstheme="minorHAnsi"/>
          <w:sz w:val="24"/>
          <w:szCs w:val="24"/>
        </w:rPr>
        <w:t>Türksat</w:t>
      </w:r>
      <w:proofErr w:type="spellEnd"/>
    </w:p>
    <w:p w14:paraId="330F5510"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sz w:val="24"/>
          <w:szCs w:val="24"/>
        </w:rPr>
        <w:t xml:space="preserve">Telefonica </w:t>
      </w:r>
    </w:p>
    <w:p w14:paraId="6E3F1D81" w14:textId="77777777" w:rsidR="00E864BD" w:rsidRPr="005A0841" w:rsidRDefault="00E864BD" w:rsidP="005A0841">
      <w:pPr>
        <w:pStyle w:val="ListParagraph"/>
        <w:numPr>
          <w:ilvl w:val="1"/>
          <w:numId w:val="3"/>
        </w:numPr>
        <w:jc w:val="both"/>
        <w:rPr>
          <w:rFonts w:cstheme="minorHAnsi"/>
          <w:sz w:val="24"/>
          <w:szCs w:val="24"/>
        </w:rPr>
      </w:pPr>
      <w:proofErr w:type="spellStart"/>
      <w:r w:rsidRPr="005A0841">
        <w:rPr>
          <w:rFonts w:cstheme="minorHAnsi"/>
          <w:sz w:val="24"/>
          <w:szCs w:val="24"/>
        </w:rPr>
        <w:t>Eurofiber</w:t>
      </w:r>
      <w:proofErr w:type="spellEnd"/>
    </w:p>
    <w:p w14:paraId="065BBDC6"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sz w:val="24"/>
          <w:szCs w:val="24"/>
        </w:rPr>
        <w:t>Africa Data Centre</w:t>
      </w:r>
    </w:p>
    <w:p w14:paraId="088C1B97"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sz w:val="24"/>
          <w:szCs w:val="24"/>
        </w:rPr>
        <w:t>SAP</w:t>
      </w:r>
    </w:p>
    <w:p w14:paraId="67679258" w14:textId="77777777" w:rsidR="006B6174" w:rsidRPr="005A0841" w:rsidRDefault="006B6174" w:rsidP="005A0841">
      <w:pPr>
        <w:pStyle w:val="ListParagraph"/>
        <w:numPr>
          <w:ilvl w:val="1"/>
          <w:numId w:val="5"/>
        </w:numPr>
        <w:jc w:val="both"/>
        <w:rPr>
          <w:rFonts w:cstheme="minorHAnsi"/>
          <w:b/>
          <w:bCs/>
          <w:sz w:val="24"/>
          <w:szCs w:val="24"/>
        </w:rPr>
        <w:sectPr w:rsidR="006B6174" w:rsidRPr="005A0841" w:rsidSect="006B6174">
          <w:type w:val="continuous"/>
          <w:pgSz w:w="11907" w:h="16834"/>
          <w:pgMar w:top="1418" w:right="1418" w:bottom="1418" w:left="1418" w:header="720" w:footer="720" w:gutter="0"/>
          <w:paperSrc w:first="286" w:other="286"/>
          <w:cols w:num="2" w:space="720"/>
          <w:titlePg/>
        </w:sectPr>
      </w:pPr>
    </w:p>
    <w:p w14:paraId="020B2E5A" w14:textId="1D46FC68" w:rsidR="00E864BD" w:rsidRPr="005A0841" w:rsidRDefault="00E864BD" w:rsidP="005A0841">
      <w:pPr>
        <w:jc w:val="both"/>
        <w:rPr>
          <w:rFonts w:asciiTheme="minorHAnsi" w:hAnsiTheme="minorHAnsi" w:cstheme="minorHAnsi"/>
          <w:b/>
          <w:bCs/>
          <w:szCs w:val="24"/>
        </w:rPr>
      </w:pPr>
      <w:r w:rsidRPr="005A0841">
        <w:rPr>
          <w:rFonts w:asciiTheme="minorHAnsi" w:hAnsiTheme="minorHAnsi" w:cstheme="minorHAnsi"/>
          <w:b/>
          <w:bCs/>
          <w:szCs w:val="24"/>
        </w:rPr>
        <w:lastRenderedPageBreak/>
        <w:t>General findings:</w:t>
      </w:r>
    </w:p>
    <w:p w14:paraId="761C375B" w14:textId="33085D27" w:rsidR="008217BC" w:rsidRPr="005A0841" w:rsidRDefault="008217BC" w:rsidP="005A0841">
      <w:pPr>
        <w:pStyle w:val="ListParagraph"/>
        <w:numPr>
          <w:ilvl w:val="0"/>
          <w:numId w:val="3"/>
        </w:numPr>
        <w:jc w:val="both"/>
        <w:rPr>
          <w:rFonts w:cstheme="minorHAnsi"/>
          <w:sz w:val="24"/>
          <w:szCs w:val="24"/>
        </w:rPr>
      </w:pPr>
      <w:r w:rsidRPr="005A0841">
        <w:rPr>
          <w:rFonts w:cstheme="minorHAnsi"/>
          <w:sz w:val="24"/>
          <w:szCs w:val="24"/>
        </w:rPr>
        <w:t xml:space="preserve">Further improvement is needed in the segmentation of ICT subsectors. </w:t>
      </w:r>
    </w:p>
    <w:p w14:paraId="33849F03" w14:textId="4C82EF01" w:rsidR="008217BC" w:rsidRPr="005A0841" w:rsidRDefault="008217BC" w:rsidP="005A0841">
      <w:pPr>
        <w:pStyle w:val="ListParagraph"/>
        <w:numPr>
          <w:ilvl w:val="0"/>
          <w:numId w:val="3"/>
        </w:numPr>
        <w:jc w:val="both"/>
        <w:rPr>
          <w:rFonts w:cstheme="minorHAnsi"/>
          <w:sz w:val="24"/>
          <w:szCs w:val="24"/>
        </w:rPr>
      </w:pPr>
      <w:r w:rsidRPr="005A0841">
        <w:rPr>
          <w:rFonts w:cstheme="minorHAnsi"/>
          <w:sz w:val="24"/>
          <w:szCs w:val="24"/>
        </w:rPr>
        <w:t xml:space="preserve">The current version of the Recommendation appears to be more targeted towards telecom operators. </w:t>
      </w:r>
    </w:p>
    <w:p w14:paraId="01D500CC" w14:textId="4DBD8A1A" w:rsidR="008217BC" w:rsidRPr="005A0841" w:rsidRDefault="008217BC" w:rsidP="005A0841">
      <w:pPr>
        <w:pStyle w:val="ListParagraph"/>
        <w:numPr>
          <w:ilvl w:val="0"/>
          <w:numId w:val="3"/>
        </w:numPr>
        <w:jc w:val="both"/>
        <w:rPr>
          <w:rFonts w:cstheme="minorHAnsi"/>
          <w:sz w:val="24"/>
          <w:szCs w:val="24"/>
        </w:rPr>
      </w:pPr>
      <w:r w:rsidRPr="005A0841">
        <w:rPr>
          <w:rFonts w:cstheme="minorHAnsi"/>
          <w:sz w:val="24"/>
          <w:szCs w:val="24"/>
        </w:rPr>
        <w:t xml:space="preserve">Some of the requested information is considered confidential and companies are not always willing to share it. </w:t>
      </w:r>
    </w:p>
    <w:p w14:paraId="5D09BBB4" w14:textId="4ED83DDA" w:rsidR="008217BC" w:rsidRPr="005A0841" w:rsidRDefault="008217BC" w:rsidP="005A0841">
      <w:pPr>
        <w:pStyle w:val="ListParagraph"/>
        <w:numPr>
          <w:ilvl w:val="0"/>
          <w:numId w:val="3"/>
        </w:numPr>
        <w:jc w:val="both"/>
        <w:rPr>
          <w:rFonts w:cstheme="minorHAnsi"/>
          <w:sz w:val="24"/>
          <w:szCs w:val="24"/>
        </w:rPr>
      </w:pPr>
      <w:r w:rsidRPr="005A0841">
        <w:rPr>
          <w:rFonts w:cstheme="minorHAnsi"/>
          <w:sz w:val="24"/>
          <w:szCs w:val="24"/>
        </w:rPr>
        <w:t>Greater clarity is needed in the definition of certain data categories.</w:t>
      </w:r>
    </w:p>
    <w:p w14:paraId="52A92343" w14:textId="488CCFB9" w:rsidR="00E864BD" w:rsidRPr="005A0841" w:rsidRDefault="00E864BD" w:rsidP="005A0841">
      <w:pPr>
        <w:pStyle w:val="ListParagraph"/>
        <w:numPr>
          <w:ilvl w:val="0"/>
          <w:numId w:val="3"/>
        </w:numPr>
        <w:jc w:val="both"/>
        <w:rPr>
          <w:rFonts w:cstheme="minorHAnsi"/>
          <w:sz w:val="24"/>
          <w:szCs w:val="24"/>
        </w:rPr>
      </w:pPr>
      <w:r w:rsidRPr="005A0841">
        <w:rPr>
          <w:rFonts w:cstheme="minorHAnsi"/>
          <w:sz w:val="24"/>
          <w:szCs w:val="24"/>
        </w:rPr>
        <w:t>The three factors that most influenced the information shared were:</w:t>
      </w:r>
    </w:p>
    <w:p w14:paraId="3DBAB5A1"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b/>
          <w:bCs/>
          <w:sz w:val="24"/>
          <w:szCs w:val="24"/>
        </w:rPr>
        <w:t xml:space="preserve">Geography: </w:t>
      </w:r>
      <w:r w:rsidRPr="005A0841">
        <w:rPr>
          <w:rFonts w:cstheme="minorHAnsi"/>
          <w:sz w:val="24"/>
          <w:szCs w:val="24"/>
        </w:rPr>
        <w:t>In countries with no or limited national reporting policies, companies tend to provide less information.</w:t>
      </w:r>
    </w:p>
    <w:p w14:paraId="3ED6B7BB"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b/>
          <w:bCs/>
          <w:sz w:val="24"/>
          <w:szCs w:val="24"/>
        </w:rPr>
        <w:t xml:space="preserve">Size: </w:t>
      </w:r>
      <w:r w:rsidRPr="005A0841">
        <w:rPr>
          <w:rFonts w:cstheme="minorHAnsi"/>
          <w:sz w:val="24"/>
          <w:szCs w:val="24"/>
        </w:rPr>
        <w:t>Larger companies generally report a higher number of data points.</w:t>
      </w:r>
    </w:p>
    <w:p w14:paraId="4E535D65" w14:textId="77777777" w:rsidR="00E864BD" w:rsidRPr="005A0841" w:rsidRDefault="00E864BD" w:rsidP="005A0841">
      <w:pPr>
        <w:pStyle w:val="ListParagraph"/>
        <w:numPr>
          <w:ilvl w:val="1"/>
          <w:numId w:val="3"/>
        </w:numPr>
        <w:jc w:val="both"/>
        <w:rPr>
          <w:rFonts w:cstheme="minorHAnsi"/>
          <w:sz w:val="24"/>
          <w:szCs w:val="24"/>
        </w:rPr>
      </w:pPr>
      <w:r w:rsidRPr="005A0841">
        <w:rPr>
          <w:rFonts w:cstheme="minorHAnsi"/>
          <w:b/>
          <w:bCs/>
          <w:sz w:val="24"/>
          <w:szCs w:val="24"/>
        </w:rPr>
        <w:t>Sector (Telco):</w:t>
      </w:r>
      <w:r w:rsidRPr="005A0841">
        <w:rPr>
          <w:rFonts w:cstheme="minorHAnsi"/>
          <w:sz w:val="24"/>
          <w:szCs w:val="24"/>
        </w:rPr>
        <w:t xml:space="preserve"> Higher reporting levels were observed among telecom operators, reflecting more mature assessment and disclosure practices; future refinements of the Recommendation will support broader applicability across the full ICT sector.</w:t>
      </w:r>
    </w:p>
    <w:p w14:paraId="78BB69A3" w14:textId="0E550AE3" w:rsidR="0036350F" w:rsidRPr="005A0841" w:rsidRDefault="0036350F" w:rsidP="005A0841">
      <w:pPr>
        <w:keepNext/>
        <w:keepLines/>
        <w:jc w:val="both"/>
        <w:rPr>
          <w:rFonts w:asciiTheme="minorHAnsi" w:hAnsiTheme="minorHAnsi" w:cstheme="minorHAnsi"/>
          <w:szCs w:val="24"/>
        </w:rPr>
      </w:pPr>
      <w:r w:rsidRPr="005A0841">
        <w:rPr>
          <w:rFonts w:asciiTheme="minorHAnsi" w:hAnsiTheme="minorHAnsi" w:cstheme="minorHAnsi"/>
          <w:szCs w:val="24"/>
        </w:rPr>
        <w:t xml:space="preserve">Q9/5 experts will revise draft </w:t>
      </w:r>
      <w:r w:rsidR="008217BC" w:rsidRPr="005A0841">
        <w:rPr>
          <w:rFonts w:asciiTheme="minorHAnsi" w:hAnsiTheme="minorHAnsi" w:cstheme="minorHAnsi"/>
          <w:szCs w:val="24"/>
        </w:rPr>
        <w:t xml:space="preserve">Recommendation ITU-T </w:t>
      </w:r>
      <w:r w:rsidRPr="005A0841">
        <w:rPr>
          <w:rFonts w:asciiTheme="minorHAnsi" w:hAnsiTheme="minorHAnsi" w:cstheme="minorHAnsi"/>
          <w:szCs w:val="24"/>
        </w:rPr>
        <w:t xml:space="preserve">L.1472 based on the comments received </w:t>
      </w:r>
      <w:r w:rsidR="00961EC3" w:rsidRPr="005A0841">
        <w:rPr>
          <w:rFonts w:asciiTheme="minorHAnsi" w:hAnsiTheme="minorHAnsi" w:cstheme="minorHAnsi"/>
          <w:szCs w:val="24"/>
        </w:rPr>
        <w:t>according to the following proposed timeline:</w:t>
      </w:r>
    </w:p>
    <w:p w14:paraId="48D09976" w14:textId="27EFE4AA" w:rsidR="0036350F" w:rsidRPr="005A0841" w:rsidRDefault="0036350F" w:rsidP="005A0841">
      <w:pPr>
        <w:pStyle w:val="ListParagraph"/>
        <w:numPr>
          <w:ilvl w:val="0"/>
          <w:numId w:val="6"/>
        </w:numPr>
        <w:jc w:val="both"/>
        <w:rPr>
          <w:rFonts w:cstheme="minorHAnsi"/>
          <w:sz w:val="24"/>
          <w:szCs w:val="24"/>
        </w:rPr>
      </w:pPr>
      <w:r w:rsidRPr="005A0841">
        <w:rPr>
          <w:rFonts w:cstheme="minorHAnsi"/>
          <w:b/>
          <w:bCs/>
          <w:sz w:val="24"/>
          <w:szCs w:val="24"/>
        </w:rPr>
        <w:t>April</w:t>
      </w:r>
      <w:r w:rsidR="00961EC3" w:rsidRPr="005A0841">
        <w:rPr>
          <w:rFonts w:cstheme="minorHAnsi"/>
          <w:b/>
          <w:bCs/>
          <w:sz w:val="24"/>
          <w:szCs w:val="24"/>
        </w:rPr>
        <w:t xml:space="preserve"> 2026</w:t>
      </w:r>
      <w:r w:rsidRPr="005A0841">
        <w:rPr>
          <w:rFonts w:cstheme="minorHAnsi"/>
          <w:sz w:val="24"/>
          <w:szCs w:val="24"/>
        </w:rPr>
        <w:t>: Q9/5 e-meetings to address the comments received</w:t>
      </w:r>
    </w:p>
    <w:p w14:paraId="059C1877" w14:textId="733EEFDB" w:rsidR="0036350F" w:rsidRPr="005A0841" w:rsidRDefault="0036350F" w:rsidP="005A0841">
      <w:pPr>
        <w:pStyle w:val="ListParagraph"/>
        <w:numPr>
          <w:ilvl w:val="0"/>
          <w:numId w:val="6"/>
        </w:numPr>
        <w:jc w:val="both"/>
        <w:rPr>
          <w:rFonts w:cstheme="minorHAnsi"/>
          <w:sz w:val="24"/>
          <w:szCs w:val="24"/>
        </w:rPr>
      </w:pPr>
      <w:r w:rsidRPr="005A0841">
        <w:rPr>
          <w:rFonts w:cstheme="minorHAnsi"/>
          <w:b/>
          <w:bCs/>
          <w:sz w:val="24"/>
          <w:szCs w:val="24"/>
        </w:rPr>
        <w:t xml:space="preserve">End </w:t>
      </w:r>
      <w:r w:rsidR="00961EC3" w:rsidRPr="005A0841">
        <w:rPr>
          <w:rFonts w:cstheme="minorHAnsi"/>
          <w:b/>
          <w:bCs/>
          <w:sz w:val="24"/>
          <w:szCs w:val="24"/>
        </w:rPr>
        <w:t xml:space="preserve">of </w:t>
      </w:r>
      <w:r w:rsidRPr="005A0841">
        <w:rPr>
          <w:rFonts w:cstheme="minorHAnsi"/>
          <w:b/>
          <w:bCs/>
          <w:sz w:val="24"/>
          <w:szCs w:val="24"/>
        </w:rPr>
        <w:t>May 2026</w:t>
      </w:r>
      <w:r w:rsidRPr="005A0841">
        <w:rPr>
          <w:rFonts w:cstheme="minorHAnsi"/>
          <w:sz w:val="24"/>
          <w:szCs w:val="24"/>
        </w:rPr>
        <w:t xml:space="preserve">: Submission of Additional review text for the AAP (AR comments are for three weeks approx. </w:t>
      </w:r>
    </w:p>
    <w:p w14:paraId="5063437A" w14:textId="3E5DED43" w:rsidR="0036350F" w:rsidRPr="005A0841" w:rsidRDefault="0036350F" w:rsidP="005A0841">
      <w:pPr>
        <w:pStyle w:val="ListParagraph"/>
        <w:numPr>
          <w:ilvl w:val="0"/>
          <w:numId w:val="6"/>
        </w:numPr>
        <w:jc w:val="both"/>
        <w:rPr>
          <w:rFonts w:cstheme="minorHAnsi"/>
          <w:sz w:val="24"/>
          <w:szCs w:val="24"/>
        </w:rPr>
      </w:pPr>
      <w:r w:rsidRPr="005A0841">
        <w:rPr>
          <w:rFonts w:cstheme="minorHAnsi"/>
          <w:b/>
          <w:bCs/>
          <w:sz w:val="24"/>
          <w:szCs w:val="24"/>
        </w:rPr>
        <w:t>June/July 2026</w:t>
      </w:r>
      <w:r w:rsidRPr="005A0841">
        <w:rPr>
          <w:rFonts w:cstheme="minorHAnsi"/>
          <w:sz w:val="24"/>
          <w:szCs w:val="24"/>
        </w:rPr>
        <w:t xml:space="preserve">: Approval of the Recommendation if no comments are received. </w:t>
      </w:r>
    </w:p>
    <w:p w14:paraId="1D3068F3" w14:textId="77777777" w:rsidR="00C44375" w:rsidRPr="005A0841" w:rsidRDefault="0036350F" w:rsidP="005A0841">
      <w:pPr>
        <w:jc w:val="both"/>
        <w:rPr>
          <w:rFonts w:asciiTheme="minorHAnsi" w:hAnsiTheme="minorHAnsi" w:cstheme="minorHAnsi"/>
          <w:szCs w:val="24"/>
        </w:rPr>
      </w:pPr>
      <w:r w:rsidRPr="005A0841">
        <w:rPr>
          <w:rFonts w:asciiTheme="minorHAnsi" w:hAnsiTheme="minorHAnsi" w:cstheme="minorHAnsi"/>
          <w:b/>
          <w:bCs/>
          <w:szCs w:val="24"/>
        </w:rPr>
        <w:t>Call for contributions:</w:t>
      </w:r>
      <w:r w:rsidRPr="005A0841">
        <w:rPr>
          <w:rFonts w:asciiTheme="minorHAnsi" w:hAnsiTheme="minorHAnsi" w:cstheme="minorHAnsi"/>
          <w:szCs w:val="24"/>
        </w:rPr>
        <w:t xml:space="preserve"> </w:t>
      </w:r>
      <w:r w:rsidR="00C44375" w:rsidRPr="005A0841">
        <w:rPr>
          <w:rFonts w:asciiTheme="minorHAnsi" w:hAnsiTheme="minorHAnsi" w:cstheme="minorHAnsi"/>
          <w:szCs w:val="24"/>
        </w:rPr>
        <w:t>Experts are invited to participate in the discussions on the revision of the Recommendation.</w:t>
      </w:r>
    </w:p>
    <w:p w14:paraId="138D78F8" w14:textId="2FD43869" w:rsidR="005241E0" w:rsidRPr="005A0841" w:rsidRDefault="00E864BD" w:rsidP="005A0841">
      <w:pPr>
        <w:jc w:val="both"/>
        <w:rPr>
          <w:rFonts w:asciiTheme="minorHAnsi" w:hAnsiTheme="minorHAnsi" w:cstheme="minorHAnsi"/>
          <w:b/>
          <w:bCs/>
          <w:szCs w:val="24"/>
        </w:rPr>
      </w:pPr>
      <w:r w:rsidRPr="005A0841">
        <w:rPr>
          <w:rFonts w:asciiTheme="minorHAnsi" w:hAnsiTheme="minorHAnsi" w:cstheme="minorHAnsi"/>
          <w:b/>
          <w:bCs/>
          <w:szCs w:val="24"/>
        </w:rPr>
        <w:t xml:space="preserve">Approval of ITU-T L.1801 </w:t>
      </w:r>
      <w:r w:rsidR="006B6174" w:rsidRPr="005A0841">
        <w:rPr>
          <w:rFonts w:asciiTheme="minorHAnsi" w:hAnsiTheme="minorHAnsi" w:cstheme="minorHAnsi"/>
          <w:b/>
          <w:bCs/>
          <w:szCs w:val="24"/>
        </w:rPr>
        <w:t>(02/2026) – “Guidelines for assessing the environmental impact of artificial intelligence systems”</w:t>
      </w:r>
    </w:p>
    <w:p w14:paraId="14E528A3" w14:textId="68AC11AF" w:rsidR="00E864BD" w:rsidRPr="005A0841" w:rsidRDefault="006B6174" w:rsidP="005A0841">
      <w:pPr>
        <w:jc w:val="both"/>
        <w:rPr>
          <w:rFonts w:asciiTheme="minorHAnsi" w:hAnsiTheme="minorHAnsi" w:cstheme="minorHAnsi"/>
          <w:szCs w:val="24"/>
          <w:lang w:val="en-US"/>
        </w:rPr>
      </w:pPr>
      <w:r w:rsidRPr="005A0841">
        <w:rPr>
          <w:rFonts w:asciiTheme="minorHAnsi" w:hAnsiTheme="minorHAnsi" w:cstheme="minorHAnsi"/>
          <w:szCs w:val="24"/>
        </w:rPr>
        <w:t>ITU-T L.1801 was d</w:t>
      </w:r>
      <w:r w:rsidR="00E864BD" w:rsidRPr="005A0841">
        <w:rPr>
          <w:rFonts w:asciiTheme="minorHAnsi" w:hAnsiTheme="minorHAnsi" w:cstheme="minorHAnsi"/>
          <w:szCs w:val="24"/>
        </w:rPr>
        <w:t>eveloped jointly by ITU-T SG5 and ETSI</w:t>
      </w:r>
      <w:r w:rsidRPr="005A0841">
        <w:rPr>
          <w:rFonts w:asciiTheme="minorHAnsi" w:hAnsiTheme="minorHAnsi" w:cstheme="minorHAnsi"/>
          <w:szCs w:val="24"/>
        </w:rPr>
        <w:t xml:space="preserve"> and is available </w:t>
      </w:r>
      <w:hyperlink r:id="rId16" w:history="1">
        <w:r w:rsidRPr="005A0841">
          <w:rPr>
            <w:rStyle w:val="Hyperlink"/>
            <w:rFonts w:asciiTheme="minorHAnsi" w:hAnsiTheme="minorHAnsi" w:cstheme="minorHAnsi"/>
            <w:szCs w:val="24"/>
          </w:rPr>
          <w:t>here</w:t>
        </w:r>
      </w:hyperlink>
      <w:r w:rsidRPr="005A0841">
        <w:rPr>
          <w:rFonts w:asciiTheme="minorHAnsi" w:hAnsiTheme="minorHAnsi" w:cstheme="minorHAnsi"/>
          <w:szCs w:val="24"/>
        </w:rPr>
        <w:t>.</w:t>
      </w:r>
      <w:r w:rsidR="00E864BD" w:rsidRPr="005A0841">
        <w:rPr>
          <w:rFonts w:asciiTheme="minorHAnsi" w:hAnsiTheme="minorHAnsi" w:cstheme="minorHAnsi"/>
          <w:szCs w:val="24"/>
        </w:rPr>
        <w:t xml:space="preserve"> </w:t>
      </w:r>
      <w:r w:rsidRPr="005A0841">
        <w:rPr>
          <w:rFonts w:asciiTheme="minorHAnsi" w:hAnsiTheme="minorHAnsi" w:cstheme="minorHAnsi"/>
          <w:szCs w:val="24"/>
        </w:rPr>
        <w:t>T</w:t>
      </w:r>
      <w:r w:rsidR="00E864BD" w:rsidRPr="005A0841">
        <w:rPr>
          <w:rFonts w:asciiTheme="minorHAnsi" w:hAnsiTheme="minorHAnsi" w:cstheme="minorHAnsi"/>
          <w:szCs w:val="24"/>
        </w:rPr>
        <w:t>his Recommendation provides a methodological framework to assess the environmental impacts of AI systems across their lifecycle, supporting more transparent and consistent evaluation of the environmental footprint of AI technologies.</w:t>
      </w:r>
    </w:p>
    <w:p w14:paraId="3D699324" w14:textId="77777777" w:rsidR="00C652CB" w:rsidRPr="005A0841" w:rsidRDefault="00C652CB" w:rsidP="005A0841">
      <w:pPr>
        <w:jc w:val="both"/>
        <w:rPr>
          <w:rFonts w:asciiTheme="minorHAnsi" w:hAnsiTheme="minorHAnsi" w:cstheme="minorHAnsi"/>
          <w:szCs w:val="24"/>
        </w:rPr>
      </w:pPr>
      <w:r w:rsidRPr="005A0841">
        <w:rPr>
          <w:rFonts w:asciiTheme="minorHAnsi" w:hAnsiTheme="minorHAnsi" w:cstheme="minorHAnsi"/>
          <w:szCs w:val="24"/>
        </w:rPr>
        <w:t>Experts, industry, academia and other stakeholders are invited to implement this Recommendation, promote it within their networks, and share feedback and practical experience to support its further development. Member States are also encouraged to review the Recommendation and share it with relevant ministries, regulators and other stakeholders working on digitalization, AI and sustainability</w:t>
      </w:r>
    </w:p>
    <w:p w14:paraId="7EC6BBA5" w14:textId="77777777" w:rsidR="00C43205" w:rsidRPr="005A0841" w:rsidRDefault="00C43205" w:rsidP="005A0841">
      <w:pPr>
        <w:jc w:val="both"/>
        <w:rPr>
          <w:rFonts w:asciiTheme="minorHAnsi" w:hAnsiTheme="minorHAnsi" w:cstheme="minorHAnsi"/>
          <w:szCs w:val="24"/>
        </w:rPr>
      </w:pPr>
      <w:r w:rsidRPr="005A0841">
        <w:rPr>
          <w:rFonts w:asciiTheme="minorHAnsi" w:hAnsiTheme="minorHAnsi" w:cstheme="minorHAnsi"/>
          <w:szCs w:val="24"/>
        </w:rPr>
        <w:t>ITU-T SG5 continues to advance its work on environmentally sustainable AI, including topics related to energy-efficient AI infrastructure, data centres, cooling, circular utilization of AI computing resources, and methodologies to assess the environmental impact of AI systems at worldwide, country and city levels.</w:t>
      </w:r>
    </w:p>
    <w:p w14:paraId="46D594B5" w14:textId="77777777" w:rsidR="005A0841" w:rsidRDefault="006B6174" w:rsidP="005A0841">
      <w:pPr>
        <w:jc w:val="both"/>
        <w:rPr>
          <w:rFonts w:asciiTheme="minorHAnsi" w:hAnsiTheme="minorHAnsi" w:cstheme="minorHAnsi"/>
          <w:szCs w:val="24"/>
        </w:rPr>
      </w:pPr>
      <w:r w:rsidRPr="005A0841">
        <w:rPr>
          <w:rFonts w:asciiTheme="minorHAnsi" w:hAnsiTheme="minorHAnsi" w:cstheme="minorHAnsi"/>
          <w:b/>
          <w:bCs/>
          <w:szCs w:val="24"/>
        </w:rPr>
        <w:t>Possible collaboration:</w:t>
      </w:r>
      <w:r w:rsidRPr="005A0841">
        <w:rPr>
          <w:rFonts w:asciiTheme="minorHAnsi" w:hAnsiTheme="minorHAnsi" w:cstheme="minorHAnsi"/>
          <w:szCs w:val="24"/>
        </w:rPr>
        <w:t xml:space="preserve"> </w:t>
      </w:r>
      <w:r w:rsidR="00C43205" w:rsidRPr="005A0841">
        <w:rPr>
          <w:rFonts w:asciiTheme="minorHAnsi" w:hAnsiTheme="minorHAnsi" w:cstheme="minorHAnsi"/>
          <w:szCs w:val="24"/>
        </w:rPr>
        <w:t>Other ITU sectors may wish to explore opportunities to promote this Recommendation through their respective activities and support its implementation. Feedback from implementation efforts will help improve the Recommendation and inform the continuation of related work.</w:t>
      </w:r>
    </w:p>
    <w:p w14:paraId="7CD49F72" w14:textId="37D022D8" w:rsidR="005241E0" w:rsidRPr="005241E0" w:rsidRDefault="006B6174" w:rsidP="004C0B0D">
      <w:pPr>
        <w:spacing w:before="0"/>
        <w:jc w:val="center"/>
      </w:pPr>
      <w:r>
        <w:t>______________________</w:t>
      </w:r>
    </w:p>
    <w:sectPr w:rsidR="005241E0" w:rsidRPr="005241E0" w:rsidSect="006B6174">
      <w:headerReference w:type="default" r:id="rId17"/>
      <w:footerReference w:type="default" r:id="rId18"/>
      <w:headerReference w:type="first" r:id="rId19"/>
      <w:footerReference w:type="first" r:id="rId20"/>
      <w:type w:val="continuous"/>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18C0" w14:textId="77777777" w:rsidR="00E90D9E" w:rsidRDefault="00E90D9E">
      <w:r>
        <w:separator/>
      </w:r>
    </w:p>
  </w:endnote>
  <w:endnote w:type="continuationSeparator" w:id="0">
    <w:p w14:paraId="501CFAE7" w14:textId="77777777" w:rsidR="00E90D9E" w:rsidRDefault="00E9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5871917D" w14:textId="77777777" w:rsidTr="0042469C">
      <w:trPr>
        <w:jc w:val="center"/>
      </w:trPr>
      <w:tc>
        <w:tcPr>
          <w:tcW w:w="1803" w:type="dxa"/>
          <w:vAlign w:val="center"/>
        </w:tcPr>
        <w:p w14:paraId="43DB2B7E" w14:textId="77777777" w:rsidR="00EE49E8" w:rsidRDefault="00EE49E8" w:rsidP="00EE49E8">
          <w:pPr>
            <w:pStyle w:val="Header"/>
            <w:jc w:val="left"/>
            <w:rPr>
              <w:noProof/>
            </w:rPr>
          </w:pPr>
        </w:p>
      </w:tc>
      <w:tc>
        <w:tcPr>
          <w:tcW w:w="8261" w:type="dxa"/>
        </w:tcPr>
        <w:p w14:paraId="4A206939" w14:textId="77777777"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B82C1B">
            <w:rPr>
              <w:bCs/>
              <w:lang w:val="es-ES"/>
            </w:rPr>
            <w:t>CWG-SFP</w:t>
          </w:r>
          <w:r w:rsidR="00B82C1B" w:rsidRPr="00870C17">
            <w:rPr>
              <w:bCs/>
              <w:lang w:val="es-ES"/>
            </w:rPr>
            <w:t>-</w:t>
          </w:r>
          <w:r w:rsidR="00B82C1B">
            <w:rPr>
              <w:bCs/>
              <w:lang w:val="es-ES"/>
            </w:rPr>
            <w:t>2/</w:t>
          </w:r>
          <w:proofErr w:type="spellStart"/>
          <w:r w:rsidR="00A52C84" w:rsidRPr="00877BF2">
            <w:rPr>
              <w:bCs/>
              <w:lang w:val="es-ES"/>
            </w:rPr>
            <w:t>xx</w:t>
          </w:r>
          <w:proofErr w:type="spellEnd"/>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5BA76277" w14:textId="77777777" w:rsidTr="005241E0">
      <w:trPr>
        <w:jc w:val="center"/>
      </w:trPr>
      <w:tc>
        <w:tcPr>
          <w:tcW w:w="7326" w:type="dxa"/>
          <w:vAlign w:val="center"/>
        </w:tcPr>
        <w:p w14:paraId="632A53C7" w14:textId="77777777" w:rsidR="00EE49E8" w:rsidRPr="00D74BFC" w:rsidRDefault="005241E0"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69DCEE1B" w14:textId="77777777"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3C81" w14:textId="77777777" w:rsidR="004C0B0D" w:rsidRPr="00877BF2" w:rsidRDefault="004C0B0D" w:rsidP="00EE49E8">
    <w:pPr>
      <w:pStyle w:val="Header"/>
      <w:tabs>
        <w:tab w:val="left" w:pos="8080"/>
        <w:tab w:val="right" w:pos="9072"/>
      </w:tabs>
      <w:jc w:val="left"/>
      <w:rPr>
        <w:bCs/>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4C0B0D" w:rsidRPr="004C0B0D" w14:paraId="440CA895" w14:textId="77777777" w:rsidTr="00E67F11">
      <w:trPr>
        <w:jc w:val="center"/>
      </w:trPr>
      <w:tc>
        <w:tcPr>
          <w:tcW w:w="1803" w:type="dxa"/>
          <w:vAlign w:val="center"/>
        </w:tcPr>
        <w:p w14:paraId="77B8E518" w14:textId="77777777" w:rsidR="004C0B0D" w:rsidRPr="004C0B0D" w:rsidRDefault="004C0B0D" w:rsidP="004C0B0D">
          <w:pPr>
            <w:pStyle w:val="Header"/>
            <w:jc w:val="right"/>
            <w:rPr>
              <w:rFonts w:eastAsia="Times New Roman" w:cs="Times New Roman"/>
              <w:bCs/>
              <w:szCs w:val="20"/>
            </w:rPr>
          </w:pPr>
        </w:p>
      </w:tc>
      <w:tc>
        <w:tcPr>
          <w:tcW w:w="8261" w:type="dxa"/>
        </w:tcPr>
        <w:p w14:paraId="0B39D0D1" w14:textId="3146CECB" w:rsidR="004C0B0D" w:rsidRPr="004C0B0D" w:rsidRDefault="004C0B0D" w:rsidP="004C0B0D">
          <w:pPr>
            <w:pStyle w:val="Header"/>
            <w:tabs>
              <w:tab w:val="left" w:pos="6371"/>
            </w:tabs>
            <w:jc w:val="right"/>
            <w:rPr>
              <w:rFonts w:eastAsia="Times New Roman" w:cs="Times New Roman"/>
              <w:b/>
              <w:bCs/>
              <w:szCs w:val="20"/>
              <w:lang w:val="es-ES"/>
            </w:rPr>
          </w:pPr>
          <w:r w:rsidRPr="004C0B0D">
            <w:rPr>
              <w:rFonts w:eastAsia="Times New Roman" w:cs="Times New Roman"/>
              <w:bCs/>
              <w:szCs w:val="20"/>
              <w:lang w:val="fr-CH"/>
            </w:rPr>
            <w:tab/>
          </w:r>
          <w:r w:rsidRPr="004C0B0D">
            <w:rPr>
              <w:rFonts w:eastAsia="Times New Roman" w:cs="Times New Roman"/>
              <w:bCs/>
              <w:szCs w:val="20"/>
              <w:lang w:val="es-ES"/>
            </w:rPr>
            <w:t>ISCG/26-2/</w:t>
          </w:r>
          <w:r>
            <w:rPr>
              <w:rFonts w:eastAsia="Times New Roman" w:cs="Times New Roman"/>
              <w:bCs/>
              <w:szCs w:val="20"/>
              <w:lang w:val="es-ES"/>
            </w:rPr>
            <w:t>8</w:t>
          </w:r>
          <w:r w:rsidRPr="004C0B0D">
            <w:rPr>
              <w:rFonts w:eastAsia="Times New Roman" w:cs="Times New Roman"/>
              <w:bCs/>
              <w:szCs w:val="20"/>
              <w:lang w:val="es-ES"/>
            </w:rPr>
            <w:t>-E</w:t>
          </w:r>
          <w:r w:rsidRPr="004C0B0D">
            <w:rPr>
              <w:rFonts w:eastAsia="Times New Roman" w:cs="Times New Roman"/>
              <w:bCs/>
              <w:szCs w:val="20"/>
              <w:lang w:val="es-ES"/>
            </w:rPr>
            <w:tab/>
          </w:r>
          <w:r w:rsidRPr="004C0B0D">
            <w:rPr>
              <w:rFonts w:eastAsia="Times New Roman" w:cs="Times New Roman"/>
              <w:bCs/>
              <w:szCs w:val="20"/>
            </w:rPr>
            <w:fldChar w:fldCharType="begin"/>
          </w:r>
          <w:r w:rsidRPr="004C0B0D">
            <w:rPr>
              <w:rFonts w:eastAsia="Times New Roman" w:cs="Times New Roman"/>
              <w:bCs/>
              <w:szCs w:val="20"/>
              <w:lang w:val="es-ES"/>
            </w:rPr>
            <w:instrText>PAGE</w:instrText>
          </w:r>
          <w:r w:rsidRPr="004C0B0D">
            <w:rPr>
              <w:rFonts w:eastAsia="Times New Roman" w:cs="Times New Roman"/>
              <w:bCs/>
              <w:szCs w:val="20"/>
            </w:rPr>
            <w:fldChar w:fldCharType="separate"/>
          </w:r>
          <w:r w:rsidRPr="004C0B0D">
            <w:rPr>
              <w:rFonts w:eastAsia="Times New Roman" w:cs="Times New Roman"/>
              <w:bCs/>
              <w:szCs w:val="20"/>
              <w:lang w:val="es-ES"/>
            </w:rPr>
            <w:t>32</w:t>
          </w:r>
          <w:r w:rsidRPr="004C0B0D">
            <w:rPr>
              <w:rFonts w:eastAsia="Times New Roman" w:cs="Times New Roman"/>
              <w:bCs/>
              <w:szCs w:val="20"/>
              <w:lang w:val="es-ES"/>
            </w:rPr>
            <w:fldChar w:fldCharType="end"/>
          </w:r>
        </w:p>
      </w:tc>
    </w:tr>
  </w:tbl>
  <w:p w14:paraId="14A01516" w14:textId="77777777" w:rsidR="004C0B0D" w:rsidRPr="000F6AB8" w:rsidRDefault="004C0B0D"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67D8" w14:textId="77777777" w:rsidR="00E90D9E" w:rsidRDefault="00E90D9E">
      <w:r>
        <w:t>____________________</w:t>
      </w:r>
    </w:p>
  </w:footnote>
  <w:footnote w:type="continuationSeparator" w:id="0">
    <w:p w14:paraId="521EBB0C" w14:textId="77777777" w:rsidR="00E90D9E" w:rsidRDefault="00E9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B3043BD" w14:textId="77777777" w:rsidTr="00F74694">
      <w:trPr>
        <w:trHeight w:val="1304"/>
        <w:jc w:val="center"/>
      </w:trPr>
      <w:tc>
        <w:tcPr>
          <w:tcW w:w="6546" w:type="dxa"/>
        </w:tcPr>
        <w:bookmarkStart w:id="11" w:name="_Hlk133422111"/>
        <w:p w14:paraId="0FD780D5" w14:textId="77777777" w:rsidR="00AD3606" w:rsidRPr="009621F8" w:rsidRDefault="00533E0D"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7CC279CC" wp14:editId="334D07E8">
                    <wp:simplePos x="0" y="0"/>
                    <wp:positionH relativeFrom="column">
                      <wp:posOffset>534704</wp:posOffset>
                    </wp:positionH>
                    <wp:positionV relativeFrom="paragraph">
                      <wp:posOffset>4119</wp:posOffset>
                    </wp:positionV>
                    <wp:extent cx="4905392"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92" cy="471170"/>
                            </a:xfrm>
                            <a:prstGeom prst="rect">
                              <a:avLst/>
                            </a:prstGeom>
                            <a:solidFill>
                              <a:schemeClr val="bg1"/>
                            </a:solidFill>
                            <a:ln w="9525">
                              <a:noFill/>
                              <a:miter lim="800000"/>
                              <a:headEnd/>
                              <a:tailEnd/>
                            </a:ln>
                          </wps:spPr>
                          <wps:txbx>
                            <w:txbxContent>
                              <w:p w14:paraId="5AB7EED9" w14:textId="519409B6"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 xml:space="preserve">Geneva, </w:t>
                                </w:r>
                                <w:r w:rsidR="00B224B5">
                                  <w:rPr>
                                    <w:sz w:val="20"/>
                                  </w:rPr>
                                  <w:t xml:space="preserve">10 April </w:t>
                                </w:r>
                                <w:r w:rsidR="00024572">
                                  <w:rPr>
                                    <w:sz w:val="20"/>
                                  </w:rPr>
                                  <w:t>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CC279CC" id="_x0000_t202" coordsize="21600,21600" o:spt="202" path="m,l,21600r21600,l21600,xe">
                    <v:stroke joinstyle="miter"/>
                    <v:path gradientshapeok="t" o:connecttype="rect"/>
                  </v:shapetype>
                  <v:shape id="Text Box 2" o:spid="_x0000_s1026" type="#_x0000_t202" style="position:absolute;margin-left:42.1pt;margin-top:.3pt;width:386.2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" fillcolor="white [3212]" stroked="f">
                    <v:textbox style="mso-fit-shape-to-text:t" inset="1mm">
                      <w:txbxContent>
                        <w:p w14:paraId="5AB7EED9" w14:textId="519409B6"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 xml:space="preserve">Geneva, </w:t>
                          </w:r>
                          <w:r w:rsidR="00B224B5">
                            <w:rPr>
                              <w:sz w:val="20"/>
                            </w:rPr>
                            <w:t xml:space="preserve">10 April </w:t>
                          </w:r>
                          <w:r w:rsidR="00024572">
                            <w:rPr>
                              <w:sz w:val="20"/>
                            </w:rPr>
                            <w:t>2026</w:t>
                          </w:r>
                        </w:p>
                      </w:txbxContent>
                    </v:textbox>
                  </v:shape>
                </w:pict>
              </mc:Fallback>
            </mc:AlternateContent>
          </w:r>
          <w:r>
            <w:rPr>
              <w:rFonts w:ascii="Arial" w:hAnsi="Arial" w:cs="Arial"/>
              <w:b/>
              <w:bCs/>
              <w:noProof/>
              <w:color w:val="009CD6"/>
              <w:sz w:val="36"/>
              <w:szCs w:val="36"/>
            </w:rPr>
            <w:drawing>
              <wp:inline distT="0" distB="0" distL="0" distR="0" wp14:anchorId="3F402996" wp14:editId="1B8843E6">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9761B1B" w14:textId="77777777" w:rsidR="00AD3606" w:rsidRDefault="00AD3606" w:rsidP="00AD3606">
          <w:pPr>
            <w:pStyle w:val="Header"/>
            <w:jc w:val="right"/>
            <w:rPr>
              <w:rFonts w:ascii="Arial" w:hAnsi="Arial" w:cs="Arial"/>
              <w:b/>
              <w:bCs/>
              <w:color w:val="009CD6"/>
              <w:szCs w:val="18"/>
            </w:rPr>
          </w:pPr>
        </w:p>
        <w:p w14:paraId="22FACFB3" w14:textId="77777777" w:rsidR="00AD3606" w:rsidRDefault="00AD3606" w:rsidP="00AD3606">
          <w:pPr>
            <w:pStyle w:val="Header"/>
            <w:jc w:val="right"/>
            <w:rPr>
              <w:rFonts w:ascii="Arial" w:hAnsi="Arial" w:cs="Arial"/>
              <w:b/>
              <w:bCs/>
              <w:color w:val="009CD6"/>
              <w:szCs w:val="18"/>
            </w:rPr>
          </w:pPr>
        </w:p>
        <w:p w14:paraId="0AFEC74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5A38C0B"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5A19151" wp14:editId="3250A43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9A01E"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19C8" w14:textId="77777777" w:rsidR="004C0B0D" w:rsidRDefault="004C0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15F2" w14:textId="731BC357" w:rsidR="004C0B0D" w:rsidRDefault="004C0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72926"/>
    <w:multiLevelType w:val="hybridMultilevel"/>
    <w:tmpl w:val="A4CA43E2"/>
    <w:lvl w:ilvl="0" w:tplc="3926B76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1116D"/>
    <w:multiLevelType w:val="multilevel"/>
    <w:tmpl w:val="A88460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DE1ECB"/>
    <w:multiLevelType w:val="hybridMultilevel"/>
    <w:tmpl w:val="193437C4"/>
    <w:lvl w:ilvl="0" w:tplc="C44065C0">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2A2750"/>
    <w:multiLevelType w:val="hybridMultilevel"/>
    <w:tmpl w:val="A8F414CE"/>
    <w:lvl w:ilvl="0" w:tplc="C44065C0">
      <w:start w:val="1"/>
      <w:numFmt w:val="bullet"/>
      <w:lvlText w:val=""/>
      <w:lvlJc w:val="left"/>
      <w:pPr>
        <w:ind w:left="72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9570B6"/>
    <w:multiLevelType w:val="multilevel"/>
    <w:tmpl w:val="A88460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4816267">
    <w:abstractNumId w:val="0"/>
  </w:num>
  <w:num w:numId="2" w16cid:durableId="469055735">
    <w:abstractNumId w:val="1"/>
  </w:num>
  <w:num w:numId="3" w16cid:durableId="1980760">
    <w:abstractNumId w:val="3"/>
  </w:num>
  <w:num w:numId="4" w16cid:durableId="1793591981">
    <w:abstractNumId w:val="5"/>
  </w:num>
  <w:num w:numId="5" w16cid:durableId="1057240850">
    <w:abstractNumId w:val="2"/>
  </w:num>
  <w:num w:numId="6" w16cid:durableId="2011449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4572"/>
    <w:rsid w:val="000525A1"/>
    <w:rsid w:val="00063016"/>
    <w:rsid w:val="00066795"/>
    <w:rsid w:val="00076AF6"/>
    <w:rsid w:val="00085CF2"/>
    <w:rsid w:val="000A1525"/>
    <w:rsid w:val="000B1705"/>
    <w:rsid w:val="000B4653"/>
    <w:rsid w:val="000D75B2"/>
    <w:rsid w:val="000F6AB8"/>
    <w:rsid w:val="001121F5"/>
    <w:rsid w:val="00130599"/>
    <w:rsid w:val="00131E18"/>
    <w:rsid w:val="001400DC"/>
    <w:rsid w:val="00140CE1"/>
    <w:rsid w:val="00147C54"/>
    <w:rsid w:val="0016259B"/>
    <w:rsid w:val="0017539C"/>
    <w:rsid w:val="00175AC2"/>
    <w:rsid w:val="0017609F"/>
    <w:rsid w:val="001A54CB"/>
    <w:rsid w:val="001A7D1D"/>
    <w:rsid w:val="001B0595"/>
    <w:rsid w:val="001B51DD"/>
    <w:rsid w:val="001C628E"/>
    <w:rsid w:val="001D62DF"/>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56734"/>
    <w:rsid w:val="00361465"/>
    <w:rsid w:val="0036350F"/>
    <w:rsid w:val="00365D86"/>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C0B0D"/>
    <w:rsid w:val="004C1B67"/>
    <w:rsid w:val="004D1851"/>
    <w:rsid w:val="004D599D"/>
    <w:rsid w:val="004E06D1"/>
    <w:rsid w:val="004E2EA5"/>
    <w:rsid w:val="004E3AEB"/>
    <w:rsid w:val="00500CA4"/>
    <w:rsid w:val="0050223C"/>
    <w:rsid w:val="00511980"/>
    <w:rsid w:val="005170FD"/>
    <w:rsid w:val="005241E0"/>
    <w:rsid w:val="005243FF"/>
    <w:rsid w:val="00524E9C"/>
    <w:rsid w:val="005311D6"/>
    <w:rsid w:val="00533E0D"/>
    <w:rsid w:val="00536422"/>
    <w:rsid w:val="0054526E"/>
    <w:rsid w:val="005536C2"/>
    <w:rsid w:val="00564FBC"/>
    <w:rsid w:val="005800BC"/>
    <w:rsid w:val="00582442"/>
    <w:rsid w:val="005A0841"/>
    <w:rsid w:val="005A335D"/>
    <w:rsid w:val="005B0869"/>
    <w:rsid w:val="005C13D4"/>
    <w:rsid w:val="005E2BD5"/>
    <w:rsid w:val="005E4F47"/>
    <w:rsid w:val="005F3269"/>
    <w:rsid w:val="005F7BEB"/>
    <w:rsid w:val="00612123"/>
    <w:rsid w:val="00615961"/>
    <w:rsid w:val="00623AE3"/>
    <w:rsid w:val="006261F4"/>
    <w:rsid w:val="0064737F"/>
    <w:rsid w:val="00647966"/>
    <w:rsid w:val="006535F1"/>
    <w:rsid w:val="0065557D"/>
    <w:rsid w:val="00660D50"/>
    <w:rsid w:val="00662984"/>
    <w:rsid w:val="00663050"/>
    <w:rsid w:val="006716BB"/>
    <w:rsid w:val="006973C8"/>
    <w:rsid w:val="006A4862"/>
    <w:rsid w:val="006B1859"/>
    <w:rsid w:val="006B6174"/>
    <w:rsid w:val="006B6680"/>
    <w:rsid w:val="006B6DCC"/>
    <w:rsid w:val="006C2E4B"/>
    <w:rsid w:val="00700778"/>
    <w:rsid w:val="00701C70"/>
    <w:rsid w:val="00702DEF"/>
    <w:rsid w:val="00706861"/>
    <w:rsid w:val="00722C25"/>
    <w:rsid w:val="007247CF"/>
    <w:rsid w:val="00726B8C"/>
    <w:rsid w:val="00727C44"/>
    <w:rsid w:val="007307F0"/>
    <w:rsid w:val="0075051B"/>
    <w:rsid w:val="0077110E"/>
    <w:rsid w:val="00775655"/>
    <w:rsid w:val="007849D5"/>
    <w:rsid w:val="00793188"/>
    <w:rsid w:val="00794D34"/>
    <w:rsid w:val="00806D26"/>
    <w:rsid w:val="00806E3C"/>
    <w:rsid w:val="00813E5E"/>
    <w:rsid w:val="00816C2C"/>
    <w:rsid w:val="008217BC"/>
    <w:rsid w:val="0083581B"/>
    <w:rsid w:val="00860EED"/>
    <w:rsid w:val="00863874"/>
    <w:rsid w:val="00864AFF"/>
    <w:rsid w:val="00865925"/>
    <w:rsid w:val="00870C17"/>
    <w:rsid w:val="00872B5C"/>
    <w:rsid w:val="00875FD1"/>
    <w:rsid w:val="00877BF2"/>
    <w:rsid w:val="00884F3A"/>
    <w:rsid w:val="00891503"/>
    <w:rsid w:val="008A2F06"/>
    <w:rsid w:val="008B4A6A"/>
    <w:rsid w:val="008C7E27"/>
    <w:rsid w:val="008F3822"/>
    <w:rsid w:val="008F7448"/>
    <w:rsid w:val="0090147A"/>
    <w:rsid w:val="0090389B"/>
    <w:rsid w:val="009173EF"/>
    <w:rsid w:val="00932906"/>
    <w:rsid w:val="00961860"/>
    <w:rsid w:val="00961B0B"/>
    <w:rsid w:val="00961EC3"/>
    <w:rsid w:val="00962D33"/>
    <w:rsid w:val="00962E66"/>
    <w:rsid w:val="009B38C3"/>
    <w:rsid w:val="009B44BD"/>
    <w:rsid w:val="009E17BD"/>
    <w:rsid w:val="009E485A"/>
    <w:rsid w:val="00A04CEC"/>
    <w:rsid w:val="00A14FC8"/>
    <w:rsid w:val="00A27F92"/>
    <w:rsid w:val="00A32257"/>
    <w:rsid w:val="00A36D20"/>
    <w:rsid w:val="00A37B35"/>
    <w:rsid w:val="00A420D2"/>
    <w:rsid w:val="00A43C03"/>
    <w:rsid w:val="00A46CD0"/>
    <w:rsid w:val="00A514A4"/>
    <w:rsid w:val="00A52C84"/>
    <w:rsid w:val="00A55622"/>
    <w:rsid w:val="00A83502"/>
    <w:rsid w:val="00AC1A50"/>
    <w:rsid w:val="00AC6BFA"/>
    <w:rsid w:val="00AD15B3"/>
    <w:rsid w:val="00AD3606"/>
    <w:rsid w:val="00AD4A3D"/>
    <w:rsid w:val="00AF6E49"/>
    <w:rsid w:val="00B04A67"/>
    <w:rsid w:val="00B0583C"/>
    <w:rsid w:val="00B224B5"/>
    <w:rsid w:val="00B248BC"/>
    <w:rsid w:val="00B358B2"/>
    <w:rsid w:val="00B40A81"/>
    <w:rsid w:val="00B44910"/>
    <w:rsid w:val="00B66495"/>
    <w:rsid w:val="00B72267"/>
    <w:rsid w:val="00B73DD1"/>
    <w:rsid w:val="00B76EB6"/>
    <w:rsid w:val="00B7737B"/>
    <w:rsid w:val="00B824C8"/>
    <w:rsid w:val="00B82C1B"/>
    <w:rsid w:val="00B849D3"/>
    <w:rsid w:val="00B84B9D"/>
    <w:rsid w:val="00BA3A51"/>
    <w:rsid w:val="00BC251A"/>
    <w:rsid w:val="00BD032B"/>
    <w:rsid w:val="00BD0614"/>
    <w:rsid w:val="00BD094B"/>
    <w:rsid w:val="00BE2640"/>
    <w:rsid w:val="00C01189"/>
    <w:rsid w:val="00C27DB8"/>
    <w:rsid w:val="00C374DE"/>
    <w:rsid w:val="00C43205"/>
    <w:rsid w:val="00C44375"/>
    <w:rsid w:val="00C47AD4"/>
    <w:rsid w:val="00C52D81"/>
    <w:rsid w:val="00C55198"/>
    <w:rsid w:val="00C652CB"/>
    <w:rsid w:val="00C725C6"/>
    <w:rsid w:val="00C922C7"/>
    <w:rsid w:val="00C951B1"/>
    <w:rsid w:val="00CA6393"/>
    <w:rsid w:val="00CB18FF"/>
    <w:rsid w:val="00CB24AA"/>
    <w:rsid w:val="00CD0C08"/>
    <w:rsid w:val="00CD3C91"/>
    <w:rsid w:val="00CE03FB"/>
    <w:rsid w:val="00CE433C"/>
    <w:rsid w:val="00CF0161"/>
    <w:rsid w:val="00CF33F3"/>
    <w:rsid w:val="00D06183"/>
    <w:rsid w:val="00D143DF"/>
    <w:rsid w:val="00D22C42"/>
    <w:rsid w:val="00D45669"/>
    <w:rsid w:val="00D464CC"/>
    <w:rsid w:val="00D522F6"/>
    <w:rsid w:val="00D65041"/>
    <w:rsid w:val="00D67039"/>
    <w:rsid w:val="00D74BFC"/>
    <w:rsid w:val="00D86E6C"/>
    <w:rsid w:val="00DB00D5"/>
    <w:rsid w:val="00DB1936"/>
    <w:rsid w:val="00DB384B"/>
    <w:rsid w:val="00DF0189"/>
    <w:rsid w:val="00E06FD5"/>
    <w:rsid w:val="00E10E80"/>
    <w:rsid w:val="00E124F0"/>
    <w:rsid w:val="00E227F3"/>
    <w:rsid w:val="00E3327A"/>
    <w:rsid w:val="00E4728B"/>
    <w:rsid w:val="00E545C6"/>
    <w:rsid w:val="00E60F04"/>
    <w:rsid w:val="00E63EFF"/>
    <w:rsid w:val="00E65B24"/>
    <w:rsid w:val="00E854E4"/>
    <w:rsid w:val="00E85B67"/>
    <w:rsid w:val="00E864BD"/>
    <w:rsid w:val="00E86DBF"/>
    <w:rsid w:val="00E90D9E"/>
    <w:rsid w:val="00EA1733"/>
    <w:rsid w:val="00EB0D6F"/>
    <w:rsid w:val="00EB2232"/>
    <w:rsid w:val="00EC5337"/>
    <w:rsid w:val="00EC7C07"/>
    <w:rsid w:val="00EE49E8"/>
    <w:rsid w:val="00F10B59"/>
    <w:rsid w:val="00F119DF"/>
    <w:rsid w:val="00F16BAB"/>
    <w:rsid w:val="00F2150A"/>
    <w:rsid w:val="00F231D8"/>
    <w:rsid w:val="00F37FD8"/>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4BED"/>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basedOn w:val="Normal"/>
    <w:uiPriority w:val="34"/>
    <w:qFormat/>
    <w:rsid w:val="00E864BD"/>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ean-manuel.canet@orang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tu.int/myworkspace/t-rec/item?id=16642&amp;lang=e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olo.gemma@huawei.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2.xml><?xml version="1.0" encoding="utf-8"?>
<ds:datastoreItem xmlns:ds="http://schemas.openxmlformats.org/officeDocument/2006/customXml" ds:itemID="{A804E00A-A34D-42B5-9E24-01D2C0655EC9}">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http://schemas.microsoft.com/sharepoint/v3"/>
    <ds:schemaRef ds:uri="http://purl.org/dc/elements/1.1/"/>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ISCG-TEMPLATE</Template>
  <TotalTime>1</TotalTime>
  <Pages>2</Pages>
  <Words>641</Words>
  <Characters>3715</Characters>
  <Application>Microsoft Office Word</Application>
  <DocSecurity>4</DocSecurity>
  <Lines>103</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Study Group 5 activities on Environmental Efficiency of ICT and ICT solutions</dc:title>
  <dc:subject>ITU Council Working Group for strategic and financial plans 2028-2031</dc:subject>
  <dc:creator>GBS</dc:creator>
  <cp:keywords>ISCG</cp:keywords>
  <dc:description/>
  <cp:lastModifiedBy>GBS</cp:lastModifiedBy>
  <cp:revision>2</cp:revision>
  <dcterms:created xsi:type="dcterms:W3CDTF">2026-04-01T12:50:00Z</dcterms:created>
  <dcterms:modified xsi:type="dcterms:W3CDTF">2026-04-01T12:50:00Z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ies>
</file>