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5" w:tblpY="2317"/>
        <w:tblW w:w="9640" w:type="dxa"/>
        <w:tblLayout w:type="fixed"/>
        <w:tblLook w:val="0000" w:firstRow="0" w:lastRow="0" w:firstColumn="0" w:lastColumn="0" w:noHBand="0" w:noVBand="0"/>
      </w:tblPr>
      <w:tblGrid>
        <w:gridCol w:w="4395"/>
        <w:gridCol w:w="5245"/>
      </w:tblGrid>
      <w:tr w:rsidR="00AD3606" w:rsidRPr="004B51C8" w14:paraId="75738ABB" w14:textId="77777777" w:rsidTr="0019691D">
        <w:trPr>
          <w:cantSplit/>
          <w:trHeight w:val="23"/>
        </w:trPr>
        <w:tc>
          <w:tcPr>
            <w:tcW w:w="4395" w:type="dxa"/>
            <w:vMerge w:val="restart"/>
            <w:tcMar>
              <w:left w:w="0" w:type="dxa"/>
            </w:tcMar>
          </w:tcPr>
          <w:p w14:paraId="333D3DBA" w14:textId="77777777" w:rsidR="00AD3606" w:rsidRPr="00147C54" w:rsidRDefault="00AD3606" w:rsidP="0019691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55D9BA48" w:rsidR="00AD3606" w:rsidRPr="00301AEE" w:rsidRDefault="00E85B67" w:rsidP="0019691D">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w:t>
            </w:r>
            <w:r w:rsidR="00B224B5">
              <w:rPr>
                <w:b/>
                <w:lang w:val="fr-CH"/>
              </w:rPr>
              <w:t>2</w:t>
            </w:r>
            <w:r w:rsidR="00F66A26">
              <w:rPr>
                <w:b/>
                <w:lang w:val="fr-FR"/>
              </w:rPr>
              <w:t>/</w:t>
            </w:r>
            <w:r w:rsidR="0019691D">
              <w:rPr>
                <w:b/>
                <w:lang w:val="fr-FR"/>
              </w:rPr>
              <w:t>7</w:t>
            </w:r>
            <w:r w:rsidR="005241E0">
              <w:rPr>
                <w:b/>
                <w:lang w:val="fr-FR"/>
              </w:rPr>
              <w:t>-E</w:t>
            </w:r>
          </w:p>
        </w:tc>
      </w:tr>
      <w:tr w:rsidR="00AD3606" w:rsidRPr="00147C54" w14:paraId="49AA1FBD" w14:textId="77777777" w:rsidTr="0019691D">
        <w:trPr>
          <w:cantSplit/>
        </w:trPr>
        <w:tc>
          <w:tcPr>
            <w:tcW w:w="4395" w:type="dxa"/>
            <w:vMerge/>
          </w:tcPr>
          <w:p w14:paraId="6C9E27D5" w14:textId="77777777" w:rsidR="00AD3606" w:rsidRPr="00301AEE" w:rsidRDefault="00AD3606" w:rsidP="0019691D">
            <w:pPr>
              <w:tabs>
                <w:tab w:val="left" w:pos="851"/>
              </w:tabs>
              <w:spacing w:line="240" w:lineRule="atLeast"/>
              <w:rPr>
                <w:b/>
                <w:lang w:val="fr-FR"/>
              </w:rPr>
            </w:pPr>
            <w:bookmarkStart w:id="6" w:name="ddate" w:colFirst="1" w:colLast="1"/>
            <w:bookmarkEnd w:id="0"/>
            <w:bookmarkEnd w:id="1"/>
          </w:p>
        </w:tc>
        <w:tc>
          <w:tcPr>
            <w:tcW w:w="5245" w:type="dxa"/>
          </w:tcPr>
          <w:p w14:paraId="0A6B18FC" w14:textId="540E1CE9" w:rsidR="00AD3606" w:rsidRPr="00147C54" w:rsidRDefault="00CB3046" w:rsidP="0019691D">
            <w:pPr>
              <w:tabs>
                <w:tab w:val="left" w:pos="851"/>
              </w:tabs>
              <w:spacing w:before="0"/>
              <w:jc w:val="right"/>
              <w:rPr>
                <w:b/>
              </w:rPr>
            </w:pPr>
            <w:r>
              <w:rPr>
                <w:b/>
              </w:rPr>
              <w:t>1 April</w:t>
            </w:r>
            <w:r w:rsidR="0019691D">
              <w:rPr>
                <w:b/>
              </w:rPr>
              <w:t xml:space="preserve"> 2026</w:t>
            </w:r>
          </w:p>
        </w:tc>
      </w:tr>
      <w:tr w:rsidR="00AD3606" w:rsidRPr="00147C54" w14:paraId="245EED5B" w14:textId="77777777" w:rsidTr="0019691D">
        <w:trPr>
          <w:cantSplit/>
          <w:trHeight w:val="23"/>
        </w:trPr>
        <w:tc>
          <w:tcPr>
            <w:tcW w:w="4395" w:type="dxa"/>
            <w:vMerge/>
          </w:tcPr>
          <w:p w14:paraId="1E90653D" w14:textId="77777777" w:rsidR="00AD3606" w:rsidRPr="00147C54" w:rsidRDefault="00AD3606" w:rsidP="0019691D">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19691D">
            <w:pPr>
              <w:tabs>
                <w:tab w:val="left" w:pos="851"/>
              </w:tabs>
              <w:spacing w:before="0" w:line="240" w:lineRule="atLeast"/>
              <w:jc w:val="right"/>
              <w:rPr>
                <w:b/>
              </w:rPr>
            </w:pPr>
            <w:r w:rsidRPr="00147C54">
              <w:rPr>
                <w:b/>
              </w:rPr>
              <w:t>English only</w:t>
            </w:r>
          </w:p>
        </w:tc>
      </w:tr>
      <w:tr w:rsidR="00472BAD" w:rsidRPr="00147C54" w14:paraId="453B6052" w14:textId="77777777" w:rsidTr="0019691D">
        <w:trPr>
          <w:cantSplit/>
          <w:trHeight w:val="23"/>
        </w:trPr>
        <w:tc>
          <w:tcPr>
            <w:tcW w:w="4395" w:type="dxa"/>
          </w:tcPr>
          <w:p w14:paraId="68C47D52" w14:textId="77777777" w:rsidR="00472BAD" w:rsidRPr="00147C54" w:rsidRDefault="00472BAD" w:rsidP="0019691D">
            <w:pPr>
              <w:tabs>
                <w:tab w:val="left" w:pos="851"/>
              </w:tabs>
              <w:spacing w:line="240" w:lineRule="atLeast"/>
              <w:rPr>
                <w:b/>
              </w:rPr>
            </w:pPr>
          </w:p>
        </w:tc>
        <w:tc>
          <w:tcPr>
            <w:tcW w:w="5245" w:type="dxa"/>
          </w:tcPr>
          <w:p w14:paraId="550894A5" w14:textId="77777777" w:rsidR="00472BAD" w:rsidRPr="00147C54" w:rsidRDefault="00472BAD" w:rsidP="0019691D">
            <w:pPr>
              <w:tabs>
                <w:tab w:val="left" w:pos="851"/>
              </w:tabs>
              <w:spacing w:before="0" w:line="240" w:lineRule="atLeast"/>
              <w:jc w:val="right"/>
              <w:rPr>
                <w:b/>
              </w:rPr>
            </w:pPr>
          </w:p>
        </w:tc>
      </w:tr>
      <w:tr w:rsidR="00AD3606" w:rsidRPr="00147C54" w14:paraId="02CE4872" w14:textId="77777777" w:rsidTr="0019691D">
        <w:trPr>
          <w:cantSplit/>
        </w:trPr>
        <w:tc>
          <w:tcPr>
            <w:tcW w:w="9640" w:type="dxa"/>
            <w:gridSpan w:val="2"/>
            <w:tcMar>
              <w:left w:w="0" w:type="dxa"/>
            </w:tcMar>
          </w:tcPr>
          <w:p w14:paraId="11EB1697" w14:textId="07333970" w:rsidR="00AD3606" w:rsidRPr="00147C54" w:rsidRDefault="00006DB2" w:rsidP="00CB3046">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19691D">
              <w:t xml:space="preserve">the Coordinator on </w:t>
            </w:r>
            <w:r w:rsidR="00B07545" w:rsidRPr="0019691D">
              <w:t>Industry Engagement</w:t>
            </w:r>
          </w:p>
        </w:tc>
      </w:tr>
      <w:tr w:rsidR="00AD3606" w:rsidRPr="00147C54" w14:paraId="16B8590D" w14:textId="77777777" w:rsidTr="0019691D">
        <w:trPr>
          <w:cantSplit/>
        </w:trPr>
        <w:tc>
          <w:tcPr>
            <w:tcW w:w="9640" w:type="dxa"/>
            <w:gridSpan w:val="2"/>
            <w:tcMar>
              <w:left w:w="0" w:type="dxa"/>
            </w:tcMar>
          </w:tcPr>
          <w:p w14:paraId="3EBDE99F" w14:textId="6F69AB10" w:rsidR="00AD3606" w:rsidRPr="0019691D" w:rsidRDefault="00CB3046" w:rsidP="00CB3046">
            <w:pPr>
              <w:pStyle w:val="Subtitle"/>
              <w:framePr w:hSpace="0" w:wrap="auto" w:xAlign="left" w:yAlign="inline"/>
            </w:pPr>
            <w:bookmarkStart w:id="9" w:name="dtitle1" w:colFirst="0" w:colLast="0"/>
            <w:bookmarkEnd w:id="8"/>
            <w:r w:rsidRPr="0019691D">
              <w:t>UPDATES ON ITU</w:t>
            </w:r>
            <w:r w:rsidRPr="0019691D">
              <w:noBreakHyphen/>
              <w:t>T’S INDUSTRY ENGAGEMENT ACTIVITIES</w:t>
            </w:r>
          </w:p>
        </w:tc>
      </w:tr>
      <w:tr w:rsidR="00AD3606" w:rsidRPr="00147C54" w14:paraId="738924AE" w14:textId="77777777" w:rsidTr="0019691D">
        <w:trPr>
          <w:cantSplit/>
        </w:trPr>
        <w:tc>
          <w:tcPr>
            <w:tcW w:w="9640" w:type="dxa"/>
            <w:gridSpan w:val="2"/>
            <w:tcBorders>
              <w:top w:val="single" w:sz="4" w:space="0" w:color="auto"/>
              <w:bottom w:val="single" w:sz="4" w:space="0" w:color="auto"/>
            </w:tcBorders>
            <w:tcMar>
              <w:left w:w="0" w:type="dxa"/>
            </w:tcMar>
          </w:tcPr>
          <w:p w14:paraId="393CFB80" w14:textId="04DE64CF" w:rsidR="005241E0" w:rsidRPr="005241E0" w:rsidRDefault="00F16BAB" w:rsidP="0019691D">
            <w:pPr>
              <w:spacing w:before="160" w:after="120"/>
              <w:rPr>
                <w:sz w:val="26"/>
                <w:szCs w:val="26"/>
              </w:rPr>
            </w:pPr>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r w:rsidR="0019691D" w:rsidRPr="0019691D">
              <w:rPr>
                <w:rFonts w:cs="Calibri"/>
                <w:b/>
                <w:bCs/>
                <w:sz w:val="26"/>
                <w:szCs w:val="26"/>
              </w:rPr>
              <w:t>X</w:t>
            </w:r>
            <w:r w:rsidR="005241E0" w:rsidRPr="005241E0">
              <w:rPr>
                <w:sz w:val="26"/>
                <w:szCs w:val="26"/>
              </w:rPr>
              <w:t xml:space="preserve">) / Discussion </w:t>
            </w:r>
            <w:proofErr w:type="gramStart"/>
            <w:r w:rsidR="005241E0" w:rsidRPr="005241E0">
              <w:rPr>
                <w:sz w:val="26"/>
                <w:szCs w:val="26"/>
              </w:rPr>
              <w:t>(</w:t>
            </w:r>
            <w:r w:rsidR="005241E0">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tc>
      </w:tr>
      <w:tr w:rsidR="005241E0" w:rsidRPr="005241E0" w14:paraId="14D83C7C" w14:textId="77777777" w:rsidTr="0019691D">
        <w:trPr>
          <w:cantSplit/>
        </w:trPr>
        <w:tc>
          <w:tcPr>
            <w:tcW w:w="9640" w:type="dxa"/>
            <w:gridSpan w:val="2"/>
            <w:tcBorders>
              <w:top w:val="single" w:sz="4" w:space="0" w:color="auto"/>
              <w:bottom w:val="single" w:sz="4" w:space="0" w:color="auto"/>
            </w:tcBorders>
            <w:tcMar>
              <w:left w:w="0" w:type="dxa"/>
            </w:tcMar>
          </w:tcPr>
          <w:p w14:paraId="6F51167A" w14:textId="34632A82" w:rsidR="005241E0" w:rsidRPr="0019691D" w:rsidRDefault="005241E0" w:rsidP="00CB3046">
            <w:pPr>
              <w:tabs>
                <w:tab w:val="clear" w:pos="2835"/>
                <w:tab w:val="left" w:pos="5380"/>
              </w:tabs>
              <w:spacing w:before="160" w:after="120"/>
              <w:rPr>
                <w:b/>
                <w:bCs/>
                <w:sz w:val="26"/>
                <w:szCs w:val="26"/>
              </w:rPr>
            </w:pPr>
            <w:r w:rsidRPr="0019691D">
              <w:rPr>
                <w:b/>
                <w:bCs/>
                <w:sz w:val="26"/>
                <w:szCs w:val="26"/>
              </w:rPr>
              <w:t xml:space="preserve">Contact: </w:t>
            </w:r>
            <w:r w:rsidR="00B07545" w:rsidRPr="0019691D">
              <w:rPr>
                <w:sz w:val="26"/>
                <w:szCs w:val="26"/>
              </w:rPr>
              <w:t>Scott Mansfield</w:t>
            </w:r>
            <w:r w:rsidR="00CB3046">
              <w:rPr>
                <w:b/>
                <w:bCs/>
                <w:sz w:val="26"/>
                <w:szCs w:val="26"/>
              </w:rPr>
              <w:tab/>
            </w:r>
            <w:r w:rsidRPr="0019691D">
              <w:rPr>
                <w:b/>
                <w:bCs/>
                <w:sz w:val="26"/>
                <w:szCs w:val="26"/>
              </w:rPr>
              <w:t>E-mail:</w:t>
            </w:r>
            <w:r w:rsidR="00B07545" w:rsidRPr="0019691D">
              <w:rPr>
                <w:b/>
                <w:bCs/>
                <w:sz w:val="26"/>
                <w:szCs w:val="26"/>
              </w:rPr>
              <w:t xml:space="preserve"> </w:t>
            </w:r>
            <w:hyperlink r:id="rId11" w:history="1">
              <w:r w:rsidR="00B07545" w:rsidRPr="00B16AD2">
                <w:rPr>
                  <w:rStyle w:val="Hyperlink"/>
                </w:rPr>
                <w:t>Scott.mansfield@ericsson.com</w:t>
              </w:r>
            </w:hyperlink>
          </w:p>
        </w:tc>
      </w:tr>
    </w:tbl>
    <w:p w14:paraId="469525C2" w14:textId="77777777" w:rsidR="00E227F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p w14:paraId="020F9703" w14:textId="4FB8F697" w:rsidR="0019691D" w:rsidRPr="0019691D" w:rsidRDefault="0019691D" w:rsidP="0019691D">
      <w:pPr>
        <w:tabs>
          <w:tab w:val="clear" w:pos="567"/>
          <w:tab w:val="clear" w:pos="1134"/>
          <w:tab w:val="clear" w:pos="1701"/>
          <w:tab w:val="clear" w:pos="2268"/>
          <w:tab w:val="clear" w:pos="2835"/>
        </w:tabs>
        <w:overflowPunct/>
        <w:autoSpaceDE/>
        <w:autoSpaceDN/>
        <w:adjustRightInd/>
        <w:textAlignment w:val="auto"/>
        <w:rPr>
          <w:b/>
          <w:bCs/>
        </w:rPr>
      </w:pPr>
      <w:r w:rsidRPr="0019691D">
        <w:rPr>
          <w:b/>
          <w:bCs/>
        </w:rPr>
        <w:t>Introduction</w:t>
      </w:r>
    </w:p>
    <w:bookmarkEnd w:id="3"/>
    <w:bookmarkEnd w:id="4"/>
    <w:p w14:paraId="62D64C9B" w14:textId="74C069FD" w:rsidR="0090147A" w:rsidRPr="0019691D" w:rsidRDefault="00233D6A" w:rsidP="008B6987">
      <w:pPr>
        <w:tabs>
          <w:tab w:val="clear" w:pos="567"/>
          <w:tab w:val="clear" w:pos="1134"/>
          <w:tab w:val="clear" w:pos="1701"/>
          <w:tab w:val="clear" w:pos="2268"/>
          <w:tab w:val="clear" w:pos="2835"/>
        </w:tabs>
        <w:overflowPunct/>
        <w:autoSpaceDE/>
        <w:autoSpaceDN/>
        <w:adjustRightInd/>
        <w:spacing w:before="0"/>
        <w:jc w:val="both"/>
        <w:textAlignment w:val="auto"/>
        <w:rPr>
          <w:b/>
        </w:rPr>
      </w:pPr>
      <w:r w:rsidRPr="0019691D">
        <w:t xml:space="preserve">Since the last ISCG meeting, the following activities were conducted </w:t>
      </w:r>
      <w:proofErr w:type="gramStart"/>
      <w:r w:rsidRPr="0019691D">
        <w:t>in the area of</w:t>
      </w:r>
      <w:proofErr w:type="gramEnd"/>
      <w:r w:rsidRPr="0019691D">
        <w:t xml:space="preserve"> Industry Engagement. </w:t>
      </w:r>
      <w:r w:rsidR="005241E0" w:rsidRPr="0019691D">
        <w:tab/>
      </w:r>
      <w:r w:rsidR="005241E0" w:rsidRPr="0019691D">
        <w:tab/>
      </w:r>
    </w:p>
    <w:bookmarkEnd w:id="5"/>
    <w:bookmarkEnd w:id="10"/>
    <w:p w14:paraId="582160DA" w14:textId="7B54433E" w:rsidR="005241E0" w:rsidRPr="005241E0" w:rsidRDefault="00521D4D" w:rsidP="008B6987">
      <w:pPr>
        <w:jc w:val="both"/>
      </w:pPr>
      <w:r>
        <w:t xml:space="preserve">- </w:t>
      </w:r>
      <w:r w:rsidR="00B07545">
        <w:t xml:space="preserve">The </w:t>
      </w:r>
      <w:r w:rsidR="00FE25D8">
        <w:t>“</w:t>
      </w:r>
      <w:hyperlink r:id="rId12" w:history="1">
        <w:r w:rsidR="00FE25D8" w:rsidRPr="00FE25D8">
          <w:rPr>
            <w:rStyle w:val="Hyperlink"/>
          </w:rPr>
          <w:t>ITU-T Industry Engagement Workshop 2026: Making industry successful through standardization</w:t>
        </w:r>
      </w:hyperlink>
      <w:r w:rsidR="00FE25D8">
        <w:t xml:space="preserve">” was held on </w:t>
      </w:r>
      <w:r w:rsidR="00FE25D8" w:rsidRPr="00FE25D8">
        <w:t>27 March 2026</w:t>
      </w:r>
      <w:r w:rsidR="00FE25D8">
        <w:t xml:space="preserve">, hosted by ETSI at its headquarters in </w:t>
      </w:r>
      <w:r w:rsidR="00FE25D8" w:rsidRPr="00FE25D8">
        <w:t>Sophia Antipolis,</w:t>
      </w:r>
      <w:r w:rsidR="00FE25D8">
        <w:t xml:space="preserve"> France. The workshop gathered senior stakeholders in standardization from industry leaders, discussed the need for transformation of ITU-T’s focus, how standardization can support areas such as artificial intelligence, </w:t>
      </w:r>
      <w:r w:rsidR="00FE25D8" w:rsidRPr="00FE25D8">
        <w:t>quantum technologies, codecs, smart cities, and digital infrastructure</w:t>
      </w:r>
      <w:r w:rsidR="00FE25D8">
        <w:t>; i</w:t>
      </w:r>
      <w:r w:rsidR="00FE25D8" w:rsidRPr="00FE25D8">
        <w:t xml:space="preserve">ndustry use of standards and </w:t>
      </w:r>
      <w:r w:rsidR="00233D6A">
        <w:t xml:space="preserve">its </w:t>
      </w:r>
      <w:r w:rsidR="00FE25D8" w:rsidRPr="00FE25D8">
        <w:t>success stories</w:t>
      </w:r>
      <w:r w:rsidR="00233D6A">
        <w:t xml:space="preserve">; and the relations between open source and standardization. </w:t>
      </w:r>
      <w:r w:rsidR="00233D6A" w:rsidRPr="008B6987">
        <w:t>The output of the workshop will provide guidance to the Rapporteur Group on Industry Engagement and Strategic and Operational Planning (RG-IES) of TSAG.</w:t>
      </w:r>
    </w:p>
    <w:p w14:paraId="138D78F8" w14:textId="41ECAE7D" w:rsidR="005241E0" w:rsidRDefault="00521D4D" w:rsidP="008B6987">
      <w:pPr>
        <w:jc w:val="both"/>
        <w:rPr>
          <w:rFonts w:eastAsia="MS Mincho"/>
          <w:bCs/>
        </w:rPr>
      </w:pPr>
      <w:r>
        <w:t xml:space="preserve">- </w:t>
      </w:r>
      <w:r w:rsidR="00233D6A">
        <w:t xml:space="preserve">TSAG RG-IES had two interim e-Meetings, discussed various topics </w:t>
      </w:r>
      <w:r w:rsidR="008C7227">
        <w:t xml:space="preserve">including </w:t>
      </w:r>
      <w:r w:rsidR="00233D6A">
        <w:t>Industry Engagement, especially</w:t>
      </w:r>
      <w:r w:rsidR="009E6008">
        <w:t xml:space="preserve"> among others</w:t>
      </w:r>
      <w:r w:rsidR="00233D6A">
        <w:t xml:space="preserve">, </w:t>
      </w:r>
      <w:r w:rsidR="008C7227">
        <w:t xml:space="preserve">each ITU-T Study Group’s input on ITU-T Standards Success Stories, and a proposal from a Sector Member to establish </w:t>
      </w:r>
      <w:r w:rsidR="008C7227" w:rsidRPr="007E3066">
        <w:rPr>
          <w:rFonts w:eastAsia="MS Mincho"/>
          <w:bCs/>
        </w:rPr>
        <w:t>ITU-T Next Generation Award</w:t>
      </w:r>
      <w:r w:rsidR="008C7227">
        <w:rPr>
          <w:rFonts w:eastAsia="MS Mincho"/>
          <w:bCs/>
        </w:rPr>
        <w:t xml:space="preserve">. For the latter, ISCG Chair requested to bring it to ISCG for harmonization across the sectors and the General Secretariat (Annex). The proposer expressed their intention to submit another contribution to the next RG-IES meeting to further describe the details, including to continue gap analysis with other SDOs, and to finalize selection criteria. </w:t>
      </w:r>
      <w:r w:rsidR="009E6008">
        <w:rPr>
          <w:rFonts w:eastAsia="MS Mincho"/>
          <w:bCs/>
        </w:rPr>
        <w:t>The proposer</w:t>
      </w:r>
      <w:r w:rsidR="008C7227">
        <w:rPr>
          <w:rFonts w:eastAsia="MS Mincho"/>
          <w:bCs/>
        </w:rPr>
        <w:t xml:space="preserve"> also encouraged</w:t>
      </w:r>
      <w:r w:rsidR="009E6008">
        <w:rPr>
          <w:rFonts w:eastAsia="MS Mincho"/>
          <w:bCs/>
        </w:rPr>
        <w:t xml:space="preserve"> RG-IES delegates</w:t>
      </w:r>
      <w:r w:rsidR="008C7227">
        <w:rPr>
          <w:rFonts w:eastAsia="MS Mincho"/>
          <w:bCs/>
        </w:rPr>
        <w:t xml:space="preserve"> to provide any inputs on gap analysis. </w:t>
      </w:r>
    </w:p>
    <w:p w14:paraId="506A8ACA" w14:textId="198A2AE4" w:rsidR="008C7227" w:rsidRPr="00521D4D" w:rsidRDefault="008C7227" w:rsidP="00CB3046">
      <w:pPr>
        <w:keepNext/>
        <w:keepLines/>
        <w:jc w:val="both"/>
        <w:rPr>
          <w:b/>
          <w:bCs/>
        </w:rPr>
      </w:pPr>
      <w:r w:rsidRPr="00521D4D">
        <w:rPr>
          <w:b/>
          <w:bCs/>
        </w:rPr>
        <w:t>Attachments</w:t>
      </w:r>
      <w:r w:rsidR="008B6987">
        <w:rPr>
          <w:b/>
          <w:bCs/>
        </w:rPr>
        <w:t xml:space="preserve"> 1</w:t>
      </w:r>
      <w:r w:rsidRPr="00521D4D">
        <w:rPr>
          <w:b/>
          <w:bCs/>
        </w:rPr>
        <w:t>:</w:t>
      </w:r>
    </w:p>
    <w:p w14:paraId="5D7E54E9" w14:textId="24D1D847" w:rsidR="008C7227" w:rsidRDefault="008C7227" w:rsidP="00CB3046">
      <w:pPr>
        <w:keepNext/>
        <w:keepLines/>
        <w:jc w:val="both"/>
      </w:pPr>
      <w:r w:rsidRPr="006F530A">
        <w:rPr>
          <w:rFonts w:eastAsia="MS Mincho"/>
          <w:sz w:val="22"/>
          <w:szCs w:val="22"/>
        </w:rPr>
        <w:t>TSAG-</w:t>
      </w:r>
      <w:hyperlink r:id="rId13" w:history="1">
        <w:r w:rsidRPr="006F530A">
          <w:rPr>
            <w:rStyle w:val="Hyperlink"/>
            <w:rFonts w:eastAsia="MS Mincho"/>
            <w:sz w:val="22"/>
            <w:szCs w:val="22"/>
          </w:rPr>
          <w:t>C33</w:t>
        </w:r>
      </w:hyperlink>
      <w:r w:rsidR="008B6987">
        <w:t xml:space="preserve"> </w:t>
      </w:r>
      <w:r w:rsidRPr="006F530A">
        <w:rPr>
          <w:rFonts w:eastAsia="MS Mincho"/>
          <w:sz w:val="22"/>
          <w:szCs w:val="22"/>
        </w:rPr>
        <w:t>(2026-01)</w:t>
      </w:r>
      <w:r w:rsidRPr="008C7227">
        <w:t>: Proposal for the Establishment of an "ITU-T Next Generation Leaders Awards" Programme and Associated Tracking Mechanism (</w:t>
      </w:r>
      <w:r>
        <w:t>C</w:t>
      </w:r>
      <w:r w:rsidRPr="008C7227">
        <w:t>hina Academy of Information and Communications Technology, China Mobile Communications Co. Ltd., ZTE Corporation (China)</w:t>
      </w:r>
      <w:r>
        <w:t>)</w:t>
      </w:r>
      <w:r w:rsidR="008B6987">
        <w:t>.</w:t>
      </w:r>
    </w:p>
    <w:p w14:paraId="238324C8" w14:textId="77777777" w:rsidR="008B6987" w:rsidRDefault="008B6987" w:rsidP="00CB3046">
      <w:pPr>
        <w:keepNext/>
        <w:keepLines/>
        <w:jc w:val="both"/>
      </w:pPr>
    </w:p>
    <w:p w14:paraId="5CE866D3" w14:textId="345C9A0D" w:rsidR="008B6987" w:rsidRPr="00521D4D" w:rsidRDefault="008B6987" w:rsidP="00CB3046">
      <w:pPr>
        <w:keepNext/>
        <w:keepLines/>
        <w:jc w:val="both"/>
        <w:rPr>
          <w:b/>
          <w:bCs/>
        </w:rPr>
      </w:pPr>
      <w:r w:rsidRPr="00521D4D">
        <w:rPr>
          <w:b/>
          <w:bCs/>
        </w:rPr>
        <w:lastRenderedPageBreak/>
        <w:t>Attachments</w:t>
      </w:r>
      <w:r>
        <w:rPr>
          <w:b/>
          <w:bCs/>
        </w:rPr>
        <w:t xml:space="preserve"> 2</w:t>
      </w:r>
      <w:r w:rsidRPr="00521D4D">
        <w:rPr>
          <w:b/>
          <w:bCs/>
        </w:rPr>
        <w:t>:</w:t>
      </w:r>
    </w:p>
    <w:p w14:paraId="066982BC" w14:textId="4EB198FD" w:rsidR="005241E0" w:rsidRDefault="008C7227" w:rsidP="008B6987">
      <w:pPr>
        <w:jc w:val="both"/>
        <w:rPr>
          <w:rFonts w:eastAsia="MS Mincho"/>
          <w:bCs/>
        </w:rPr>
      </w:pPr>
      <w:hyperlink r:id="rId14" w:history="1">
        <w:r w:rsidRPr="004F1610">
          <w:rPr>
            <w:rStyle w:val="Hyperlink"/>
            <w:rFonts w:eastAsia="MS Mincho"/>
            <w:bCs/>
          </w:rPr>
          <w:t>RGIES-DOC1(260225)</w:t>
        </w:r>
      </w:hyperlink>
      <w:r>
        <w:t xml:space="preserve">: </w:t>
      </w:r>
      <w:r w:rsidRPr="007E3066">
        <w:rPr>
          <w:rFonts w:eastAsia="MS Mincho"/>
          <w:bCs/>
        </w:rPr>
        <w:t>ZTE Corporation</w:t>
      </w:r>
      <w:r>
        <w:rPr>
          <w:rFonts w:eastAsia="MS Mincho"/>
          <w:bCs/>
        </w:rPr>
        <w:t xml:space="preserve"> </w:t>
      </w:r>
      <w:r w:rsidRPr="008C7227">
        <w:t>(China)</w:t>
      </w:r>
      <w:r>
        <w:rPr>
          <w:rFonts w:eastAsia="MS Mincho"/>
          <w:bCs/>
        </w:rPr>
        <w:t xml:space="preserve">: </w:t>
      </w:r>
      <w:r w:rsidRPr="007E3066">
        <w:rPr>
          <w:rFonts w:eastAsia="MS Mincho"/>
          <w:bCs/>
        </w:rPr>
        <w:t>Gap Analysis of proposed ITU-T Next Generation Award</w:t>
      </w:r>
      <w:r w:rsidR="008B6987">
        <w:rPr>
          <w:rFonts w:eastAsia="MS Mincho"/>
          <w:bCs/>
        </w:rPr>
        <w:t>.</w:t>
      </w:r>
    </w:p>
    <w:p w14:paraId="23E23DA8" w14:textId="039B8A8B" w:rsidR="009E6008" w:rsidRPr="005241E0" w:rsidRDefault="009E6008" w:rsidP="009E6008">
      <w:pPr>
        <w:jc w:val="center"/>
      </w:pPr>
      <w:r>
        <w:rPr>
          <w:rFonts w:eastAsia="MS Mincho"/>
          <w:bCs/>
        </w:rPr>
        <w:t>_____________</w:t>
      </w:r>
    </w:p>
    <w:sectPr w:rsidR="009E6008" w:rsidRPr="005241E0"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85D8" w14:textId="77777777" w:rsidR="00897BD7" w:rsidRDefault="00897BD7">
      <w:r>
        <w:separator/>
      </w:r>
    </w:p>
  </w:endnote>
  <w:endnote w:type="continuationSeparator" w:id="0">
    <w:p w14:paraId="3865DA3B" w14:textId="77777777" w:rsidR="00897BD7" w:rsidRDefault="0089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B3046" w:rsidRPr="00CB3046" w14:paraId="4911FD1C" w14:textId="77777777" w:rsidTr="00E67F11">
      <w:trPr>
        <w:jc w:val="center"/>
      </w:trPr>
      <w:tc>
        <w:tcPr>
          <w:tcW w:w="1803" w:type="dxa"/>
          <w:vAlign w:val="center"/>
        </w:tcPr>
        <w:p w14:paraId="1F8B1FAC" w14:textId="77777777" w:rsidR="00CB3046" w:rsidRPr="00CB3046" w:rsidRDefault="00CB3046" w:rsidP="00CB3046">
          <w:pPr>
            <w:pStyle w:val="Header"/>
            <w:tabs>
              <w:tab w:val="left" w:pos="8080"/>
              <w:tab w:val="right" w:pos="9072"/>
            </w:tabs>
            <w:rPr>
              <w:bCs/>
            </w:rPr>
          </w:pPr>
        </w:p>
      </w:tc>
      <w:tc>
        <w:tcPr>
          <w:tcW w:w="8261" w:type="dxa"/>
        </w:tcPr>
        <w:p w14:paraId="374ABBC3" w14:textId="43297FAC" w:rsidR="00CB3046" w:rsidRPr="00CB3046" w:rsidRDefault="00CB3046" w:rsidP="00CB3046">
          <w:pPr>
            <w:pStyle w:val="Header"/>
            <w:tabs>
              <w:tab w:val="left" w:pos="6843"/>
              <w:tab w:val="right" w:pos="9072"/>
            </w:tabs>
            <w:rPr>
              <w:b/>
              <w:bCs/>
              <w:lang w:val="es-ES"/>
            </w:rPr>
          </w:pPr>
          <w:r w:rsidRPr="00CB3046">
            <w:rPr>
              <w:bCs/>
              <w:lang w:val="fr-CH"/>
            </w:rPr>
            <w:tab/>
          </w:r>
          <w:r w:rsidRPr="00CB3046">
            <w:rPr>
              <w:bCs/>
              <w:lang w:val="es-ES"/>
            </w:rPr>
            <w:t>ISCG/26-2/</w:t>
          </w:r>
          <w:r>
            <w:rPr>
              <w:bCs/>
              <w:lang w:val="es-ES"/>
            </w:rPr>
            <w:t>7</w:t>
          </w:r>
          <w:r w:rsidRPr="00CB3046">
            <w:rPr>
              <w:bCs/>
              <w:lang w:val="es-ES"/>
            </w:rPr>
            <w:t>-E</w:t>
          </w:r>
          <w:r w:rsidRPr="00CB3046">
            <w:rPr>
              <w:bCs/>
              <w:lang w:val="es-ES"/>
            </w:rPr>
            <w:tab/>
          </w:r>
          <w:r w:rsidRPr="00CB3046">
            <w:rPr>
              <w:bCs/>
            </w:rPr>
            <w:fldChar w:fldCharType="begin"/>
          </w:r>
          <w:r w:rsidRPr="00CB3046">
            <w:rPr>
              <w:bCs/>
              <w:lang w:val="es-ES"/>
            </w:rPr>
            <w:instrText>PAGE</w:instrText>
          </w:r>
          <w:r w:rsidRPr="00CB3046">
            <w:rPr>
              <w:bCs/>
            </w:rPr>
            <w:fldChar w:fldCharType="separate"/>
          </w:r>
          <w:r w:rsidRPr="00CB3046">
            <w:rPr>
              <w:bCs/>
              <w:lang w:val="es-ES"/>
            </w:rPr>
            <w:t>32</w:t>
          </w:r>
          <w:r w:rsidRPr="00CB3046">
            <w:rPr>
              <w:bCs/>
              <w:lang w:val="es-ES"/>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5BA76277" w14:textId="77777777" w:rsidTr="005241E0">
      <w:trPr>
        <w:jc w:val="center"/>
      </w:trPr>
      <w:tc>
        <w:tcPr>
          <w:tcW w:w="7326" w:type="dxa"/>
          <w:vAlign w:val="center"/>
        </w:tcPr>
        <w:p w14:paraId="632A53C7"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DCEE1B"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E812" w14:textId="77777777" w:rsidR="00897BD7" w:rsidRDefault="00897BD7">
      <w:r>
        <w:t>____________________</w:t>
      </w:r>
    </w:p>
  </w:footnote>
  <w:footnote w:type="continuationSeparator" w:id="0">
    <w:p w14:paraId="0A47A13E" w14:textId="77777777" w:rsidR="00897BD7" w:rsidRDefault="0089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B3043BD" w14:textId="77777777" w:rsidTr="00F74694">
      <w:trPr>
        <w:trHeight w:val="1304"/>
        <w:jc w:val="center"/>
      </w:trPr>
      <w:tc>
        <w:tcPr>
          <w:tcW w:w="6546" w:type="dxa"/>
        </w:tcPr>
        <w:p w14:paraId="0FD780D5" w14:textId="77777777" w:rsidR="00AD3606" w:rsidRPr="009621F8" w:rsidRDefault="00533E0D"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7CC279CC" wp14:editId="334D07E8">
                    <wp:simplePos x="0" y="0"/>
                    <wp:positionH relativeFrom="column">
                      <wp:posOffset>534704</wp:posOffset>
                    </wp:positionH>
                    <wp:positionV relativeFrom="paragraph">
                      <wp:posOffset>4119</wp:posOffset>
                    </wp:positionV>
                    <wp:extent cx="4905392"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92" cy="471170"/>
                            </a:xfrm>
                            <a:prstGeom prst="rect">
                              <a:avLst/>
                            </a:prstGeom>
                            <a:solidFill>
                              <a:schemeClr val="bg1"/>
                            </a:solidFill>
                            <a:ln w="9525">
                              <a:noFill/>
                              <a:miter lim="800000"/>
                              <a:headEnd/>
                              <a:tailEnd/>
                            </a:ln>
                          </wps:spPr>
                          <wps:txbx>
                            <w:txbxContent>
                              <w:p w14:paraId="5AB7EED9" w14:textId="519409B6"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 xml:space="preserve">Geneva, </w:t>
                                </w:r>
                                <w:r w:rsidR="00B224B5">
                                  <w:rPr>
                                    <w:sz w:val="20"/>
                                  </w:rPr>
                                  <w:t xml:space="preserve">10 April </w:t>
                                </w:r>
                                <w:r w:rsidR="00024572">
                                  <w:rPr>
                                    <w:sz w:val="20"/>
                                  </w:rPr>
                                  <w:t>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C279CC" id="_x0000_t202" coordsize="21600,21600" o:spt="202" path="m,l,21600r21600,l21600,xe">
                    <v:stroke joinstyle="miter"/>
                    <v:path gradientshapeok="t" o:connecttype="rect"/>
                  </v:shapetype>
                  <v:shape id="Text Box 2" o:spid="_x0000_s1026" type="#_x0000_t202" style="position:absolute;margin-left:42.1pt;margin-top:.3pt;width:386.2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" fillcolor="white [3212]" stroked="f">
                    <v:textbox style="mso-fit-shape-to-text:t" inset="1mm">
                      <w:txbxContent>
                        <w:p w14:paraId="5AB7EED9" w14:textId="519409B6"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 xml:space="preserve">Geneva, </w:t>
                          </w:r>
                          <w:r w:rsidR="00B224B5">
                            <w:rPr>
                              <w:sz w:val="20"/>
                            </w:rPr>
                            <w:t xml:space="preserve">10 April </w:t>
                          </w:r>
                          <w:r w:rsidR="00024572">
                            <w:rPr>
                              <w:sz w:val="20"/>
                            </w:rPr>
                            <w:t>2026</w:t>
                          </w:r>
                        </w:p>
                      </w:txbxContent>
                    </v:textbox>
                  </v:shape>
                </w:pict>
              </mc:Fallback>
            </mc:AlternateContent>
          </w:r>
          <w:r>
            <w:rPr>
              <w:rFonts w:ascii="Arial" w:hAnsi="Arial" w:cs="Arial"/>
              <w:b/>
              <w:bCs/>
              <w:noProof/>
              <w:color w:val="009CD6"/>
              <w:sz w:val="36"/>
              <w:szCs w:val="36"/>
            </w:rPr>
            <w:drawing>
              <wp:inline distT="0" distB="0" distL="0" distR="0" wp14:anchorId="3F402996" wp14:editId="1B8843E6">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9761B1B" w14:textId="77777777" w:rsidR="00AD3606" w:rsidRDefault="00AD3606" w:rsidP="00AD3606">
          <w:pPr>
            <w:pStyle w:val="Header"/>
            <w:jc w:val="right"/>
            <w:rPr>
              <w:rFonts w:ascii="Arial" w:hAnsi="Arial" w:cs="Arial"/>
              <w:b/>
              <w:bCs/>
              <w:color w:val="009CD6"/>
              <w:szCs w:val="18"/>
            </w:rPr>
          </w:pPr>
        </w:p>
        <w:p w14:paraId="22FACFB3" w14:textId="77777777" w:rsidR="00AD3606" w:rsidRDefault="00AD3606" w:rsidP="00AD3606">
          <w:pPr>
            <w:pStyle w:val="Header"/>
            <w:jc w:val="right"/>
            <w:rPr>
              <w:rFonts w:ascii="Arial" w:hAnsi="Arial" w:cs="Arial"/>
              <w:b/>
              <w:bCs/>
              <w:color w:val="009CD6"/>
              <w:szCs w:val="18"/>
            </w:rPr>
          </w:pPr>
        </w:p>
        <w:p w14:paraId="0AFEC74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5A38C0B"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5A19151" wp14:editId="3250A43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9A01E"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4572"/>
    <w:rsid w:val="000525A1"/>
    <w:rsid w:val="00063016"/>
    <w:rsid w:val="00066795"/>
    <w:rsid w:val="00076AF6"/>
    <w:rsid w:val="00085CF2"/>
    <w:rsid w:val="000A1525"/>
    <w:rsid w:val="000B1705"/>
    <w:rsid w:val="000D75B2"/>
    <w:rsid w:val="000F6AB8"/>
    <w:rsid w:val="001121F5"/>
    <w:rsid w:val="00130599"/>
    <w:rsid w:val="00131E18"/>
    <w:rsid w:val="001400DC"/>
    <w:rsid w:val="00140CE1"/>
    <w:rsid w:val="00147C54"/>
    <w:rsid w:val="0016259B"/>
    <w:rsid w:val="0017539C"/>
    <w:rsid w:val="00175AC2"/>
    <w:rsid w:val="0017609F"/>
    <w:rsid w:val="0019691D"/>
    <w:rsid w:val="001A54CB"/>
    <w:rsid w:val="001A7D1D"/>
    <w:rsid w:val="001B0595"/>
    <w:rsid w:val="001B51DD"/>
    <w:rsid w:val="001C628E"/>
    <w:rsid w:val="001D62DF"/>
    <w:rsid w:val="001E0F7B"/>
    <w:rsid w:val="001E0FBE"/>
    <w:rsid w:val="001E5FE7"/>
    <w:rsid w:val="00205D4E"/>
    <w:rsid w:val="002119FD"/>
    <w:rsid w:val="002130E0"/>
    <w:rsid w:val="00227AAB"/>
    <w:rsid w:val="00233D6A"/>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56734"/>
    <w:rsid w:val="00361465"/>
    <w:rsid w:val="00365D86"/>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80A"/>
    <w:rsid w:val="00495B0B"/>
    <w:rsid w:val="004A1B8B"/>
    <w:rsid w:val="004B51C8"/>
    <w:rsid w:val="004C1B67"/>
    <w:rsid w:val="004D1851"/>
    <w:rsid w:val="004D599D"/>
    <w:rsid w:val="004E06D1"/>
    <w:rsid w:val="004E2EA5"/>
    <w:rsid w:val="004E3AEB"/>
    <w:rsid w:val="00500CA4"/>
    <w:rsid w:val="0050223C"/>
    <w:rsid w:val="00511980"/>
    <w:rsid w:val="005170FD"/>
    <w:rsid w:val="00521D4D"/>
    <w:rsid w:val="005241E0"/>
    <w:rsid w:val="005243FF"/>
    <w:rsid w:val="00524E9C"/>
    <w:rsid w:val="005311D6"/>
    <w:rsid w:val="00533E0D"/>
    <w:rsid w:val="00536422"/>
    <w:rsid w:val="0054526E"/>
    <w:rsid w:val="005536C2"/>
    <w:rsid w:val="00564FBC"/>
    <w:rsid w:val="005800BC"/>
    <w:rsid w:val="00582442"/>
    <w:rsid w:val="005A335D"/>
    <w:rsid w:val="005B0869"/>
    <w:rsid w:val="005C13D4"/>
    <w:rsid w:val="005E2BD5"/>
    <w:rsid w:val="005E4F47"/>
    <w:rsid w:val="005F3269"/>
    <w:rsid w:val="005F7BEB"/>
    <w:rsid w:val="00612123"/>
    <w:rsid w:val="00615961"/>
    <w:rsid w:val="00623AE3"/>
    <w:rsid w:val="006261F4"/>
    <w:rsid w:val="0064737F"/>
    <w:rsid w:val="00647966"/>
    <w:rsid w:val="006535F1"/>
    <w:rsid w:val="0065557D"/>
    <w:rsid w:val="00660D50"/>
    <w:rsid w:val="00662984"/>
    <w:rsid w:val="00663050"/>
    <w:rsid w:val="006716BB"/>
    <w:rsid w:val="006973C8"/>
    <w:rsid w:val="006A4862"/>
    <w:rsid w:val="006B1859"/>
    <w:rsid w:val="006B6680"/>
    <w:rsid w:val="006B6DCC"/>
    <w:rsid w:val="006C2E4B"/>
    <w:rsid w:val="00701C70"/>
    <w:rsid w:val="00702DEF"/>
    <w:rsid w:val="00706861"/>
    <w:rsid w:val="00722C25"/>
    <w:rsid w:val="007247CF"/>
    <w:rsid w:val="00726B8C"/>
    <w:rsid w:val="00727C44"/>
    <w:rsid w:val="007307F0"/>
    <w:rsid w:val="0075051B"/>
    <w:rsid w:val="0077110E"/>
    <w:rsid w:val="00775655"/>
    <w:rsid w:val="007849D5"/>
    <w:rsid w:val="00793188"/>
    <w:rsid w:val="00794D34"/>
    <w:rsid w:val="00806E3C"/>
    <w:rsid w:val="00813E5E"/>
    <w:rsid w:val="00816C2C"/>
    <w:rsid w:val="0083581B"/>
    <w:rsid w:val="00860EED"/>
    <w:rsid w:val="00863874"/>
    <w:rsid w:val="00864AFF"/>
    <w:rsid w:val="00865925"/>
    <w:rsid w:val="00870C17"/>
    <w:rsid w:val="00872B5C"/>
    <w:rsid w:val="00875FD1"/>
    <w:rsid w:val="00877BF2"/>
    <w:rsid w:val="00884F3A"/>
    <w:rsid w:val="00891503"/>
    <w:rsid w:val="00897BD7"/>
    <w:rsid w:val="008A2F06"/>
    <w:rsid w:val="008B4A6A"/>
    <w:rsid w:val="008B6987"/>
    <w:rsid w:val="008C7227"/>
    <w:rsid w:val="008C7E27"/>
    <w:rsid w:val="008D04A8"/>
    <w:rsid w:val="008F3822"/>
    <w:rsid w:val="008F7448"/>
    <w:rsid w:val="0090147A"/>
    <w:rsid w:val="0090389B"/>
    <w:rsid w:val="009173EF"/>
    <w:rsid w:val="00932906"/>
    <w:rsid w:val="00961860"/>
    <w:rsid w:val="00961B0B"/>
    <w:rsid w:val="00962D33"/>
    <w:rsid w:val="00962E66"/>
    <w:rsid w:val="009B38C3"/>
    <w:rsid w:val="009B44BD"/>
    <w:rsid w:val="009E17BD"/>
    <w:rsid w:val="009E485A"/>
    <w:rsid w:val="009E6008"/>
    <w:rsid w:val="00A04CEC"/>
    <w:rsid w:val="00A27F92"/>
    <w:rsid w:val="00A32257"/>
    <w:rsid w:val="00A36D20"/>
    <w:rsid w:val="00A43C03"/>
    <w:rsid w:val="00A46CD0"/>
    <w:rsid w:val="00A514A4"/>
    <w:rsid w:val="00A52C84"/>
    <w:rsid w:val="00A55622"/>
    <w:rsid w:val="00A83502"/>
    <w:rsid w:val="00AC6BFA"/>
    <w:rsid w:val="00AD15B3"/>
    <w:rsid w:val="00AD3606"/>
    <w:rsid w:val="00AD4A3D"/>
    <w:rsid w:val="00AF6E49"/>
    <w:rsid w:val="00B04A67"/>
    <w:rsid w:val="00B0583C"/>
    <w:rsid w:val="00B07545"/>
    <w:rsid w:val="00B224B5"/>
    <w:rsid w:val="00B248BC"/>
    <w:rsid w:val="00B358B2"/>
    <w:rsid w:val="00B40A81"/>
    <w:rsid w:val="00B44910"/>
    <w:rsid w:val="00B72267"/>
    <w:rsid w:val="00B73DD1"/>
    <w:rsid w:val="00B76EB6"/>
    <w:rsid w:val="00B7737B"/>
    <w:rsid w:val="00B824C8"/>
    <w:rsid w:val="00B82C1B"/>
    <w:rsid w:val="00B849D3"/>
    <w:rsid w:val="00B84B9D"/>
    <w:rsid w:val="00BA3A51"/>
    <w:rsid w:val="00BC251A"/>
    <w:rsid w:val="00BD032B"/>
    <w:rsid w:val="00BD0614"/>
    <w:rsid w:val="00BD094B"/>
    <w:rsid w:val="00BE2640"/>
    <w:rsid w:val="00C01189"/>
    <w:rsid w:val="00C27DB8"/>
    <w:rsid w:val="00C374DE"/>
    <w:rsid w:val="00C47AD4"/>
    <w:rsid w:val="00C52D81"/>
    <w:rsid w:val="00C55198"/>
    <w:rsid w:val="00C725C6"/>
    <w:rsid w:val="00C922C7"/>
    <w:rsid w:val="00C951B1"/>
    <w:rsid w:val="00CA6393"/>
    <w:rsid w:val="00CB18FF"/>
    <w:rsid w:val="00CB24AA"/>
    <w:rsid w:val="00CB3046"/>
    <w:rsid w:val="00CD0C08"/>
    <w:rsid w:val="00CD3C91"/>
    <w:rsid w:val="00CE03FB"/>
    <w:rsid w:val="00CE433C"/>
    <w:rsid w:val="00CF0161"/>
    <w:rsid w:val="00CF33F3"/>
    <w:rsid w:val="00D06183"/>
    <w:rsid w:val="00D143DF"/>
    <w:rsid w:val="00D22C42"/>
    <w:rsid w:val="00D45669"/>
    <w:rsid w:val="00D464CC"/>
    <w:rsid w:val="00D522F6"/>
    <w:rsid w:val="00D65041"/>
    <w:rsid w:val="00D67039"/>
    <w:rsid w:val="00D74BFC"/>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90D9E"/>
    <w:rsid w:val="00EA1733"/>
    <w:rsid w:val="00EB0D6F"/>
    <w:rsid w:val="00EB2232"/>
    <w:rsid w:val="00EC5337"/>
    <w:rsid w:val="00EC7C07"/>
    <w:rsid w:val="00ED4E39"/>
    <w:rsid w:val="00EE49E8"/>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E25D8"/>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87"/>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CB3046"/>
    <w:pPr>
      <w:framePr w:hSpace="180" w:wrap="around" w:vAnchor="page" w:hAnchor="page" w:x="1395"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md/meetingdoc.asp?lang=en&amp;parent=T25-TSAG-C-00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ITU-T/Workshops-and-Seminars/2026/0327/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ott.mansfield@ericss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itu.int/meetings/ITU-T/T25-TSAGRGM/RGIES-260225/DOCs/T25-TSAGRGM-RGIES-260225-DOC-0001.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A804E00A-A34D-42B5-9E24-01D2C0655EC9}">
  <ds:schemaRefs>
    <ds:schemaRef ds:uri="http://schemas.microsoft.com/office/2006/metadata/properties"/>
    <ds:schemaRef ds:uri="http://purl.org/dc/terms/"/>
    <ds:schemaRef ds:uri="http://schemas.microsoft.com/sharepoint/v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D3F12F1-1F94-470B-9445-F840C53E6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ISCG-TEMPLATE</Template>
  <TotalTime>4</TotalTime>
  <Pages>2</Pages>
  <Words>366</Words>
  <Characters>2258</Characters>
  <Application>Microsoft Office Word</Application>
  <DocSecurity>4</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on ITU T’s industry engagement activities</dc:title>
  <dc:subject>ITU Council Working Group for strategic and financial plans 2028-2031</dc:subject>
  <dc:creator>GBS</dc:creator>
  <cp:keywords>CWG-SFP</cp:keywords>
  <dc:description/>
  <cp:lastModifiedBy>GBS</cp:lastModifiedBy>
  <cp:revision>2</cp:revision>
  <dcterms:created xsi:type="dcterms:W3CDTF">2026-04-01T12:23:00Z</dcterms:created>
  <dcterms:modified xsi:type="dcterms:W3CDTF">2026-04-01T12:23:00Z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ies>
</file>