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7BBFB544"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sidRPr="007865D4">
              <w:rPr>
                <w:b/>
                <w:lang w:val="fr-FR"/>
              </w:rPr>
              <w:t>/</w:t>
            </w:r>
            <w:r w:rsidR="00313C5E" w:rsidRPr="007865D4">
              <w:rPr>
                <w:b/>
                <w:lang w:val="fr-FR"/>
              </w:rPr>
              <w:t>1</w:t>
            </w:r>
            <w:r w:rsidR="00A60478" w:rsidRPr="007865D4">
              <w:rPr>
                <w:b/>
                <w:lang w:val="fr-FR"/>
              </w:rPr>
              <w:t>4</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2562C029" w:rsidR="00AD3606" w:rsidRPr="00147C54" w:rsidRDefault="00313C5E" w:rsidP="00C07ECC">
            <w:pPr>
              <w:tabs>
                <w:tab w:val="left" w:pos="851"/>
              </w:tabs>
              <w:spacing w:before="0"/>
              <w:jc w:val="right"/>
              <w:rPr>
                <w:b/>
              </w:rPr>
            </w:pPr>
            <w:r>
              <w:rPr>
                <w:b/>
              </w:rPr>
              <w:t>29</w:t>
            </w:r>
            <w:r w:rsidR="00B57C59">
              <w:rPr>
                <w:b/>
              </w:rPr>
              <w:t xml:space="preserve"> January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5A74F0F0" w:rsidR="007E04A5" w:rsidRPr="00147C54" w:rsidRDefault="007E04A5" w:rsidP="00C07ECC">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2448AA">
              <w:t>the Chair of the Inter-Sector Coordination Group</w:t>
            </w:r>
          </w:p>
        </w:tc>
      </w:tr>
      <w:bookmarkEnd w:id="8"/>
      <w:tr w:rsidR="007E04A5" w:rsidRPr="00147C54" w14:paraId="16B8590D" w14:textId="77777777" w:rsidTr="00C07ECC">
        <w:trPr>
          <w:cantSplit/>
        </w:trPr>
        <w:tc>
          <w:tcPr>
            <w:tcW w:w="9639" w:type="dxa"/>
            <w:gridSpan w:val="2"/>
            <w:tcMar>
              <w:left w:w="0" w:type="dxa"/>
            </w:tcMar>
          </w:tcPr>
          <w:p w14:paraId="3EBDE99F" w14:textId="1FB82BA4" w:rsidR="007E04A5" w:rsidRPr="00147C54" w:rsidRDefault="001A2463" w:rsidP="00C07ECC">
            <w:pPr>
              <w:pStyle w:val="Subtitle"/>
              <w:framePr w:hSpace="0" w:wrap="auto" w:xAlign="left" w:yAlign="inline"/>
            </w:pPr>
            <w:r>
              <w:t>FINAL REPORT OF THE FIRST MEETING 2026</w:t>
            </w:r>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393CFB80" w14:textId="2A2E08BF" w:rsidR="005241E0" w:rsidRPr="005241E0" w:rsidRDefault="00F16BAB" w:rsidP="00C07ECC">
            <w:pPr>
              <w:spacing w:before="160" w:after="120"/>
              <w:rPr>
                <w:sz w:val="26"/>
                <w:szCs w:val="26"/>
              </w:rPr>
            </w:pPr>
            <w:bookmarkStart w:id="9"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Admin (</w:t>
            </w:r>
            <w:r w:rsidR="001A2463">
              <w:rPr>
                <w:sz w:val="26"/>
                <w:szCs w:val="26"/>
              </w:rPr>
              <w:t>X</w:t>
            </w:r>
            <w:r w:rsidR="005241E0" w:rsidRPr="005241E0">
              <w:rPr>
                <w:sz w:val="26"/>
                <w:szCs w:val="26"/>
              </w:rPr>
              <w:t xml:space="preserve">) / Information </w:t>
            </w:r>
            <w:proofErr w:type="gramStart"/>
            <w:r w:rsidR="005241E0" w:rsidRPr="005241E0">
              <w:rPr>
                <w:sz w:val="26"/>
                <w:szCs w:val="26"/>
              </w:rPr>
              <w:t>(</w:t>
            </w:r>
            <w:r w:rsidR="001A2463">
              <w:rPr>
                <w:sz w:val="26"/>
                <w:szCs w:val="26"/>
              </w:rPr>
              <w:t xml:space="preserve"> </w:t>
            </w:r>
            <w:r w:rsidR="005241E0" w:rsidRPr="005241E0">
              <w:rPr>
                <w:sz w:val="26"/>
                <w:szCs w:val="26"/>
              </w:rPr>
              <w:t>)</w:t>
            </w:r>
            <w:proofErr w:type="gramEnd"/>
            <w:r w:rsidR="005241E0" w:rsidRPr="005241E0">
              <w:rPr>
                <w:sz w:val="26"/>
                <w:szCs w:val="26"/>
              </w:rPr>
              <w:t xml:space="preserve"> / Discussion </w:t>
            </w:r>
            <w:proofErr w:type="gramStart"/>
            <w:r w:rsidR="005241E0" w:rsidRPr="005241E0">
              <w:rPr>
                <w:sz w:val="26"/>
                <w:szCs w:val="26"/>
              </w:rPr>
              <w:t>(</w:t>
            </w:r>
            <w:r w:rsidR="005241E0">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tc>
      </w:tr>
      <w:tr w:rsidR="005241E0" w:rsidRPr="00701554" w14:paraId="14D83C7C" w14:textId="77777777" w:rsidTr="00C07ECC">
        <w:trPr>
          <w:cantSplit/>
        </w:trPr>
        <w:tc>
          <w:tcPr>
            <w:tcW w:w="9639" w:type="dxa"/>
            <w:gridSpan w:val="2"/>
            <w:tcBorders>
              <w:top w:val="single" w:sz="4" w:space="0" w:color="auto"/>
              <w:bottom w:val="single" w:sz="4" w:space="0" w:color="auto"/>
            </w:tcBorders>
            <w:tcMar>
              <w:left w:w="0" w:type="dxa"/>
            </w:tcMar>
          </w:tcPr>
          <w:p w14:paraId="5C8FF7EA" w14:textId="2DDB4CD5" w:rsidR="00701554" w:rsidRPr="00701554" w:rsidRDefault="005241E0" w:rsidP="00EB06AF">
            <w:pPr>
              <w:tabs>
                <w:tab w:val="clear" w:pos="567"/>
                <w:tab w:val="clear" w:pos="1134"/>
                <w:tab w:val="clear" w:pos="1701"/>
                <w:tab w:val="clear" w:pos="2268"/>
                <w:tab w:val="clear" w:pos="2835"/>
                <w:tab w:val="left" w:pos="993"/>
                <w:tab w:val="left" w:pos="5245"/>
              </w:tabs>
              <w:spacing w:before="0"/>
              <w:rPr>
                <w:szCs w:val="24"/>
              </w:rPr>
            </w:pPr>
            <w:r w:rsidRPr="00701554">
              <w:rPr>
                <w:b/>
                <w:bCs/>
                <w:sz w:val="26"/>
                <w:szCs w:val="26"/>
              </w:rPr>
              <w:t>Contact:</w:t>
            </w:r>
            <w:r w:rsidR="007865D4">
              <w:rPr>
                <w:b/>
                <w:bCs/>
                <w:sz w:val="26"/>
                <w:szCs w:val="26"/>
              </w:rPr>
              <w:tab/>
            </w:r>
            <w:r w:rsidR="00701554" w:rsidRPr="00701554">
              <w:rPr>
                <w:szCs w:val="24"/>
              </w:rPr>
              <w:t>Mr Fabio Bigi</w:t>
            </w:r>
            <w:r w:rsidR="00EB06AF">
              <w:rPr>
                <w:szCs w:val="24"/>
              </w:rPr>
              <w:tab/>
            </w:r>
            <w:r w:rsidR="00701554" w:rsidRPr="00701554">
              <w:rPr>
                <w:b/>
                <w:bCs/>
                <w:sz w:val="26"/>
                <w:szCs w:val="26"/>
              </w:rPr>
              <w:t>E-mail:</w:t>
            </w:r>
            <w:r w:rsidR="00701554" w:rsidRPr="00701554">
              <w:rPr>
                <w:b/>
                <w:bCs/>
                <w:szCs w:val="24"/>
              </w:rPr>
              <w:t xml:space="preserve"> </w:t>
            </w:r>
            <w:hyperlink r:id="rId11" w:history="1">
              <w:r w:rsidR="00701554" w:rsidRPr="00701554">
                <w:rPr>
                  <w:rStyle w:val="Hyperlink"/>
                  <w:szCs w:val="24"/>
                </w:rPr>
                <w:t>iscg@itu.int</w:t>
              </w:r>
            </w:hyperlink>
          </w:p>
          <w:p w14:paraId="1A26B31D" w14:textId="7EC31ECA" w:rsidR="00701554" w:rsidRPr="00701554" w:rsidRDefault="007865D4" w:rsidP="007865D4">
            <w:pPr>
              <w:tabs>
                <w:tab w:val="clear" w:pos="567"/>
                <w:tab w:val="clear" w:pos="1134"/>
                <w:tab w:val="left" w:pos="993"/>
              </w:tabs>
              <w:spacing w:before="0"/>
              <w:rPr>
                <w:szCs w:val="24"/>
              </w:rPr>
            </w:pPr>
            <w:r>
              <w:rPr>
                <w:szCs w:val="24"/>
              </w:rPr>
              <w:tab/>
            </w:r>
            <w:r w:rsidR="00701554" w:rsidRPr="00701554">
              <w:rPr>
                <w:szCs w:val="24"/>
              </w:rPr>
              <w:t>ISCG Chair</w:t>
            </w:r>
          </w:p>
          <w:p w14:paraId="6F51167A" w14:textId="0C47090A" w:rsidR="005241E0" w:rsidRPr="00701554" w:rsidRDefault="007865D4" w:rsidP="007865D4">
            <w:pPr>
              <w:tabs>
                <w:tab w:val="clear" w:pos="567"/>
                <w:tab w:val="clear" w:pos="1134"/>
                <w:tab w:val="left" w:pos="993"/>
              </w:tabs>
              <w:spacing w:before="0"/>
              <w:rPr>
                <w:b/>
                <w:bCs/>
                <w:sz w:val="26"/>
                <w:szCs w:val="26"/>
              </w:rPr>
            </w:pPr>
            <w:r>
              <w:rPr>
                <w:szCs w:val="24"/>
              </w:rPr>
              <w:tab/>
            </w:r>
            <w:r w:rsidR="00701554" w:rsidRPr="00701554">
              <w:rPr>
                <w:szCs w:val="24"/>
              </w:rPr>
              <w:t>Italy</w:t>
            </w:r>
          </w:p>
        </w:tc>
      </w:tr>
      <w:bookmarkEnd w:id="2"/>
      <w:bookmarkEnd w:id="3"/>
      <w:bookmarkEnd w:id="4"/>
      <w:bookmarkEnd w:id="5"/>
      <w:bookmarkEnd w:id="9"/>
    </w:tbl>
    <w:p w14:paraId="25883767" w14:textId="77777777" w:rsidR="00C07ECC" w:rsidRDefault="00C07ECC" w:rsidP="00BF1FDA">
      <w:pPr>
        <w:tabs>
          <w:tab w:val="clear" w:pos="567"/>
          <w:tab w:val="clear" w:pos="1134"/>
          <w:tab w:val="clear" w:pos="1701"/>
          <w:tab w:val="clear" w:pos="2268"/>
          <w:tab w:val="clear" w:pos="2835"/>
        </w:tabs>
        <w:overflowPunct/>
        <w:autoSpaceDE/>
        <w:autoSpaceDN/>
        <w:adjustRightInd/>
        <w:spacing w:before="0"/>
        <w:textAlignment w:val="auto"/>
        <w:rPr>
          <w:lang w:val="fr-FR"/>
        </w:rPr>
      </w:pPr>
    </w:p>
    <w:p w14:paraId="4E6D9BF6" w14:textId="77777777" w:rsidR="0048267C" w:rsidRDefault="0048267C" w:rsidP="00BF1FD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lang w:val="en-US"/>
        </w:rPr>
      </w:pPr>
      <w:r>
        <w:rPr>
          <w:rFonts w:asciiTheme="minorHAnsi" w:hAnsiTheme="minorHAnsi" w:cstheme="minorHAnsi"/>
          <w:b/>
          <w:bCs/>
          <w:szCs w:val="24"/>
          <w:lang w:val="en-US"/>
        </w:rPr>
        <w:t>Introduction</w:t>
      </w:r>
    </w:p>
    <w:p w14:paraId="55BCA821" w14:textId="10704164" w:rsidR="00646877" w:rsidRDefault="00646877" w:rsidP="00932C90">
      <w:pPr>
        <w:tabs>
          <w:tab w:val="clear" w:pos="567"/>
          <w:tab w:val="clear" w:pos="1134"/>
          <w:tab w:val="clear" w:pos="1701"/>
          <w:tab w:val="clear" w:pos="2268"/>
          <w:tab w:val="clear" w:pos="2835"/>
        </w:tabs>
        <w:overflowPunct/>
        <w:autoSpaceDE/>
        <w:autoSpaceDN/>
        <w:adjustRightInd/>
        <w:spacing w:before="0"/>
        <w:jc w:val="both"/>
        <w:textAlignment w:val="auto"/>
      </w:pPr>
      <w:r>
        <w:t xml:space="preserve">The first meeting </w:t>
      </w:r>
      <w:r w:rsidR="002D2F87">
        <w:t>of</w:t>
      </w:r>
      <w:r>
        <w:t xml:space="preserve"> 2026 of the Inter-Sector Coordination Group (ISCG) on issues of mutual interest took place on 28 January 2026 at ITU </w:t>
      </w:r>
      <w:r w:rsidR="00E06415">
        <w:t>h</w:t>
      </w:r>
      <w:r>
        <w:t xml:space="preserve">eadquarters, from 13:00 to 14:30 (CET). The meeting allowed remote participation and captioning </w:t>
      </w:r>
      <w:r w:rsidR="00E06415">
        <w:t>via</w:t>
      </w:r>
      <w:r>
        <w:t xml:space="preserve"> the Zoom platform.</w:t>
      </w:r>
    </w:p>
    <w:p w14:paraId="418ADC98" w14:textId="77777777" w:rsidR="00646877" w:rsidRDefault="00646877" w:rsidP="00932C90">
      <w:pPr>
        <w:tabs>
          <w:tab w:val="clear" w:pos="567"/>
          <w:tab w:val="clear" w:pos="1134"/>
          <w:tab w:val="clear" w:pos="1701"/>
          <w:tab w:val="clear" w:pos="2268"/>
          <w:tab w:val="clear" w:pos="2835"/>
        </w:tabs>
        <w:overflowPunct/>
        <w:autoSpaceDE/>
        <w:autoSpaceDN/>
        <w:adjustRightInd/>
        <w:spacing w:before="0"/>
        <w:jc w:val="both"/>
        <w:textAlignment w:val="auto"/>
      </w:pPr>
    </w:p>
    <w:p w14:paraId="073D8E8F" w14:textId="2BB16C7D" w:rsidR="00646877" w:rsidRDefault="00646877" w:rsidP="00932C90">
      <w:pPr>
        <w:tabs>
          <w:tab w:val="clear" w:pos="567"/>
          <w:tab w:val="clear" w:pos="1134"/>
          <w:tab w:val="clear" w:pos="1701"/>
          <w:tab w:val="clear" w:pos="2268"/>
          <w:tab w:val="clear" w:pos="2835"/>
        </w:tabs>
        <w:overflowPunct/>
        <w:autoSpaceDE/>
        <w:autoSpaceDN/>
        <w:adjustRightInd/>
        <w:spacing w:before="0"/>
        <w:jc w:val="both"/>
        <w:textAlignment w:val="auto"/>
      </w:pPr>
      <w:r>
        <w:t xml:space="preserve">The meeting was chaired by Mr Fabio Bigi (Italy), who welcomed the members of the group and </w:t>
      </w:r>
      <w:r w:rsidR="006D1395">
        <w:t>thanked the Chair of the Telecommunication Standardization Advisory Group (TSAG)</w:t>
      </w:r>
      <w:r w:rsidR="000537B5">
        <w:t xml:space="preserve">, </w:t>
      </w:r>
      <w:r w:rsidR="000537B5" w:rsidRPr="00637C30">
        <w:t>Mr</w:t>
      </w:r>
      <w:r w:rsidR="00EB06AF">
        <w:t> </w:t>
      </w:r>
      <w:r w:rsidR="000537B5" w:rsidRPr="00637C30">
        <w:t>Abdulrahman Alhassan</w:t>
      </w:r>
      <w:r w:rsidR="000537B5">
        <w:t xml:space="preserve"> (Saudi Arabia),</w:t>
      </w:r>
      <w:r w:rsidR="006D1395">
        <w:t xml:space="preserve"> for agreeing to have the ISCG </w:t>
      </w:r>
      <w:r w:rsidR="00432EBE">
        <w:t>meeting during the T</w:t>
      </w:r>
      <w:r w:rsidR="008E11FA">
        <w:t>S</w:t>
      </w:r>
      <w:r w:rsidR="00432EBE">
        <w:t>AG week.</w:t>
      </w:r>
    </w:p>
    <w:p w14:paraId="5F92C788" w14:textId="77777777" w:rsidR="00646877" w:rsidRDefault="00646877" w:rsidP="00932C90">
      <w:pPr>
        <w:tabs>
          <w:tab w:val="clear" w:pos="567"/>
          <w:tab w:val="clear" w:pos="1134"/>
          <w:tab w:val="clear" w:pos="1701"/>
          <w:tab w:val="clear" w:pos="2268"/>
          <w:tab w:val="clear" w:pos="2835"/>
        </w:tabs>
        <w:overflowPunct/>
        <w:autoSpaceDE/>
        <w:autoSpaceDN/>
        <w:adjustRightInd/>
        <w:spacing w:before="0"/>
        <w:jc w:val="both"/>
        <w:textAlignment w:val="auto"/>
      </w:pPr>
    </w:p>
    <w:p w14:paraId="0FB6035C" w14:textId="105C881F" w:rsidR="005D2CF9" w:rsidRPr="00127CE1" w:rsidRDefault="00646877" w:rsidP="00932C90">
      <w:pPr>
        <w:tabs>
          <w:tab w:val="clear" w:pos="567"/>
          <w:tab w:val="clear" w:pos="1134"/>
          <w:tab w:val="clear" w:pos="1701"/>
          <w:tab w:val="clear" w:pos="2268"/>
          <w:tab w:val="clear" w:pos="2835"/>
        </w:tabs>
        <w:overflowPunct/>
        <w:autoSpaceDE/>
        <w:autoSpaceDN/>
        <w:adjustRightInd/>
        <w:spacing w:before="0" w:line="300" w:lineRule="atLeast"/>
        <w:jc w:val="both"/>
        <w:textAlignment w:val="auto"/>
      </w:pPr>
      <w:r>
        <w:t xml:space="preserve">The ISCG Chair also welcomed the ITU Deputy Secretary-General, Mr Tomas Lamanauskas, who </w:t>
      </w:r>
      <w:r w:rsidR="00A7395C">
        <w:t>had been</w:t>
      </w:r>
      <w:r>
        <w:t xml:space="preserve"> invited to deliver opening remarks. </w:t>
      </w:r>
      <w:r w:rsidR="005D2CF9" w:rsidRPr="00127CE1">
        <w:t>In his address, the Deputy Secretary-General greeted participants and emphasized the importance of taking stock of the group’s four</w:t>
      </w:r>
      <w:r w:rsidR="00A7395C" w:rsidRPr="00127CE1">
        <w:t>-</w:t>
      </w:r>
      <w:r w:rsidR="005D2CF9" w:rsidRPr="00127CE1">
        <w:t>year cycle and enhancing coordination practices in the lead</w:t>
      </w:r>
      <w:r w:rsidR="00F87B3C" w:rsidRPr="00127CE1">
        <w:t>-</w:t>
      </w:r>
      <w:r w:rsidR="005D2CF9" w:rsidRPr="00127CE1">
        <w:t>up to the 2026 ITU Plenipotentiary Conference.</w:t>
      </w:r>
    </w:p>
    <w:p w14:paraId="49E7F8F3" w14:textId="77777777" w:rsidR="00646877" w:rsidRDefault="00646877" w:rsidP="00646877">
      <w:pPr>
        <w:tabs>
          <w:tab w:val="clear" w:pos="567"/>
          <w:tab w:val="clear" w:pos="1134"/>
          <w:tab w:val="clear" w:pos="1701"/>
          <w:tab w:val="clear" w:pos="2268"/>
          <w:tab w:val="clear" w:pos="2835"/>
        </w:tabs>
        <w:overflowPunct/>
        <w:autoSpaceDE/>
        <w:autoSpaceDN/>
        <w:adjustRightInd/>
        <w:spacing w:before="0"/>
        <w:textAlignment w:val="auto"/>
      </w:pPr>
    </w:p>
    <w:p w14:paraId="47CA1222" w14:textId="0A3B8CFE" w:rsidR="00566D83" w:rsidRDefault="00646877" w:rsidP="00646877">
      <w:pPr>
        <w:tabs>
          <w:tab w:val="clear" w:pos="567"/>
          <w:tab w:val="clear" w:pos="1134"/>
          <w:tab w:val="clear" w:pos="1701"/>
          <w:tab w:val="clear" w:pos="2268"/>
          <w:tab w:val="clear" w:pos="2835"/>
        </w:tabs>
        <w:overflowPunct/>
        <w:autoSpaceDE/>
        <w:autoSpaceDN/>
        <w:adjustRightInd/>
        <w:spacing w:before="0"/>
        <w:textAlignment w:val="auto"/>
      </w:pPr>
      <w:r>
        <w:t xml:space="preserve">The meeting approved the </w:t>
      </w:r>
      <w:r w:rsidR="00F87B3C">
        <w:t>a</w:t>
      </w:r>
      <w:r>
        <w:t xml:space="preserve">genda as presented on </w:t>
      </w:r>
      <w:r w:rsidR="00E74BAF">
        <w:t xml:space="preserve">Revision 2 to </w:t>
      </w:r>
      <w:r>
        <w:t xml:space="preserve">document </w:t>
      </w:r>
      <w:hyperlink r:id="rId12" w:history="1">
        <w:r w:rsidRPr="00566D83">
          <w:rPr>
            <w:rStyle w:val="Hyperlink"/>
          </w:rPr>
          <w:t>ISCG/2</w:t>
        </w:r>
        <w:r w:rsidR="00E74BAF" w:rsidRPr="00566D83">
          <w:rPr>
            <w:rStyle w:val="Hyperlink"/>
          </w:rPr>
          <w:t>6</w:t>
        </w:r>
        <w:r w:rsidRPr="00566D83">
          <w:rPr>
            <w:rStyle w:val="Hyperlink"/>
          </w:rPr>
          <w:t>-1/1</w:t>
        </w:r>
      </w:hyperlink>
      <w:r>
        <w:t>.</w:t>
      </w:r>
    </w:p>
    <w:p w14:paraId="1C1DCA06" w14:textId="1E0B108C" w:rsidR="00646877" w:rsidRDefault="00646877" w:rsidP="00646877">
      <w:pPr>
        <w:tabs>
          <w:tab w:val="clear" w:pos="567"/>
          <w:tab w:val="clear" w:pos="1134"/>
          <w:tab w:val="clear" w:pos="1701"/>
          <w:tab w:val="clear" w:pos="2268"/>
          <w:tab w:val="clear" w:pos="2835"/>
        </w:tabs>
        <w:overflowPunct/>
        <w:autoSpaceDE/>
        <w:autoSpaceDN/>
        <w:adjustRightInd/>
        <w:spacing w:before="0"/>
        <w:textAlignment w:val="auto"/>
      </w:pPr>
    </w:p>
    <w:p w14:paraId="3DDC01CD" w14:textId="37100C0A" w:rsidR="00646877" w:rsidRDefault="00646877" w:rsidP="00646877">
      <w:pPr>
        <w:tabs>
          <w:tab w:val="clear" w:pos="567"/>
          <w:tab w:val="clear" w:pos="1134"/>
          <w:tab w:val="clear" w:pos="1701"/>
          <w:tab w:val="clear" w:pos="2268"/>
          <w:tab w:val="clear" w:pos="2835"/>
        </w:tabs>
        <w:overflowPunct/>
        <w:autoSpaceDE/>
        <w:autoSpaceDN/>
        <w:adjustRightInd/>
        <w:spacing w:before="0"/>
        <w:textAlignment w:val="auto"/>
      </w:pPr>
      <w:r>
        <w:t xml:space="preserve">Documents presented and discussed during the meeting, including the </w:t>
      </w:r>
      <w:r w:rsidRPr="00D51EC3">
        <w:t>list of participants</w:t>
      </w:r>
      <w:r>
        <w:t>, can be access</w:t>
      </w:r>
      <w:r w:rsidR="00294BC8">
        <w:t>ed</w:t>
      </w:r>
      <w:r>
        <w:t xml:space="preserve"> through the </w:t>
      </w:r>
      <w:hyperlink r:id="rId13" w:history="1">
        <w:r w:rsidRPr="0078423B">
          <w:rPr>
            <w:rStyle w:val="Hyperlink"/>
          </w:rPr>
          <w:t>ISCG webpage</w:t>
        </w:r>
      </w:hyperlink>
      <w:r>
        <w:t>.</w:t>
      </w:r>
    </w:p>
    <w:p w14:paraId="1099D2BF" w14:textId="77777777" w:rsidR="00D51EC3" w:rsidRDefault="00D51EC3" w:rsidP="00646877">
      <w:pPr>
        <w:tabs>
          <w:tab w:val="clear" w:pos="567"/>
          <w:tab w:val="clear" w:pos="1134"/>
          <w:tab w:val="clear" w:pos="1701"/>
          <w:tab w:val="clear" w:pos="2268"/>
          <w:tab w:val="clear" w:pos="2835"/>
        </w:tabs>
        <w:overflowPunct/>
        <w:autoSpaceDE/>
        <w:autoSpaceDN/>
        <w:adjustRightInd/>
        <w:spacing w:before="0"/>
        <w:textAlignment w:val="auto"/>
      </w:pPr>
    </w:p>
    <w:p w14:paraId="5AF702E8" w14:textId="0B643327" w:rsidR="00777777" w:rsidRPr="00777777" w:rsidRDefault="00777777" w:rsidP="00777777">
      <w:pPr>
        <w:tabs>
          <w:tab w:val="clear" w:pos="567"/>
          <w:tab w:val="clear" w:pos="1134"/>
          <w:tab w:val="clear" w:pos="1701"/>
          <w:tab w:val="clear" w:pos="2268"/>
          <w:tab w:val="clear" w:pos="2835"/>
        </w:tabs>
        <w:overflowPunct/>
        <w:autoSpaceDE/>
        <w:autoSpaceDN/>
        <w:adjustRightInd/>
        <w:spacing w:before="0"/>
        <w:textAlignment w:val="auto"/>
        <w:rPr>
          <w:b/>
          <w:bCs/>
        </w:rPr>
      </w:pPr>
      <w:r w:rsidRPr="00777777">
        <w:rPr>
          <w:b/>
          <w:bCs/>
        </w:rPr>
        <w:t>Approval of last meeting report</w:t>
      </w:r>
    </w:p>
    <w:p w14:paraId="6DC9FF94" w14:textId="299CABD0" w:rsidR="00B23BE2" w:rsidRDefault="00777777" w:rsidP="007762C7">
      <w:pPr>
        <w:tabs>
          <w:tab w:val="clear" w:pos="567"/>
          <w:tab w:val="clear" w:pos="1134"/>
          <w:tab w:val="clear" w:pos="1701"/>
          <w:tab w:val="clear" w:pos="2268"/>
          <w:tab w:val="clear" w:pos="2835"/>
        </w:tabs>
        <w:overflowPunct/>
        <w:autoSpaceDE/>
        <w:autoSpaceDN/>
        <w:adjustRightInd/>
        <w:spacing w:before="0"/>
        <w:textAlignment w:val="auto"/>
      </w:pPr>
      <w:r>
        <w:t xml:space="preserve">The Secretariat presented the final report of the ISCG meeting held on </w:t>
      </w:r>
      <w:r w:rsidR="00FA1A19">
        <w:t>28 May 2025</w:t>
      </w:r>
      <w:r>
        <w:t xml:space="preserve">, for formal approval. </w:t>
      </w:r>
      <w:r w:rsidR="00983AC6">
        <w:t>N</w:t>
      </w:r>
      <w:r>
        <w:t xml:space="preserve">o comments </w:t>
      </w:r>
      <w:r w:rsidR="00983AC6">
        <w:t xml:space="preserve">were </w:t>
      </w:r>
      <w:r>
        <w:t xml:space="preserve">received. Document </w:t>
      </w:r>
      <w:hyperlink r:id="rId14" w:history="1">
        <w:r w:rsidRPr="00BE0848">
          <w:rPr>
            <w:rStyle w:val="Hyperlink"/>
          </w:rPr>
          <w:t>ISCG/2</w:t>
        </w:r>
        <w:r w:rsidR="00412EED" w:rsidRPr="00BE0848">
          <w:rPr>
            <w:rStyle w:val="Hyperlink"/>
          </w:rPr>
          <w:t>6</w:t>
        </w:r>
        <w:r w:rsidRPr="00BE0848">
          <w:rPr>
            <w:rStyle w:val="Hyperlink"/>
          </w:rPr>
          <w:t>-</w:t>
        </w:r>
        <w:r w:rsidR="00412EED" w:rsidRPr="00BE0848">
          <w:rPr>
            <w:rStyle w:val="Hyperlink"/>
          </w:rPr>
          <w:t>1</w:t>
        </w:r>
        <w:r w:rsidRPr="00BE0848">
          <w:rPr>
            <w:rStyle w:val="Hyperlink"/>
          </w:rPr>
          <w:t>/2</w:t>
        </w:r>
      </w:hyperlink>
      <w:r>
        <w:t xml:space="preserve"> was approved.</w:t>
      </w:r>
    </w:p>
    <w:p w14:paraId="66EC524A" w14:textId="77777777" w:rsidR="007762C7" w:rsidRDefault="007762C7" w:rsidP="007762C7">
      <w:pPr>
        <w:tabs>
          <w:tab w:val="clear" w:pos="567"/>
          <w:tab w:val="clear" w:pos="1134"/>
          <w:tab w:val="clear" w:pos="1701"/>
          <w:tab w:val="clear" w:pos="2268"/>
          <w:tab w:val="clear" w:pos="2835"/>
        </w:tabs>
        <w:overflowPunct/>
        <w:autoSpaceDE/>
        <w:autoSpaceDN/>
        <w:adjustRightInd/>
        <w:spacing w:before="0"/>
        <w:textAlignment w:val="auto"/>
      </w:pPr>
    </w:p>
    <w:p w14:paraId="611687E4" w14:textId="77777777" w:rsidR="00544EA2" w:rsidRPr="007762C7" w:rsidRDefault="00544EA2" w:rsidP="00EB06AF">
      <w:pPr>
        <w:keepNext/>
        <w:keepLines/>
        <w:tabs>
          <w:tab w:val="clear" w:pos="567"/>
          <w:tab w:val="clear" w:pos="1134"/>
          <w:tab w:val="clear" w:pos="1701"/>
          <w:tab w:val="clear" w:pos="2268"/>
          <w:tab w:val="clear" w:pos="2835"/>
        </w:tabs>
        <w:overflowPunct/>
        <w:autoSpaceDE/>
        <w:autoSpaceDN/>
        <w:adjustRightInd/>
        <w:spacing w:before="0"/>
        <w:textAlignment w:val="auto"/>
        <w:rPr>
          <w:b/>
          <w:bCs/>
        </w:rPr>
      </w:pPr>
      <w:r w:rsidRPr="007762C7">
        <w:rPr>
          <w:b/>
          <w:bCs/>
        </w:rPr>
        <w:lastRenderedPageBreak/>
        <w:t>Report on the implementation of PP-Resolution 191 (Rev. Bucharest, 2022)</w:t>
      </w:r>
    </w:p>
    <w:p w14:paraId="39241ACF" w14:textId="41B30176" w:rsidR="00137C66" w:rsidRDefault="00544EA2" w:rsidP="00EB06AF">
      <w:pPr>
        <w:keepNext/>
        <w:keepLines/>
        <w:jc w:val="both"/>
      </w:pPr>
      <w:r w:rsidRPr="00137C66">
        <w:t xml:space="preserve">The Secretariat presented </w:t>
      </w:r>
      <w:r w:rsidR="007B351B" w:rsidRPr="00137C66">
        <w:t xml:space="preserve">the operational parts of </w:t>
      </w:r>
      <w:hyperlink r:id="rId15" w:history="1">
        <w:r w:rsidR="007B351B" w:rsidRPr="00230065">
          <w:rPr>
            <w:rStyle w:val="Hyperlink"/>
          </w:rPr>
          <w:t xml:space="preserve">Resolution 191 (Rev. </w:t>
        </w:r>
        <w:r w:rsidR="005842EA" w:rsidRPr="00230065">
          <w:rPr>
            <w:rStyle w:val="Hyperlink"/>
          </w:rPr>
          <w:t>Bucharest, 2022)</w:t>
        </w:r>
      </w:hyperlink>
      <w:r w:rsidR="00E6172E">
        <w:t>,</w:t>
      </w:r>
      <w:r w:rsidR="005842EA" w:rsidRPr="00137C66">
        <w:t xml:space="preserve"> together with the actions being taken to fulfil </w:t>
      </w:r>
      <w:r w:rsidR="00346F66">
        <w:t>its</w:t>
      </w:r>
      <w:r w:rsidR="005842EA" w:rsidRPr="00137C66">
        <w:t xml:space="preserve"> requests. </w:t>
      </w:r>
      <w:r w:rsidR="0071067F" w:rsidRPr="00137C66">
        <w:t>T</w:t>
      </w:r>
      <w:r w:rsidR="005842EA" w:rsidRPr="00137C66">
        <w:t xml:space="preserve">his information </w:t>
      </w:r>
      <w:r w:rsidR="00CC66C8">
        <w:t>may</w:t>
      </w:r>
      <w:r w:rsidR="005842EA" w:rsidRPr="00137C66">
        <w:t xml:space="preserve"> serve as a basis </w:t>
      </w:r>
      <w:r w:rsidR="008060B8">
        <w:t>for</w:t>
      </w:r>
      <w:r w:rsidR="005842EA" w:rsidRPr="00137C66">
        <w:t xml:space="preserve"> review</w:t>
      </w:r>
      <w:r w:rsidR="008060B8">
        <w:t>ing</w:t>
      </w:r>
      <w:r w:rsidR="005842EA" w:rsidRPr="00137C66">
        <w:t xml:space="preserve"> </w:t>
      </w:r>
      <w:r w:rsidR="00CC66C8">
        <w:t xml:space="preserve">the current text </w:t>
      </w:r>
      <w:r w:rsidR="005842EA" w:rsidRPr="00137C66">
        <w:t>and propos</w:t>
      </w:r>
      <w:r w:rsidR="008060B8">
        <w:t>ing</w:t>
      </w:r>
      <w:r w:rsidR="005842EA" w:rsidRPr="00137C66">
        <w:t xml:space="preserve"> improvements to </w:t>
      </w:r>
      <w:r w:rsidR="00CC66C8">
        <w:t>it</w:t>
      </w:r>
      <w:r w:rsidR="0071067F" w:rsidRPr="00137C66">
        <w:t xml:space="preserve">, to be presented </w:t>
      </w:r>
      <w:r w:rsidR="00626592">
        <w:t xml:space="preserve">by Member States </w:t>
      </w:r>
      <w:r w:rsidR="00F56068">
        <w:t>at</w:t>
      </w:r>
      <w:r w:rsidR="0071067F" w:rsidRPr="00137C66">
        <w:t xml:space="preserve"> the Plenipotentiary Conference </w:t>
      </w:r>
      <w:r w:rsidR="00F56068">
        <w:t>(D</w:t>
      </w:r>
      <w:r w:rsidR="00137C66" w:rsidRPr="00137C66">
        <w:t>oha, 2026</w:t>
      </w:r>
      <w:r w:rsidR="00F56068">
        <w:t>)</w:t>
      </w:r>
      <w:r w:rsidR="00137C66" w:rsidRPr="00137C66">
        <w:t>.</w:t>
      </w:r>
    </w:p>
    <w:p w14:paraId="53D490AE" w14:textId="1265509F" w:rsidR="003C774D" w:rsidRDefault="003C774D" w:rsidP="00FE4D84">
      <w:pPr>
        <w:jc w:val="both"/>
      </w:pPr>
      <w:r>
        <w:t xml:space="preserve">The presentation also included ongoing work at the level of the ITU Council, including the work of the Council </w:t>
      </w:r>
      <w:r w:rsidR="00E6172E">
        <w:t>w</w:t>
      </w:r>
      <w:r>
        <w:t xml:space="preserve">orking </w:t>
      </w:r>
      <w:r w:rsidR="00E6172E">
        <w:t>g</w:t>
      </w:r>
      <w:r>
        <w:t xml:space="preserve">roups related to harmonizing and streamlining </w:t>
      </w:r>
      <w:r w:rsidR="007D0652">
        <w:t xml:space="preserve">plenipotentiary resolutions and decisions, as well as improvements proposed to the </w:t>
      </w:r>
      <w:r w:rsidR="001B0C58">
        <w:t xml:space="preserve">Union’s </w:t>
      </w:r>
      <w:r w:rsidR="007D0652">
        <w:t>strategic plan for the period 2028-2031.</w:t>
      </w:r>
      <w:r w:rsidR="00D86F82">
        <w:t xml:space="preserve"> The presentation can be found </w:t>
      </w:r>
      <w:hyperlink r:id="rId16" w:history="1">
        <w:r w:rsidR="00D86F82" w:rsidRPr="00D86F82">
          <w:rPr>
            <w:rStyle w:val="Hyperlink"/>
          </w:rPr>
          <w:t>here</w:t>
        </w:r>
      </w:hyperlink>
      <w:r w:rsidR="00D86F82">
        <w:t>.</w:t>
      </w:r>
    </w:p>
    <w:p w14:paraId="11850D85" w14:textId="3F4BAEB1" w:rsidR="007D0652" w:rsidRDefault="00E752DB" w:rsidP="00FE4D84">
      <w:pPr>
        <w:jc w:val="both"/>
      </w:pPr>
      <w:r w:rsidRPr="00A403B2">
        <w:t xml:space="preserve">The meeting agreed that any proposal to review </w:t>
      </w:r>
      <w:r w:rsidR="00FE4D84" w:rsidRPr="00A403B2">
        <w:t xml:space="preserve">Resolution 191 (Rev. Bucharest, 2022) could be sent to the Secretariat by 11 February 2026, to be included in the report to be </w:t>
      </w:r>
      <w:r w:rsidRPr="00A403B2">
        <w:t>submit</w:t>
      </w:r>
      <w:r w:rsidR="00FE4D84" w:rsidRPr="00A403B2">
        <w:t xml:space="preserve">ted to </w:t>
      </w:r>
      <w:r w:rsidR="00E22AD8" w:rsidRPr="00A403B2">
        <w:t xml:space="preserve">the </w:t>
      </w:r>
      <w:r w:rsidR="00FE4D84" w:rsidRPr="00A403B2">
        <w:t>Council</w:t>
      </w:r>
      <w:r w:rsidR="00E22AD8" w:rsidRPr="00A403B2">
        <w:t>, a</w:t>
      </w:r>
      <w:r w:rsidR="004F0820" w:rsidRPr="00A403B2">
        <w:t xml:space="preserve">nd that the report should also include </w:t>
      </w:r>
      <w:r w:rsidR="00A84AFE" w:rsidRPr="00A403B2">
        <w:t>a</w:t>
      </w:r>
      <w:r w:rsidR="004F0820" w:rsidRPr="00A403B2">
        <w:t xml:space="preserve"> proposal </w:t>
      </w:r>
      <w:r w:rsidR="00E22AD8" w:rsidRPr="00A403B2">
        <w:t>for</w:t>
      </w:r>
      <w:r w:rsidR="004F0820" w:rsidRPr="00A403B2">
        <w:t xml:space="preserve"> a </w:t>
      </w:r>
      <w:r w:rsidR="00A84AFE" w:rsidRPr="00A403B2">
        <w:t xml:space="preserve">stand-alone report from the ISCG to be presented </w:t>
      </w:r>
      <w:r w:rsidR="001A43F2" w:rsidRPr="00A403B2">
        <w:t xml:space="preserve">annually to </w:t>
      </w:r>
      <w:r w:rsidR="003059E3" w:rsidRPr="00A403B2">
        <w:t xml:space="preserve">the </w:t>
      </w:r>
      <w:r w:rsidR="001A43F2" w:rsidRPr="00A403B2">
        <w:t>Council.</w:t>
      </w:r>
    </w:p>
    <w:p w14:paraId="75960462" w14:textId="77777777" w:rsidR="008B7D20" w:rsidRDefault="008B7D20" w:rsidP="008B7D20">
      <w:pPr>
        <w:tabs>
          <w:tab w:val="clear" w:pos="567"/>
          <w:tab w:val="clear" w:pos="1134"/>
          <w:tab w:val="clear" w:pos="1701"/>
          <w:tab w:val="clear" w:pos="2268"/>
          <w:tab w:val="clear" w:pos="2835"/>
        </w:tabs>
        <w:overflowPunct/>
        <w:autoSpaceDE/>
        <w:autoSpaceDN/>
        <w:adjustRightInd/>
        <w:spacing w:before="0"/>
        <w:textAlignment w:val="auto"/>
        <w:rPr>
          <w:b/>
          <w:bCs/>
        </w:rPr>
      </w:pPr>
    </w:p>
    <w:p w14:paraId="5F1FC2D0" w14:textId="6D6277AC" w:rsidR="008B7D20" w:rsidRPr="008B7D20" w:rsidRDefault="008B7D20" w:rsidP="008B7D20">
      <w:pPr>
        <w:tabs>
          <w:tab w:val="clear" w:pos="567"/>
          <w:tab w:val="clear" w:pos="1134"/>
          <w:tab w:val="clear" w:pos="1701"/>
          <w:tab w:val="clear" w:pos="2268"/>
          <w:tab w:val="clear" w:pos="2835"/>
        </w:tabs>
        <w:overflowPunct/>
        <w:autoSpaceDE/>
        <w:autoSpaceDN/>
        <w:adjustRightInd/>
        <w:spacing w:before="0"/>
        <w:textAlignment w:val="auto"/>
        <w:rPr>
          <w:b/>
          <w:bCs/>
        </w:rPr>
      </w:pPr>
      <w:r w:rsidRPr="008B7D20">
        <w:rPr>
          <w:b/>
          <w:bCs/>
        </w:rPr>
        <w:t>Reports from the Sectors advisory groups</w:t>
      </w:r>
    </w:p>
    <w:p w14:paraId="2128C3DC" w14:textId="77777777" w:rsidR="00EA22EA" w:rsidRDefault="008B7D20" w:rsidP="00EA22EA">
      <w:pPr>
        <w:tabs>
          <w:tab w:val="clear" w:pos="567"/>
          <w:tab w:val="clear" w:pos="1134"/>
          <w:tab w:val="clear" w:pos="1701"/>
          <w:tab w:val="clear" w:pos="2268"/>
          <w:tab w:val="clear" w:pos="2835"/>
        </w:tabs>
        <w:overflowPunct/>
        <w:autoSpaceDE/>
        <w:autoSpaceDN/>
        <w:adjustRightInd/>
        <w:spacing w:before="0"/>
        <w:textAlignment w:val="auto"/>
        <w:rPr>
          <w:b/>
          <w:bCs/>
        </w:rPr>
      </w:pPr>
      <w:bookmarkStart w:id="10" w:name="_Hlk191299152"/>
      <w:r w:rsidRPr="008B7D20">
        <w:rPr>
          <w:b/>
          <w:bCs/>
        </w:rPr>
        <w:t>Radiocommunication Advisory Group (RAG)</w:t>
      </w:r>
      <w:bookmarkEnd w:id="10"/>
    </w:p>
    <w:p w14:paraId="3BADB016" w14:textId="1390480D" w:rsidR="00700E69" w:rsidRDefault="001C4CA2" w:rsidP="00BC4759">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1C4CA2">
        <w:t xml:space="preserve">The Radiocommunication Advisory Group </w:t>
      </w:r>
      <w:r w:rsidR="00700E69">
        <w:t>representative presented an oral report</w:t>
      </w:r>
      <w:r w:rsidR="00AB4AC8">
        <w:t>, noting</w:t>
      </w:r>
      <w:r w:rsidR="00700E69">
        <w:t xml:space="preserve"> </w:t>
      </w:r>
      <w:r w:rsidR="00700E69">
        <w:rPr>
          <w:color w:val="000000"/>
        </w:rPr>
        <w:t xml:space="preserve">that the RAG </w:t>
      </w:r>
      <w:r w:rsidR="00DF58D8">
        <w:rPr>
          <w:color w:val="000000"/>
        </w:rPr>
        <w:t>had</w:t>
      </w:r>
      <w:r w:rsidR="00700E69">
        <w:rPr>
          <w:color w:val="000000"/>
        </w:rPr>
        <w:t xml:space="preserve"> not h</w:t>
      </w:r>
      <w:r w:rsidR="00DF58D8">
        <w:rPr>
          <w:color w:val="000000"/>
        </w:rPr>
        <w:t>e</w:t>
      </w:r>
      <w:r w:rsidR="00700E69">
        <w:rPr>
          <w:color w:val="000000"/>
        </w:rPr>
        <w:t xml:space="preserve">ld any additional meetings after April 2025 and therefore </w:t>
      </w:r>
      <w:r w:rsidR="002F6AE5">
        <w:rPr>
          <w:color w:val="000000"/>
        </w:rPr>
        <w:t>c</w:t>
      </w:r>
      <w:r w:rsidR="00700E69">
        <w:rPr>
          <w:color w:val="000000"/>
        </w:rPr>
        <w:t>ontinue</w:t>
      </w:r>
      <w:r w:rsidR="00DF58D8">
        <w:rPr>
          <w:color w:val="000000"/>
        </w:rPr>
        <w:t>d</w:t>
      </w:r>
      <w:r w:rsidR="00700E69">
        <w:rPr>
          <w:color w:val="000000"/>
        </w:rPr>
        <w:t xml:space="preserve"> to rely on the positions expressed at the 32nd RAG meeting held earlier that year.</w:t>
      </w:r>
      <w:r w:rsidR="002F6AE5">
        <w:rPr>
          <w:color w:val="000000"/>
        </w:rPr>
        <w:t xml:space="preserve"> </w:t>
      </w:r>
      <w:r w:rsidR="00700E69">
        <w:rPr>
          <w:color w:val="000000"/>
        </w:rPr>
        <w:t xml:space="preserve">These positions include </w:t>
      </w:r>
      <w:r w:rsidR="00174ED4">
        <w:rPr>
          <w:color w:val="000000"/>
        </w:rPr>
        <w:t xml:space="preserve">the </w:t>
      </w:r>
      <w:r w:rsidR="00700E69">
        <w:rPr>
          <w:color w:val="000000"/>
        </w:rPr>
        <w:t>RAG’s support for multilingualism and the development of AI</w:t>
      </w:r>
      <w:r w:rsidR="00700E69">
        <w:rPr>
          <w:color w:val="000000"/>
        </w:rPr>
        <w:noBreakHyphen/>
        <w:t xml:space="preserve">based translation and interpretation tools, while acknowledging the need to further improve their quality; the importance of ensuring harmonization of the new ITU website across all Sectors; and the need for greater clarity on remote participation, particularly in </w:t>
      </w:r>
      <w:r w:rsidR="00BF09C1">
        <w:rPr>
          <w:color w:val="000000"/>
        </w:rPr>
        <w:t xml:space="preserve">the </w:t>
      </w:r>
      <w:r w:rsidR="00700E69">
        <w:rPr>
          <w:color w:val="000000"/>
        </w:rPr>
        <w:t>light of the limitations established under Resolution 167</w:t>
      </w:r>
      <w:r w:rsidR="00966201">
        <w:rPr>
          <w:color w:val="000000"/>
        </w:rPr>
        <w:t xml:space="preserve"> (Rev. Bucharest, 2022)</w:t>
      </w:r>
      <w:r w:rsidR="00700E69">
        <w:rPr>
          <w:color w:val="000000"/>
        </w:rPr>
        <w:t xml:space="preserve"> regarding decision</w:t>
      </w:r>
      <w:r w:rsidR="00700E69">
        <w:rPr>
          <w:color w:val="000000"/>
        </w:rPr>
        <w:noBreakHyphen/>
        <w:t>making by delegates</w:t>
      </w:r>
      <w:r w:rsidR="00D667B9">
        <w:rPr>
          <w:color w:val="000000"/>
        </w:rPr>
        <w:t xml:space="preserve"> participating remotely</w:t>
      </w:r>
      <w:r w:rsidR="00700E69">
        <w:rPr>
          <w:color w:val="000000"/>
        </w:rPr>
        <w:t>.</w:t>
      </w:r>
      <w:r w:rsidR="001839CF">
        <w:rPr>
          <w:color w:val="000000"/>
        </w:rPr>
        <w:t xml:space="preserve"> </w:t>
      </w:r>
      <w:r w:rsidR="00700E69">
        <w:rPr>
          <w:color w:val="000000"/>
        </w:rPr>
        <w:t>The RAG also maintain</w:t>
      </w:r>
      <w:r w:rsidR="00D667B9">
        <w:rPr>
          <w:color w:val="000000"/>
        </w:rPr>
        <w:t>s</w:t>
      </w:r>
      <w:r w:rsidR="00700E69">
        <w:rPr>
          <w:color w:val="000000"/>
        </w:rPr>
        <w:t xml:space="preserve"> its concerns regarding potential overlaps between ITU</w:t>
      </w:r>
      <w:r w:rsidR="00700E69">
        <w:rPr>
          <w:color w:val="000000"/>
        </w:rPr>
        <w:noBreakHyphen/>
        <w:t>T and ITU</w:t>
      </w:r>
      <w:r w:rsidR="00700E69">
        <w:rPr>
          <w:color w:val="000000"/>
        </w:rPr>
        <w:noBreakHyphen/>
        <w:t>R, especially on topics such as UAV definitions and satellite</w:t>
      </w:r>
      <w:r w:rsidR="00700E69">
        <w:rPr>
          <w:color w:val="000000"/>
        </w:rPr>
        <w:noBreakHyphen/>
        <w:t xml:space="preserve">related work, emphasizing that coordination should occur directly between the </w:t>
      </w:r>
      <w:r w:rsidR="009B6678">
        <w:rPr>
          <w:color w:val="000000"/>
        </w:rPr>
        <w:t>s</w:t>
      </w:r>
      <w:r w:rsidR="00700E69">
        <w:rPr>
          <w:color w:val="000000"/>
        </w:rPr>
        <w:t xml:space="preserve">tudy </w:t>
      </w:r>
      <w:r w:rsidR="009B6678">
        <w:rPr>
          <w:color w:val="000000"/>
        </w:rPr>
        <w:t>g</w:t>
      </w:r>
      <w:r w:rsidR="00700E69">
        <w:rPr>
          <w:color w:val="000000"/>
        </w:rPr>
        <w:t>roups</w:t>
      </w:r>
      <w:r w:rsidR="001839CF">
        <w:rPr>
          <w:color w:val="000000"/>
        </w:rPr>
        <w:t xml:space="preserve"> concerned</w:t>
      </w:r>
      <w:r w:rsidR="00700E69">
        <w:rPr>
          <w:color w:val="000000"/>
        </w:rPr>
        <w:t>.</w:t>
      </w:r>
    </w:p>
    <w:p w14:paraId="0EF70E27" w14:textId="77777777" w:rsidR="004C1A0A" w:rsidRDefault="004C1A0A" w:rsidP="004C1A0A">
      <w:pPr>
        <w:tabs>
          <w:tab w:val="clear" w:pos="567"/>
          <w:tab w:val="clear" w:pos="1134"/>
          <w:tab w:val="clear" w:pos="1701"/>
          <w:tab w:val="clear" w:pos="2268"/>
          <w:tab w:val="clear" w:pos="2835"/>
        </w:tabs>
        <w:overflowPunct/>
        <w:autoSpaceDE/>
        <w:autoSpaceDN/>
        <w:adjustRightInd/>
        <w:spacing w:before="0"/>
        <w:textAlignment w:val="auto"/>
        <w:rPr>
          <w:b/>
          <w:bCs/>
        </w:rPr>
      </w:pPr>
    </w:p>
    <w:p w14:paraId="48644C41" w14:textId="77777777" w:rsidR="00BC4759" w:rsidRDefault="004C1A0A" w:rsidP="00BC4759">
      <w:pPr>
        <w:tabs>
          <w:tab w:val="clear" w:pos="567"/>
          <w:tab w:val="clear" w:pos="1134"/>
          <w:tab w:val="clear" w:pos="1701"/>
          <w:tab w:val="clear" w:pos="2268"/>
          <w:tab w:val="clear" w:pos="2835"/>
        </w:tabs>
        <w:overflowPunct/>
        <w:autoSpaceDE/>
        <w:autoSpaceDN/>
        <w:adjustRightInd/>
        <w:spacing w:before="0"/>
        <w:textAlignment w:val="auto"/>
        <w:rPr>
          <w:b/>
          <w:bCs/>
        </w:rPr>
      </w:pPr>
      <w:r w:rsidRPr="004C1A0A">
        <w:rPr>
          <w:b/>
          <w:bCs/>
        </w:rPr>
        <w:t>Telecommunication Standardization Advisory Group (TSAG)</w:t>
      </w:r>
    </w:p>
    <w:p w14:paraId="200ACDA8" w14:textId="7013F329" w:rsidR="00C94E30" w:rsidRDefault="004C1A0A" w:rsidP="00BC4759">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4C1A0A">
        <w:rPr>
          <w:color w:val="000000"/>
        </w:rPr>
        <w:t>The Telecommunication Standardization Advisory Group</w:t>
      </w:r>
      <w:r w:rsidR="00D86F82">
        <w:rPr>
          <w:color w:val="000000"/>
        </w:rPr>
        <w:t xml:space="preserve"> </w:t>
      </w:r>
      <w:r w:rsidR="004005F0">
        <w:rPr>
          <w:color w:val="000000"/>
        </w:rPr>
        <w:t xml:space="preserve">presented </w:t>
      </w:r>
      <w:r w:rsidR="007F12D3">
        <w:rPr>
          <w:color w:val="000000"/>
        </w:rPr>
        <w:t xml:space="preserve">an </w:t>
      </w:r>
      <w:r w:rsidR="00CB1888">
        <w:rPr>
          <w:color w:val="000000"/>
        </w:rPr>
        <w:t xml:space="preserve">activity report (see </w:t>
      </w:r>
      <w:hyperlink r:id="rId17" w:history="1">
        <w:r w:rsidR="00CB1888" w:rsidRPr="00CB1888">
          <w:rPr>
            <w:rStyle w:val="Hyperlink"/>
          </w:rPr>
          <w:t>presentation</w:t>
        </w:r>
      </w:hyperlink>
      <w:r w:rsidR="00CB1888">
        <w:rPr>
          <w:color w:val="000000"/>
        </w:rPr>
        <w:t xml:space="preserve">) </w:t>
      </w:r>
      <w:r w:rsidR="00986470">
        <w:rPr>
          <w:color w:val="000000"/>
        </w:rPr>
        <w:t>which was welcomed by ISCG members</w:t>
      </w:r>
      <w:r w:rsidR="00D4483F">
        <w:rPr>
          <w:color w:val="000000"/>
        </w:rPr>
        <w:t xml:space="preserve">. </w:t>
      </w:r>
      <w:r w:rsidR="00C70ED3">
        <w:rPr>
          <w:color w:val="000000"/>
        </w:rPr>
        <w:t>Comments</w:t>
      </w:r>
      <w:r w:rsidR="00D4483F">
        <w:rPr>
          <w:color w:val="000000"/>
        </w:rPr>
        <w:t xml:space="preserve"> were raised regarding su</w:t>
      </w:r>
      <w:r w:rsidR="003D16FE">
        <w:rPr>
          <w:color w:val="000000"/>
        </w:rPr>
        <w:t xml:space="preserve">ccess stories, Telecommunication </w:t>
      </w:r>
      <w:r w:rsidR="00C20D68">
        <w:rPr>
          <w:color w:val="000000"/>
        </w:rPr>
        <w:t>Standardization</w:t>
      </w:r>
      <w:r w:rsidR="003D16FE">
        <w:rPr>
          <w:color w:val="000000"/>
        </w:rPr>
        <w:t xml:space="preserve"> Bureau (TSB) </w:t>
      </w:r>
      <w:r w:rsidR="003910BB" w:rsidRPr="00DF5163">
        <w:rPr>
          <w:color w:val="000000"/>
        </w:rPr>
        <w:t xml:space="preserve">staff </w:t>
      </w:r>
      <w:r w:rsidR="003D16FE" w:rsidRPr="00DF5163">
        <w:rPr>
          <w:color w:val="000000"/>
        </w:rPr>
        <w:t xml:space="preserve">presence in the </w:t>
      </w:r>
      <w:r w:rsidR="003910BB" w:rsidRPr="00DF5163">
        <w:rPr>
          <w:color w:val="000000"/>
        </w:rPr>
        <w:t>regions</w:t>
      </w:r>
      <w:r w:rsidR="003910BB">
        <w:rPr>
          <w:color w:val="000000"/>
        </w:rPr>
        <w:t xml:space="preserve"> (see </w:t>
      </w:r>
      <w:hyperlink r:id="rId18" w:history="1">
        <w:r w:rsidR="00E6729A" w:rsidRPr="00DF5163">
          <w:rPr>
            <w:rStyle w:val="Hyperlink"/>
          </w:rPr>
          <w:t>TSAG-TD318</w:t>
        </w:r>
      </w:hyperlink>
      <w:r w:rsidR="00E6729A">
        <w:rPr>
          <w:color w:val="000000"/>
        </w:rPr>
        <w:t>)</w:t>
      </w:r>
      <w:r w:rsidR="005F6661">
        <w:rPr>
          <w:color w:val="000000"/>
        </w:rPr>
        <w:t>, the Sector</w:t>
      </w:r>
      <w:r w:rsidR="00832C21">
        <w:rPr>
          <w:color w:val="000000"/>
        </w:rPr>
        <w:t>’</w:t>
      </w:r>
      <w:r w:rsidR="005F6661">
        <w:rPr>
          <w:color w:val="000000"/>
        </w:rPr>
        <w:t xml:space="preserve">s </w:t>
      </w:r>
      <w:r w:rsidR="00F70E99">
        <w:rPr>
          <w:color w:val="000000"/>
        </w:rPr>
        <w:t>operational plan</w:t>
      </w:r>
      <w:r w:rsidR="00BC3BDF">
        <w:rPr>
          <w:color w:val="000000"/>
        </w:rPr>
        <w:t xml:space="preserve"> (see </w:t>
      </w:r>
      <w:hyperlink r:id="rId19" w:history="1">
        <w:r w:rsidR="00BC3BDF" w:rsidRPr="00007AA3">
          <w:rPr>
            <w:rStyle w:val="Hyperlink"/>
          </w:rPr>
          <w:t>TSAG-TD2</w:t>
        </w:r>
        <w:r w:rsidR="00007AA3" w:rsidRPr="00007AA3">
          <w:rPr>
            <w:rStyle w:val="Hyperlink"/>
          </w:rPr>
          <w:t>76</w:t>
        </w:r>
      </w:hyperlink>
      <w:r w:rsidR="00BC3BDF">
        <w:t>)</w:t>
      </w:r>
      <w:r w:rsidR="005F6661">
        <w:rPr>
          <w:color w:val="000000"/>
        </w:rPr>
        <w:t xml:space="preserve"> </w:t>
      </w:r>
      <w:r w:rsidR="003D16FE">
        <w:rPr>
          <w:color w:val="000000"/>
        </w:rPr>
        <w:t xml:space="preserve">and </w:t>
      </w:r>
      <w:r w:rsidR="0031365B">
        <w:rPr>
          <w:color w:val="000000"/>
        </w:rPr>
        <w:t>organization</w:t>
      </w:r>
      <w:r w:rsidR="00832C21">
        <w:rPr>
          <w:color w:val="000000"/>
        </w:rPr>
        <w:t>al</w:t>
      </w:r>
      <w:r w:rsidR="0031365B">
        <w:rPr>
          <w:color w:val="000000"/>
        </w:rPr>
        <w:t xml:space="preserve"> </w:t>
      </w:r>
      <w:r w:rsidR="003D16FE">
        <w:rPr>
          <w:color w:val="000000"/>
        </w:rPr>
        <w:t>efficiencies</w:t>
      </w:r>
      <w:r w:rsidR="009F595F">
        <w:rPr>
          <w:color w:val="000000"/>
        </w:rPr>
        <w:t xml:space="preserve"> (see </w:t>
      </w:r>
      <w:hyperlink r:id="rId20" w:history="1">
        <w:r w:rsidR="009F595F" w:rsidRPr="00DC52C5">
          <w:rPr>
            <w:rStyle w:val="Hyperlink"/>
          </w:rPr>
          <w:t>TSAG-TD220R1</w:t>
        </w:r>
      </w:hyperlink>
      <w:r w:rsidR="009F595F">
        <w:t>)</w:t>
      </w:r>
      <w:r w:rsidR="00C94E30">
        <w:rPr>
          <w:color w:val="000000"/>
        </w:rPr>
        <w:t>, as examples that could be shared across the Union.</w:t>
      </w:r>
      <w:r w:rsidR="005E7EBC">
        <w:rPr>
          <w:color w:val="000000"/>
        </w:rPr>
        <w:t xml:space="preserve"> </w:t>
      </w:r>
    </w:p>
    <w:p w14:paraId="0DA10BD1" w14:textId="77777777" w:rsidR="00BA2976" w:rsidRDefault="0062563B" w:rsidP="00BC4759">
      <w:pPr>
        <w:jc w:val="both"/>
        <w:rPr>
          <w:color w:val="000000"/>
        </w:rPr>
      </w:pPr>
      <w:r>
        <w:rPr>
          <w:color w:val="000000"/>
        </w:rPr>
        <w:t xml:space="preserve">There was a proposal to explore further collaboration on security matters between </w:t>
      </w:r>
      <w:r w:rsidR="00F83DAE">
        <w:rPr>
          <w:color w:val="000000"/>
        </w:rPr>
        <w:t xml:space="preserve">ITU-T </w:t>
      </w:r>
      <w:r w:rsidR="00590712">
        <w:rPr>
          <w:color w:val="000000"/>
        </w:rPr>
        <w:t>S</w:t>
      </w:r>
      <w:r w:rsidR="00E8757A">
        <w:rPr>
          <w:color w:val="000000"/>
        </w:rPr>
        <w:t xml:space="preserve">tudy </w:t>
      </w:r>
      <w:r w:rsidR="00590712">
        <w:rPr>
          <w:color w:val="000000"/>
        </w:rPr>
        <w:t>G</w:t>
      </w:r>
      <w:r w:rsidR="00E8757A">
        <w:rPr>
          <w:color w:val="000000"/>
        </w:rPr>
        <w:t xml:space="preserve">roup </w:t>
      </w:r>
      <w:r w:rsidR="00590712">
        <w:rPr>
          <w:color w:val="000000"/>
        </w:rPr>
        <w:t xml:space="preserve">17 </w:t>
      </w:r>
      <w:r w:rsidR="00F83DAE">
        <w:rPr>
          <w:color w:val="000000"/>
        </w:rPr>
        <w:t>and ITU-R</w:t>
      </w:r>
      <w:r w:rsidR="00590712">
        <w:rPr>
          <w:color w:val="000000"/>
        </w:rPr>
        <w:t xml:space="preserve"> S</w:t>
      </w:r>
      <w:r w:rsidR="00E8757A">
        <w:rPr>
          <w:color w:val="000000"/>
        </w:rPr>
        <w:t xml:space="preserve">tudy </w:t>
      </w:r>
      <w:r w:rsidR="00590712">
        <w:rPr>
          <w:color w:val="000000"/>
        </w:rPr>
        <w:t>G</w:t>
      </w:r>
      <w:r w:rsidR="00E8757A">
        <w:rPr>
          <w:color w:val="000000"/>
        </w:rPr>
        <w:t xml:space="preserve">roups </w:t>
      </w:r>
      <w:r w:rsidR="00590712">
        <w:rPr>
          <w:color w:val="000000"/>
        </w:rPr>
        <w:t>4 and 5</w:t>
      </w:r>
      <w:r w:rsidR="00F83DAE">
        <w:rPr>
          <w:color w:val="000000"/>
        </w:rPr>
        <w:t>.</w:t>
      </w:r>
      <w:r w:rsidR="00BA2976">
        <w:rPr>
          <w:color w:val="000000"/>
        </w:rPr>
        <w:t xml:space="preserve"> </w:t>
      </w:r>
    </w:p>
    <w:p w14:paraId="7EF271E1" w14:textId="7FA7D227" w:rsidR="00473B72" w:rsidRDefault="00BA2976" w:rsidP="00BC4759">
      <w:pPr>
        <w:jc w:val="both"/>
        <w:rPr>
          <w:color w:val="000000"/>
        </w:rPr>
      </w:pPr>
      <w:r>
        <w:rPr>
          <w:color w:val="000000"/>
        </w:rPr>
        <w:t>Also t</w:t>
      </w:r>
      <w:r w:rsidR="0026087C" w:rsidRPr="00FC7883">
        <w:rPr>
          <w:color w:val="000000"/>
        </w:rPr>
        <w:t xml:space="preserve">wo liaison statements were submitted </w:t>
      </w:r>
      <w:r>
        <w:rPr>
          <w:color w:val="000000"/>
        </w:rPr>
        <w:t xml:space="preserve">by TSAG </w:t>
      </w:r>
      <w:r w:rsidR="0026087C" w:rsidRPr="00FC7883">
        <w:rPr>
          <w:color w:val="000000"/>
        </w:rPr>
        <w:t xml:space="preserve">(see Documents </w:t>
      </w:r>
      <w:hyperlink r:id="rId21" w:history="1">
        <w:r w:rsidR="009F39DE" w:rsidRPr="0019137C">
          <w:rPr>
            <w:rStyle w:val="Hyperlink"/>
          </w:rPr>
          <w:t>ISCG/26-1/9</w:t>
        </w:r>
      </w:hyperlink>
      <w:r w:rsidR="009F39DE">
        <w:rPr>
          <w:color w:val="000000"/>
        </w:rPr>
        <w:t xml:space="preserve"> and </w:t>
      </w:r>
      <w:hyperlink r:id="rId22" w:history="1">
        <w:r w:rsidR="00B5715E" w:rsidRPr="003470B3">
          <w:rPr>
            <w:rStyle w:val="Hyperlink"/>
          </w:rPr>
          <w:t>ISCG/26-1/10</w:t>
        </w:r>
      </w:hyperlink>
      <w:r w:rsidR="00B5715E">
        <w:rPr>
          <w:color w:val="000000"/>
        </w:rPr>
        <w:t xml:space="preserve">) </w:t>
      </w:r>
      <w:r>
        <w:rPr>
          <w:color w:val="000000"/>
        </w:rPr>
        <w:t>relating to</w:t>
      </w:r>
      <w:r w:rsidR="00244BA9" w:rsidRPr="00FC7883">
        <w:rPr>
          <w:color w:val="000000"/>
        </w:rPr>
        <w:t xml:space="preserve"> the third and fourth submission</w:t>
      </w:r>
      <w:r w:rsidR="008B640F">
        <w:rPr>
          <w:color w:val="000000"/>
        </w:rPr>
        <w:t>s</w:t>
      </w:r>
      <w:r w:rsidR="00244BA9" w:rsidRPr="00FC7883">
        <w:rPr>
          <w:color w:val="000000"/>
        </w:rPr>
        <w:t xml:space="preserve"> </w:t>
      </w:r>
      <w:r w:rsidR="008B640F">
        <w:rPr>
          <w:color w:val="000000"/>
        </w:rPr>
        <w:t>from</w:t>
      </w:r>
      <w:r w:rsidR="00244BA9" w:rsidRPr="00FC7883">
        <w:rPr>
          <w:color w:val="000000"/>
        </w:rPr>
        <w:t xml:space="preserve"> TSAG to the </w:t>
      </w:r>
      <w:r w:rsidR="00FC7883" w:rsidRPr="00FC7883">
        <w:rPr>
          <w:color w:val="000000"/>
        </w:rPr>
        <w:t xml:space="preserve">Council Working Group for strategic and financial plans 2028-2031. </w:t>
      </w:r>
      <w:r w:rsidR="00B5715E">
        <w:rPr>
          <w:color w:val="000000"/>
        </w:rPr>
        <w:t xml:space="preserve"> </w:t>
      </w:r>
    </w:p>
    <w:p w14:paraId="31646C0C" w14:textId="77777777" w:rsidR="00FC7883" w:rsidRPr="00FC7883" w:rsidRDefault="00FC7883" w:rsidP="00473B72">
      <w:pPr>
        <w:tabs>
          <w:tab w:val="clear" w:pos="567"/>
          <w:tab w:val="clear" w:pos="1134"/>
          <w:tab w:val="clear" w:pos="1701"/>
          <w:tab w:val="clear" w:pos="2268"/>
          <w:tab w:val="clear" w:pos="2835"/>
        </w:tabs>
        <w:overflowPunct/>
        <w:autoSpaceDE/>
        <w:autoSpaceDN/>
        <w:adjustRightInd/>
        <w:spacing w:before="0"/>
        <w:textAlignment w:val="auto"/>
        <w:rPr>
          <w:color w:val="000000"/>
        </w:rPr>
      </w:pPr>
    </w:p>
    <w:p w14:paraId="4F30FFA6" w14:textId="77777777" w:rsidR="00BC4759" w:rsidRDefault="00473B72" w:rsidP="00BC4759">
      <w:pPr>
        <w:tabs>
          <w:tab w:val="clear" w:pos="567"/>
          <w:tab w:val="clear" w:pos="1134"/>
          <w:tab w:val="clear" w:pos="1701"/>
          <w:tab w:val="clear" w:pos="2268"/>
          <w:tab w:val="clear" w:pos="2835"/>
        </w:tabs>
        <w:overflowPunct/>
        <w:autoSpaceDE/>
        <w:autoSpaceDN/>
        <w:adjustRightInd/>
        <w:spacing w:before="0"/>
        <w:textAlignment w:val="auto"/>
        <w:rPr>
          <w:b/>
          <w:bCs/>
        </w:rPr>
      </w:pPr>
      <w:r w:rsidRPr="00473B72">
        <w:rPr>
          <w:b/>
          <w:bCs/>
        </w:rPr>
        <w:t>Telecommunication Development Advisory Group (TDAG)</w:t>
      </w:r>
    </w:p>
    <w:p w14:paraId="3D88DD15" w14:textId="0F01B2B2" w:rsidR="00B3744C" w:rsidRDefault="00473B72" w:rsidP="00BC4759">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A403B2">
        <w:rPr>
          <w:color w:val="000000"/>
        </w:rPr>
        <w:t>The</w:t>
      </w:r>
      <w:r w:rsidR="00E96F77" w:rsidRPr="00A403B2">
        <w:rPr>
          <w:color w:val="000000"/>
        </w:rPr>
        <w:t xml:space="preserve"> meeting agreed to send a reminder to the Telecommunication Development Advisory Group (TDAG)</w:t>
      </w:r>
      <w:r w:rsidR="00972AE0" w:rsidRPr="00A403B2">
        <w:rPr>
          <w:color w:val="000000"/>
        </w:rPr>
        <w:t>,</w:t>
      </w:r>
      <w:r w:rsidR="00E96F77" w:rsidRPr="00A403B2">
        <w:rPr>
          <w:color w:val="000000"/>
        </w:rPr>
        <w:t xml:space="preserve"> requesting </w:t>
      </w:r>
      <w:r w:rsidR="00046C4F" w:rsidRPr="00A403B2">
        <w:rPr>
          <w:color w:val="000000"/>
        </w:rPr>
        <w:t xml:space="preserve">it </w:t>
      </w:r>
      <w:r w:rsidR="00E96F77" w:rsidRPr="00A403B2">
        <w:rPr>
          <w:color w:val="000000"/>
        </w:rPr>
        <w:t>t</w:t>
      </w:r>
      <w:r w:rsidR="00D1616F" w:rsidRPr="00A403B2">
        <w:rPr>
          <w:color w:val="000000"/>
        </w:rPr>
        <w:t xml:space="preserve">o confirm </w:t>
      </w:r>
      <w:r w:rsidR="00046C4F" w:rsidRPr="00A403B2">
        <w:rPr>
          <w:color w:val="000000"/>
        </w:rPr>
        <w:t>its</w:t>
      </w:r>
      <w:r w:rsidR="00D1616F" w:rsidRPr="00A403B2">
        <w:rPr>
          <w:color w:val="000000"/>
        </w:rPr>
        <w:t xml:space="preserve"> representatives for the new cycle starting this year</w:t>
      </w:r>
      <w:r w:rsidR="00046C4F" w:rsidRPr="00A403B2">
        <w:rPr>
          <w:color w:val="000000"/>
        </w:rPr>
        <w:t xml:space="preserve"> and </w:t>
      </w:r>
      <w:r w:rsidR="00D1616F" w:rsidRPr="00A403B2">
        <w:rPr>
          <w:color w:val="000000"/>
        </w:rPr>
        <w:t xml:space="preserve">to update all relevant information, such as the mapping tables, </w:t>
      </w:r>
      <w:proofErr w:type="gramStart"/>
      <w:r w:rsidR="00AC6590" w:rsidRPr="00A403B2">
        <w:rPr>
          <w:color w:val="000000"/>
        </w:rPr>
        <w:t>on the basis of</w:t>
      </w:r>
      <w:proofErr w:type="gramEnd"/>
      <w:r w:rsidR="00D1616F" w:rsidRPr="00A403B2">
        <w:rPr>
          <w:color w:val="000000"/>
        </w:rPr>
        <w:t xml:space="preserve"> the </w:t>
      </w:r>
      <w:r w:rsidR="00D1616F" w:rsidRPr="00A403B2">
        <w:rPr>
          <w:color w:val="000000"/>
        </w:rPr>
        <w:lastRenderedPageBreak/>
        <w:t>outcomes of the World Telecommunication Development Conference</w:t>
      </w:r>
      <w:r w:rsidR="00B3744C" w:rsidRPr="00A403B2">
        <w:rPr>
          <w:color w:val="000000"/>
        </w:rPr>
        <w:t xml:space="preserve"> (WTDC-25), held </w:t>
      </w:r>
      <w:r w:rsidR="00D1616F" w:rsidRPr="00A403B2">
        <w:rPr>
          <w:color w:val="000000"/>
        </w:rPr>
        <w:t>in October 2025.</w:t>
      </w:r>
    </w:p>
    <w:p w14:paraId="1EFB4A78" w14:textId="77777777" w:rsidR="00EB06AF" w:rsidRDefault="00EB06AF" w:rsidP="00BC4759">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587C30CB" w14:textId="32D2569D" w:rsidR="00EF4D6F" w:rsidRDefault="00EF4D6F" w:rsidP="00AA50E0">
      <w:pPr>
        <w:tabs>
          <w:tab w:val="clear" w:pos="567"/>
          <w:tab w:val="clear" w:pos="1134"/>
          <w:tab w:val="clear" w:pos="1701"/>
          <w:tab w:val="clear" w:pos="2268"/>
          <w:tab w:val="clear" w:pos="2835"/>
        </w:tabs>
        <w:overflowPunct/>
        <w:autoSpaceDE/>
        <w:autoSpaceDN/>
        <w:adjustRightInd/>
        <w:spacing w:before="0"/>
        <w:textAlignment w:val="auto"/>
        <w:rPr>
          <w:b/>
          <w:bCs/>
        </w:rPr>
      </w:pPr>
      <w:r w:rsidRPr="00EF4D6F">
        <w:rPr>
          <w:b/>
          <w:bCs/>
        </w:rPr>
        <w:t>Reports by themes</w:t>
      </w:r>
    </w:p>
    <w:p w14:paraId="2BD363E5" w14:textId="77777777" w:rsidR="004D1DE1" w:rsidRDefault="00EF4D6F" w:rsidP="00EB06AF">
      <w:pPr>
        <w:tabs>
          <w:tab w:val="clear" w:pos="567"/>
          <w:tab w:val="clear" w:pos="1134"/>
          <w:tab w:val="clear" w:pos="1701"/>
          <w:tab w:val="clear" w:pos="2268"/>
          <w:tab w:val="clear" w:pos="2835"/>
        </w:tabs>
        <w:overflowPunct/>
        <w:autoSpaceDE/>
        <w:autoSpaceDN/>
        <w:adjustRightInd/>
        <w:textAlignment w:val="auto"/>
        <w:rPr>
          <w:b/>
          <w:bCs/>
        </w:rPr>
      </w:pPr>
      <w:r w:rsidRPr="00AA50E0">
        <w:rPr>
          <w:b/>
          <w:bCs/>
        </w:rPr>
        <w:t>Accessibility</w:t>
      </w:r>
    </w:p>
    <w:p w14:paraId="0BC788DB" w14:textId="6B5B6234" w:rsidR="005B1FA5" w:rsidRPr="00EC03B6" w:rsidRDefault="00EF4D6F" w:rsidP="00737AB1">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EC03B6">
        <w:rPr>
          <w:color w:val="000000"/>
        </w:rPr>
        <w:t>Th</w:t>
      </w:r>
      <w:r>
        <w:rPr>
          <w:color w:val="000000"/>
        </w:rPr>
        <w:t xml:space="preserve">e recently appointed </w:t>
      </w:r>
      <w:r w:rsidR="009812FC">
        <w:rPr>
          <w:color w:val="000000"/>
        </w:rPr>
        <w:t>c</w:t>
      </w:r>
      <w:r>
        <w:rPr>
          <w:color w:val="000000"/>
        </w:rPr>
        <w:t xml:space="preserve">oordinator, </w:t>
      </w:r>
      <w:r w:rsidR="00B11723" w:rsidRPr="00EC03B6">
        <w:rPr>
          <w:color w:val="000000"/>
        </w:rPr>
        <w:t>Ms Lidia Best</w:t>
      </w:r>
      <w:r w:rsidR="007D605D" w:rsidRPr="00EC03B6">
        <w:rPr>
          <w:color w:val="000000"/>
        </w:rPr>
        <w:t xml:space="preserve"> (</w:t>
      </w:r>
      <w:r w:rsidR="00B11723" w:rsidRPr="00EC03B6">
        <w:rPr>
          <w:color w:val="000000"/>
        </w:rPr>
        <w:t>JCA AHF Chair</w:t>
      </w:r>
      <w:r w:rsidR="007D605D" w:rsidRPr="00EC03B6">
        <w:rPr>
          <w:color w:val="000000"/>
        </w:rPr>
        <w:t>), was confirmed by TSAG</w:t>
      </w:r>
      <w:r w:rsidR="00682CA7" w:rsidRPr="00EC03B6">
        <w:rPr>
          <w:color w:val="000000"/>
        </w:rPr>
        <w:t>,</w:t>
      </w:r>
      <w:r w:rsidR="007D605D" w:rsidRPr="00EC03B6">
        <w:rPr>
          <w:color w:val="000000"/>
        </w:rPr>
        <w:t xml:space="preserve"> and </w:t>
      </w:r>
      <w:r w:rsidR="00682CA7" w:rsidRPr="00EC03B6">
        <w:rPr>
          <w:color w:val="000000"/>
        </w:rPr>
        <w:t>she</w:t>
      </w:r>
      <w:r w:rsidR="005B1FA5" w:rsidRPr="00EC03B6">
        <w:rPr>
          <w:color w:val="000000"/>
        </w:rPr>
        <w:t xml:space="preserve"> </w:t>
      </w:r>
      <w:r w:rsidR="007D605D" w:rsidRPr="00EC03B6">
        <w:rPr>
          <w:color w:val="000000"/>
        </w:rPr>
        <w:t xml:space="preserve">requested clarification on the issues to be reported </w:t>
      </w:r>
      <w:r w:rsidR="005B1FA5" w:rsidRPr="00EC03B6">
        <w:rPr>
          <w:color w:val="000000"/>
        </w:rPr>
        <w:t>at</w:t>
      </w:r>
      <w:r w:rsidR="007D605D" w:rsidRPr="00EC03B6">
        <w:rPr>
          <w:color w:val="000000"/>
        </w:rPr>
        <w:t xml:space="preserve"> the next meeting.</w:t>
      </w:r>
      <w:r w:rsidR="00CB359C">
        <w:rPr>
          <w:color w:val="000000"/>
        </w:rPr>
        <w:t xml:space="preserve"> </w:t>
      </w:r>
      <w:r w:rsidR="005B1FA5" w:rsidRPr="00EC03B6">
        <w:rPr>
          <w:color w:val="000000"/>
        </w:rPr>
        <w:t>The Chair clarified</w:t>
      </w:r>
      <w:r w:rsidR="00CB359C">
        <w:rPr>
          <w:color w:val="000000"/>
        </w:rPr>
        <w:t xml:space="preserve"> that</w:t>
      </w:r>
      <w:r w:rsidR="005B1FA5" w:rsidRPr="00EC03B6">
        <w:rPr>
          <w:color w:val="000000"/>
        </w:rPr>
        <w:t xml:space="preserve">, as </w:t>
      </w:r>
      <w:r w:rsidR="00FF092C">
        <w:rPr>
          <w:color w:val="000000"/>
        </w:rPr>
        <w:t>with</w:t>
      </w:r>
      <w:r w:rsidR="005B1FA5" w:rsidRPr="00EC03B6">
        <w:rPr>
          <w:color w:val="000000"/>
        </w:rPr>
        <w:t xml:space="preserve"> all themes of common interest, the reports should highlight </w:t>
      </w:r>
      <w:r w:rsidR="00AC1C80" w:rsidRPr="00EC03B6">
        <w:rPr>
          <w:color w:val="000000"/>
        </w:rPr>
        <w:t>cooperation and collaboration across the Union</w:t>
      </w:r>
      <w:r w:rsidR="00FF092C">
        <w:rPr>
          <w:color w:val="000000"/>
        </w:rPr>
        <w:t>;</w:t>
      </w:r>
      <w:r w:rsidR="00AC1C80" w:rsidRPr="00EC03B6">
        <w:rPr>
          <w:color w:val="000000"/>
        </w:rPr>
        <w:t xml:space="preserve"> this includes activities from the three ITU Sectors and the General Secretariat, </w:t>
      </w:r>
      <w:r w:rsidR="003A3D2C">
        <w:rPr>
          <w:color w:val="000000"/>
        </w:rPr>
        <w:t xml:space="preserve">as well as </w:t>
      </w:r>
      <w:r w:rsidR="00AC1C80" w:rsidRPr="00EC03B6">
        <w:rPr>
          <w:color w:val="000000"/>
        </w:rPr>
        <w:t>way</w:t>
      </w:r>
      <w:r w:rsidR="003A3D2C">
        <w:rPr>
          <w:color w:val="000000"/>
        </w:rPr>
        <w:t>s</w:t>
      </w:r>
      <w:r w:rsidR="00AC1C80" w:rsidRPr="00EC03B6">
        <w:rPr>
          <w:color w:val="000000"/>
        </w:rPr>
        <w:t xml:space="preserve"> to improve cooperation pro</w:t>
      </w:r>
      <w:r w:rsidR="00EC03B6" w:rsidRPr="00EC03B6">
        <w:rPr>
          <w:color w:val="000000"/>
        </w:rPr>
        <w:t>cedures whenever needed.</w:t>
      </w:r>
    </w:p>
    <w:p w14:paraId="506AD1A6" w14:textId="77777777" w:rsidR="009812FC" w:rsidRDefault="009812FC" w:rsidP="009812FC">
      <w:pPr>
        <w:tabs>
          <w:tab w:val="clear" w:pos="567"/>
          <w:tab w:val="clear" w:pos="1134"/>
          <w:tab w:val="clear" w:pos="1701"/>
          <w:tab w:val="clear" w:pos="2268"/>
          <w:tab w:val="clear" w:pos="2835"/>
        </w:tabs>
        <w:overflowPunct/>
        <w:autoSpaceDE/>
        <w:autoSpaceDN/>
        <w:adjustRightInd/>
        <w:spacing w:before="0"/>
        <w:textAlignment w:val="auto"/>
        <w:rPr>
          <w:b/>
          <w:bCs/>
        </w:rPr>
      </w:pPr>
    </w:p>
    <w:p w14:paraId="7CDAD516" w14:textId="77777777" w:rsidR="004D1DE1" w:rsidRDefault="009812FC" w:rsidP="004D1DE1">
      <w:pPr>
        <w:tabs>
          <w:tab w:val="clear" w:pos="567"/>
          <w:tab w:val="clear" w:pos="1134"/>
          <w:tab w:val="clear" w:pos="1701"/>
          <w:tab w:val="clear" w:pos="2268"/>
          <w:tab w:val="clear" w:pos="2835"/>
        </w:tabs>
        <w:overflowPunct/>
        <w:autoSpaceDE/>
        <w:autoSpaceDN/>
        <w:adjustRightInd/>
        <w:spacing w:before="0"/>
        <w:textAlignment w:val="auto"/>
        <w:rPr>
          <w:b/>
          <w:bCs/>
        </w:rPr>
      </w:pPr>
      <w:r w:rsidRPr="009812FC">
        <w:rPr>
          <w:b/>
          <w:bCs/>
        </w:rPr>
        <w:t>Climate Change</w:t>
      </w:r>
    </w:p>
    <w:p w14:paraId="335BBED1" w14:textId="7A782599" w:rsidR="0021435C" w:rsidRDefault="009812FC" w:rsidP="00004169">
      <w:pPr>
        <w:tabs>
          <w:tab w:val="clear" w:pos="567"/>
          <w:tab w:val="clear" w:pos="1134"/>
          <w:tab w:val="clear" w:pos="1701"/>
          <w:tab w:val="clear" w:pos="2268"/>
          <w:tab w:val="clear" w:pos="2835"/>
        </w:tabs>
        <w:overflowPunct/>
        <w:autoSpaceDE/>
        <w:autoSpaceDN/>
        <w:adjustRightInd/>
        <w:spacing w:before="0"/>
        <w:jc w:val="both"/>
        <w:textAlignment w:val="auto"/>
      </w:pPr>
      <w:r>
        <w:t xml:space="preserve">The </w:t>
      </w:r>
      <w:r w:rsidR="005246C5">
        <w:t>c</w:t>
      </w:r>
      <w:r w:rsidR="00DC5D6F">
        <w:t xml:space="preserve">limate </w:t>
      </w:r>
      <w:r w:rsidR="005246C5">
        <w:t>c</w:t>
      </w:r>
      <w:r w:rsidR="00DC5D6F">
        <w:t xml:space="preserve">hange coordinator presented a report </w:t>
      </w:r>
      <w:r w:rsidR="005246C5">
        <w:t>providing</w:t>
      </w:r>
      <w:r w:rsidR="00DC5D6F">
        <w:t xml:space="preserve"> updates on the work of ITU-T, mainly </w:t>
      </w:r>
      <w:r w:rsidR="00851EB3">
        <w:t xml:space="preserve">Study Group 5 on </w:t>
      </w:r>
      <w:r w:rsidR="00E86FC0">
        <w:t xml:space="preserve">“Environment, EMF, climate action &amp; circular economy”, and </w:t>
      </w:r>
      <w:r w:rsidR="00004169">
        <w:t>on</w:t>
      </w:r>
      <w:r w:rsidR="00E86FC0">
        <w:t xml:space="preserve"> coordinated work </w:t>
      </w:r>
      <w:r w:rsidR="0021435C">
        <w:t xml:space="preserve">across the Union </w:t>
      </w:r>
      <w:r w:rsidR="00004169">
        <w:t xml:space="preserve">for </w:t>
      </w:r>
      <w:r w:rsidR="0021435C">
        <w:t xml:space="preserve">COP 30 (see </w:t>
      </w:r>
      <w:r w:rsidR="00882F21">
        <w:t xml:space="preserve">Document </w:t>
      </w:r>
      <w:hyperlink r:id="rId23" w:history="1">
        <w:r w:rsidR="00882F21" w:rsidRPr="00A77552">
          <w:rPr>
            <w:rStyle w:val="Hyperlink"/>
          </w:rPr>
          <w:t>ISCG/26-1/3</w:t>
        </w:r>
      </w:hyperlink>
      <w:r w:rsidR="00882F21">
        <w:t>).</w:t>
      </w:r>
    </w:p>
    <w:p w14:paraId="3538733A" w14:textId="77777777" w:rsidR="002B75A9" w:rsidRDefault="002B75A9" w:rsidP="002B75A9">
      <w:pPr>
        <w:tabs>
          <w:tab w:val="clear" w:pos="567"/>
          <w:tab w:val="clear" w:pos="1701"/>
          <w:tab w:val="clear" w:pos="2835"/>
          <w:tab w:val="left" w:pos="1871"/>
        </w:tabs>
        <w:contextualSpacing/>
        <w:rPr>
          <w:rFonts w:asciiTheme="minorHAnsi" w:hAnsiTheme="minorHAnsi"/>
          <w:szCs w:val="24"/>
        </w:rPr>
      </w:pPr>
    </w:p>
    <w:p w14:paraId="68DE1DD5" w14:textId="42759DED" w:rsidR="002B75A9" w:rsidRPr="002B75A9" w:rsidRDefault="002B75A9" w:rsidP="002B75A9">
      <w:pPr>
        <w:tabs>
          <w:tab w:val="clear" w:pos="567"/>
          <w:tab w:val="clear" w:pos="1701"/>
          <w:tab w:val="clear" w:pos="2835"/>
          <w:tab w:val="left" w:pos="1871"/>
        </w:tabs>
        <w:contextualSpacing/>
        <w:rPr>
          <w:b/>
          <w:bCs/>
        </w:rPr>
      </w:pPr>
      <w:r w:rsidRPr="002B75A9">
        <w:rPr>
          <w:b/>
          <w:bCs/>
        </w:rPr>
        <w:t>Industry Engagement</w:t>
      </w:r>
    </w:p>
    <w:p w14:paraId="7E78C739" w14:textId="19ED8BB1" w:rsidR="002F1CF2" w:rsidRPr="002F1CF2" w:rsidRDefault="002B75A9" w:rsidP="002F1CF2">
      <w:pPr>
        <w:jc w:val="both"/>
        <w:rPr>
          <w:color w:val="000000"/>
        </w:rPr>
      </w:pPr>
      <w:r w:rsidRPr="00A85483">
        <w:rPr>
          <w:color w:val="000000"/>
        </w:rPr>
        <w:t>The</w:t>
      </w:r>
      <w:r w:rsidR="00752B13" w:rsidRPr="00A85483">
        <w:rPr>
          <w:color w:val="000000"/>
        </w:rPr>
        <w:t xml:space="preserve"> coordinator </w:t>
      </w:r>
      <w:r w:rsidR="00617B63" w:rsidRPr="00A85483">
        <w:rPr>
          <w:color w:val="000000"/>
        </w:rPr>
        <w:t>presented a brief update on ITU</w:t>
      </w:r>
      <w:r w:rsidR="00617B63" w:rsidRPr="00A85483">
        <w:rPr>
          <w:color w:val="000000"/>
        </w:rPr>
        <w:noBreakHyphen/>
        <w:t xml:space="preserve">T’s industry engagement efforts, noting ongoing work to build on the success of the 2024 industry engagement workshop. A new workshop will be held on 27 March at ETSI </w:t>
      </w:r>
      <w:r w:rsidR="00236A57" w:rsidRPr="00A85483">
        <w:rPr>
          <w:color w:val="000000"/>
        </w:rPr>
        <w:t>H</w:t>
      </w:r>
      <w:r w:rsidR="00617B63" w:rsidRPr="00A85483">
        <w:rPr>
          <w:color w:val="000000"/>
        </w:rPr>
        <w:t xml:space="preserve">eadquarters, focusing on ITU’s evolving approach to digital technologies, sharing success stories and exploring the relationship between standardization and open-source developments. The </w:t>
      </w:r>
      <w:r w:rsidR="00174842" w:rsidRPr="00A85483">
        <w:rPr>
          <w:color w:val="000000"/>
        </w:rPr>
        <w:t>presentation</w:t>
      </w:r>
      <w:r w:rsidR="00617B63" w:rsidRPr="00A85483">
        <w:rPr>
          <w:color w:val="000000"/>
        </w:rPr>
        <w:t xml:space="preserve"> highlighted that engagement with ITU</w:t>
      </w:r>
      <w:r w:rsidR="00617B63" w:rsidRPr="00A85483">
        <w:rPr>
          <w:color w:val="000000"/>
        </w:rPr>
        <w:noBreakHyphen/>
        <w:t>D and ITU</w:t>
      </w:r>
      <w:r w:rsidR="00617B63" w:rsidRPr="00A85483">
        <w:rPr>
          <w:color w:val="000000"/>
        </w:rPr>
        <w:noBreakHyphen/>
        <w:t>R has not yet taken place and encouraged greater cross</w:t>
      </w:r>
      <w:r w:rsidR="00617B63" w:rsidRPr="00A85483">
        <w:rPr>
          <w:color w:val="000000"/>
        </w:rPr>
        <w:noBreakHyphen/>
        <w:t>sector dialogue, emphasizing that industry engagement is a priority for ITU</w:t>
      </w:r>
      <w:r w:rsidR="00617B63" w:rsidRPr="00A85483">
        <w:rPr>
          <w:color w:val="000000"/>
        </w:rPr>
        <w:noBreakHyphen/>
        <w:t xml:space="preserve">T. Participants underscored the importance of coordinated efforts across all three </w:t>
      </w:r>
      <w:r w:rsidR="00FB5239" w:rsidRPr="00A85483">
        <w:rPr>
          <w:color w:val="000000"/>
        </w:rPr>
        <w:t>S</w:t>
      </w:r>
      <w:r w:rsidR="00617B63" w:rsidRPr="00A85483">
        <w:rPr>
          <w:color w:val="000000"/>
        </w:rPr>
        <w:t>ectors to avoid duplication</w:t>
      </w:r>
      <w:r w:rsidR="00FB5239" w:rsidRPr="00A85483">
        <w:rPr>
          <w:color w:val="000000"/>
        </w:rPr>
        <w:t xml:space="preserve"> of efforts</w:t>
      </w:r>
      <w:r w:rsidR="005D7B8F">
        <w:rPr>
          <w:color w:val="000000"/>
        </w:rPr>
        <w:t xml:space="preserve">, </w:t>
      </w:r>
      <w:r w:rsidR="00617B63" w:rsidRPr="00A85483">
        <w:rPr>
          <w:color w:val="000000"/>
        </w:rPr>
        <w:t>such as multiple workshops on similar themes</w:t>
      </w:r>
      <w:r w:rsidR="005D7B8F">
        <w:rPr>
          <w:color w:val="000000"/>
        </w:rPr>
        <w:t xml:space="preserve">, </w:t>
      </w:r>
      <w:r w:rsidR="00617B63" w:rsidRPr="00A85483">
        <w:rPr>
          <w:color w:val="000000"/>
        </w:rPr>
        <w:t>and to ensure that achievements and initiatives are shared and supported collectively.</w:t>
      </w:r>
      <w:r w:rsidR="005D7B8F">
        <w:rPr>
          <w:color w:val="000000"/>
        </w:rPr>
        <w:t xml:space="preserve"> </w:t>
      </w:r>
      <w:r w:rsidR="00A85483">
        <w:rPr>
          <w:color w:val="000000"/>
        </w:rPr>
        <w:t>P</w:t>
      </w:r>
      <w:r w:rsidR="00A85483" w:rsidRPr="00A85483">
        <w:rPr>
          <w:color w:val="000000"/>
        </w:rPr>
        <w:t xml:space="preserve">ractical insights from </w:t>
      </w:r>
      <w:r w:rsidR="00A85483">
        <w:rPr>
          <w:color w:val="000000"/>
        </w:rPr>
        <w:t xml:space="preserve">ITU-T </w:t>
      </w:r>
      <w:r w:rsidR="00A85483" w:rsidRPr="00A85483">
        <w:rPr>
          <w:color w:val="000000"/>
        </w:rPr>
        <w:t>Study Group 17</w:t>
      </w:r>
      <w:r w:rsidR="00A85483">
        <w:rPr>
          <w:color w:val="000000"/>
        </w:rPr>
        <w:t xml:space="preserve"> were shared</w:t>
      </w:r>
      <w:r w:rsidR="00A85483" w:rsidRPr="00A85483">
        <w:rPr>
          <w:color w:val="000000"/>
        </w:rPr>
        <w:t>, noting a significant acceleration in new industry members—growing from roughly one per month to nearly one per week—attributed to the implementation of engagement practices developed during the previous study period.</w:t>
      </w:r>
      <w:r w:rsidR="002F1CF2">
        <w:rPr>
          <w:color w:val="000000"/>
        </w:rPr>
        <w:t xml:space="preserve"> </w:t>
      </w:r>
      <w:r w:rsidR="002F1CF2" w:rsidRPr="002F1CF2">
        <w:rPr>
          <w:color w:val="000000"/>
        </w:rPr>
        <w:t>The discussion also touched on the financial implications of membership</w:t>
      </w:r>
      <w:r w:rsidR="002F1CF2">
        <w:rPr>
          <w:color w:val="000000"/>
        </w:rPr>
        <w:t xml:space="preserve">, </w:t>
      </w:r>
      <w:r w:rsidR="00AB51D9">
        <w:rPr>
          <w:color w:val="000000"/>
        </w:rPr>
        <w:t>with</w:t>
      </w:r>
      <w:r w:rsidR="002F1CF2" w:rsidRPr="002F1CF2">
        <w:rPr>
          <w:color w:val="000000"/>
        </w:rPr>
        <w:t xml:space="preserve"> </w:t>
      </w:r>
      <w:r w:rsidR="00E0240F">
        <w:rPr>
          <w:color w:val="000000"/>
        </w:rPr>
        <w:t>ITU-T</w:t>
      </w:r>
      <w:r w:rsidR="002F1CF2" w:rsidRPr="002F1CF2">
        <w:rPr>
          <w:color w:val="000000"/>
        </w:rPr>
        <w:t xml:space="preserve"> overall bringing in about </w:t>
      </w:r>
      <w:r w:rsidR="00E0240F">
        <w:rPr>
          <w:color w:val="000000"/>
        </w:rPr>
        <w:t>CHF</w:t>
      </w:r>
      <w:r w:rsidR="002F1CF2" w:rsidRPr="002F1CF2">
        <w:rPr>
          <w:color w:val="000000"/>
        </w:rPr>
        <w:t xml:space="preserve"> 7.6 million annually. </w:t>
      </w:r>
    </w:p>
    <w:p w14:paraId="51C858E0" w14:textId="77777777" w:rsidR="00EB2184" w:rsidRDefault="00EB2184" w:rsidP="00EB2184">
      <w:pPr>
        <w:tabs>
          <w:tab w:val="clear" w:pos="567"/>
          <w:tab w:val="clear" w:pos="1701"/>
          <w:tab w:val="clear" w:pos="2835"/>
          <w:tab w:val="left" w:pos="1871"/>
        </w:tabs>
        <w:contextualSpacing/>
        <w:rPr>
          <w:b/>
          <w:bCs/>
        </w:rPr>
      </w:pPr>
    </w:p>
    <w:p w14:paraId="27067A87" w14:textId="2DEF5623" w:rsidR="00A85483" w:rsidRPr="00A85483" w:rsidRDefault="00EB2184" w:rsidP="00EB2184">
      <w:pPr>
        <w:tabs>
          <w:tab w:val="clear" w:pos="567"/>
          <w:tab w:val="clear" w:pos="1701"/>
          <w:tab w:val="clear" w:pos="2835"/>
          <w:tab w:val="left" w:pos="1871"/>
        </w:tabs>
        <w:contextualSpacing/>
        <w:rPr>
          <w:b/>
          <w:bCs/>
        </w:rPr>
      </w:pPr>
      <w:r w:rsidRPr="00EB2184">
        <w:rPr>
          <w:b/>
          <w:bCs/>
        </w:rPr>
        <w:t>ITU website</w:t>
      </w:r>
    </w:p>
    <w:p w14:paraId="571A21C5" w14:textId="20AE41BF" w:rsidR="001D3FE7" w:rsidRDefault="00EB2184" w:rsidP="001D3FE7">
      <w:pPr>
        <w:tabs>
          <w:tab w:val="clear" w:pos="567"/>
          <w:tab w:val="clear" w:pos="1701"/>
          <w:tab w:val="clear" w:pos="2835"/>
          <w:tab w:val="left" w:pos="1871"/>
        </w:tabs>
        <w:contextualSpacing/>
        <w:jc w:val="both"/>
      </w:pPr>
      <w:r w:rsidRPr="00EB2184">
        <w:rPr>
          <w:color w:val="000000"/>
        </w:rPr>
        <w:t>The Secretariat presented updates on the new ITU website project</w:t>
      </w:r>
      <w:r>
        <w:rPr>
          <w:color w:val="000000"/>
        </w:rPr>
        <w:t xml:space="preserve"> (see </w:t>
      </w:r>
      <w:hyperlink r:id="rId24" w:history="1">
        <w:r w:rsidR="005C3337" w:rsidRPr="00B6440C">
          <w:rPr>
            <w:rStyle w:val="Hyperlink"/>
          </w:rPr>
          <w:t>CWG-FHR-22/1</w:t>
        </w:r>
      </w:hyperlink>
      <w:r w:rsidR="005C3337">
        <w:rPr>
          <w:color w:val="000000"/>
        </w:rPr>
        <w:t>)</w:t>
      </w:r>
      <w:r w:rsidRPr="00EB2184">
        <w:rPr>
          <w:color w:val="000000"/>
        </w:rPr>
        <w:t>.</w:t>
      </w:r>
      <w:r w:rsidR="00D2388D">
        <w:rPr>
          <w:color w:val="000000"/>
        </w:rPr>
        <w:t xml:space="preserve"> The report notes </w:t>
      </w:r>
      <w:r w:rsidR="00D2388D" w:rsidRPr="00D2388D">
        <w:rPr>
          <w:color w:val="000000"/>
        </w:rPr>
        <w:t xml:space="preserve">that the project is progressing on schedule, with a prototype to be delivered by </w:t>
      </w:r>
      <w:r w:rsidR="00740E53">
        <w:rPr>
          <w:color w:val="000000"/>
        </w:rPr>
        <w:t xml:space="preserve">the </w:t>
      </w:r>
      <w:r w:rsidR="00D2388D" w:rsidRPr="00D2388D">
        <w:rPr>
          <w:color w:val="000000"/>
        </w:rPr>
        <w:t>Council</w:t>
      </w:r>
      <w:r w:rsidR="00D2388D">
        <w:rPr>
          <w:color w:val="000000"/>
        </w:rPr>
        <w:t xml:space="preserve"> </w:t>
      </w:r>
      <w:r w:rsidR="00D2388D" w:rsidRPr="00D2388D">
        <w:rPr>
          <w:color w:val="000000"/>
        </w:rPr>
        <w:t>and a minimally viable product ready by the Plenipotentiary Conference in November</w:t>
      </w:r>
      <w:r w:rsidR="006C592E">
        <w:rPr>
          <w:color w:val="000000"/>
        </w:rPr>
        <w:t xml:space="preserve"> this year</w:t>
      </w:r>
      <w:r w:rsidR="00D2388D" w:rsidRPr="00D2388D">
        <w:rPr>
          <w:color w:val="000000"/>
        </w:rPr>
        <w:t>. Drawing on savings approved from 2023–2024, ITU engaged a company to conduct an in</w:t>
      </w:r>
      <w:r w:rsidR="00D2388D" w:rsidRPr="00D2388D">
        <w:rPr>
          <w:rFonts w:ascii="Cambria Math" w:hAnsi="Cambria Math" w:cs="Cambria Math"/>
          <w:color w:val="000000"/>
        </w:rPr>
        <w:t>‑</w:t>
      </w:r>
      <w:r w:rsidR="00D2388D" w:rsidRPr="00D2388D">
        <w:rPr>
          <w:color w:val="000000"/>
        </w:rPr>
        <w:t xml:space="preserve">depth website analysis, supported by a survey of 200 participants and 60 individual interviews. Based on this research, four priority areas were identified for delivery: improved search, harmonized navigation across </w:t>
      </w:r>
      <w:r w:rsidR="00FD6917">
        <w:rPr>
          <w:color w:val="000000"/>
        </w:rPr>
        <w:t>the S</w:t>
      </w:r>
      <w:r w:rsidR="00D2388D" w:rsidRPr="00D2388D">
        <w:rPr>
          <w:color w:val="000000"/>
        </w:rPr>
        <w:t>ectors, selected landing pages, and clearer introductory content for first</w:t>
      </w:r>
      <w:r w:rsidR="00D2388D" w:rsidRPr="00D2388D">
        <w:rPr>
          <w:rFonts w:ascii="Cambria Math" w:hAnsi="Cambria Math" w:cs="Cambria Math"/>
          <w:color w:val="000000"/>
        </w:rPr>
        <w:t>‑</w:t>
      </w:r>
      <w:r w:rsidR="00D2388D" w:rsidRPr="00D2388D">
        <w:rPr>
          <w:color w:val="000000"/>
        </w:rPr>
        <w:t>time users. The envisioned design</w:t>
      </w:r>
      <w:r w:rsidR="002B4850">
        <w:rPr>
          <w:color w:val="000000"/>
        </w:rPr>
        <w:t xml:space="preserve"> </w:t>
      </w:r>
      <w:r w:rsidR="00D2388D" w:rsidRPr="00D2388D">
        <w:rPr>
          <w:color w:val="000000"/>
        </w:rPr>
        <w:t>aims to shift from an ITU</w:t>
      </w:r>
      <w:r w:rsidR="00D2388D" w:rsidRPr="00D2388D">
        <w:rPr>
          <w:rFonts w:ascii="Cambria Math" w:hAnsi="Cambria Math" w:cs="Cambria Math"/>
          <w:color w:val="000000"/>
        </w:rPr>
        <w:t>‑</w:t>
      </w:r>
      <w:r w:rsidR="00D2388D" w:rsidRPr="00D2388D">
        <w:rPr>
          <w:color w:val="000000"/>
        </w:rPr>
        <w:t>centric structure to a user</w:t>
      </w:r>
      <w:r w:rsidR="00D2388D" w:rsidRPr="00D2388D">
        <w:rPr>
          <w:rFonts w:ascii="Cambria Math" w:hAnsi="Cambria Math" w:cs="Cambria Math"/>
          <w:color w:val="000000"/>
        </w:rPr>
        <w:t>‑</w:t>
      </w:r>
      <w:r w:rsidR="00D2388D" w:rsidRPr="00D2388D">
        <w:rPr>
          <w:color w:val="000000"/>
        </w:rPr>
        <w:t>centric experience, with search and navigation tested iteratively. A prototype of the new navigation bar has already been deployed for user testing, and participants were invited to provide feedback, with the reminder that this effort is a collaborative product shaped by the needs of ITU’s most frequent users.</w:t>
      </w:r>
      <w:r w:rsidR="007D001B">
        <w:rPr>
          <w:color w:val="000000"/>
        </w:rPr>
        <w:t xml:space="preserve"> </w:t>
      </w:r>
      <w:r w:rsidR="00B6440C" w:rsidRPr="00A403B2">
        <w:t xml:space="preserve">The Secretariat was </w:t>
      </w:r>
      <w:r w:rsidR="00B6440C" w:rsidRPr="00A403B2">
        <w:lastRenderedPageBreak/>
        <w:t xml:space="preserve">instructed to liaise </w:t>
      </w:r>
      <w:r w:rsidR="00515818" w:rsidRPr="00A403B2">
        <w:t xml:space="preserve">the </w:t>
      </w:r>
      <w:r w:rsidR="00B6440C" w:rsidRPr="00A403B2">
        <w:t xml:space="preserve">focal point for the ITU new website project </w:t>
      </w:r>
      <w:r w:rsidR="00515818" w:rsidRPr="00A403B2">
        <w:t xml:space="preserve">with the accessibility coordinator </w:t>
      </w:r>
      <w:r w:rsidR="00B6440C" w:rsidRPr="00A403B2">
        <w:t xml:space="preserve">to </w:t>
      </w:r>
      <w:r w:rsidR="004F5DF1" w:rsidRPr="00A403B2">
        <w:t>ensure that</w:t>
      </w:r>
      <w:r w:rsidR="00B6440C" w:rsidRPr="00A403B2">
        <w:t xml:space="preserve"> the project </w:t>
      </w:r>
      <w:proofErr w:type="gramStart"/>
      <w:r w:rsidR="001D3FE7" w:rsidRPr="00A403B2">
        <w:t>takes into account</w:t>
      </w:r>
      <w:proofErr w:type="gramEnd"/>
      <w:r w:rsidR="001D3FE7" w:rsidRPr="00A403B2">
        <w:t xml:space="preserve"> the</w:t>
      </w:r>
      <w:r w:rsidR="00B6440C" w:rsidRPr="00A403B2">
        <w:t xml:space="preserve"> needs </w:t>
      </w:r>
      <w:r w:rsidR="001D3FE7" w:rsidRPr="00A403B2">
        <w:t>of persons</w:t>
      </w:r>
      <w:r w:rsidR="00B6440C" w:rsidRPr="00A403B2">
        <w:t xml:space="preserve"> with disabilities during the review process.</w:t>
      </w:r>
    </w:p>
    <w:p w14:paraId="132234EF" w14:textId="77777777" w:rsidR="001D3FE7" w:rsidRDefault="001D3FE7" w:rsidP="001D3FE7">
      <w:pPr>
        <w:tabs>
          <w:tab w:val="clear" w:pos="567"/>
          <w:tab w:val="clear" w:pos="1701"/>
          <w:tab w:val="clear" w:pos="2835"/>
          <w:tab w:val="left" w:pos="1871"/>
        </w:tabs>
        <w:contextualSpacing/>
        <w:jc w:val="both"/>
      </w:pPr>
    </w:p>
    <w:p w14:paraId="4D43C1E9" w14:textId="208E6E17" w:rsidR="003D54F9" w:rsidRDefault="003D54F9" w:rsidP="001D3FE7">
      <w:pPr>
        <w:tabs>
          <w:tab w:val="clear" w:pos="567"/>
          <w:tab w:val="clear" w:pos="1701"/>
          <w:tab w:val="clear" w:pos="2835"/>
          <w:tab w:val="left" w:pos="1871"/>
        </w:tabs>
        <w:contextualSpacing/>
        <w:jc w:val="both"/>
        <w:rPr>
          <w:b/>
          <w:bCs/>
        </w:rPr>
      </w:pPr>
      <w:r w:rsidRPr="003D54F9">
        <w:rPr>
          <w:b/>
          <w:bCs/>
        </w:rPr>
        <w:t>Remote Participation</w:t>
      </w:r>
    </w:p>
    <w:p w14:paraId="7717CDB5" w14:textId="2927321D" w:rsidR="00117607" w:rsidRPr="00117607" w:rsidRDefault="00D24604" w:rsidP="00117607">
      <w:pPr>
        <w:tabs>
          <w:tab w:val="clear" w:pos="567"/>
          <w:tab w:val="clear" w:pos="1701"/>
          <w:tab w:val="clear" w:pos="2835"/>
          <w:tab w:val="left" w:pos="1871"/>
        </w:tabs>
        <w:contextualSpacing/>
        <w:jc w:val="both"/>
        <w:rPr>
          <w:color w:val="000000"/>
        </w:rPr>
      </w:pPr>
      <w:r w:rsidRPr="00117607">
        <w:rPr>
          <w:color w:val="000000"/>
        </w:rPr>
        <w:t>The coordinator reported on recent work within TSAG’s Rapporteur Group on Working Methods concerning remote participation</w:t>
      </w:r>
      <w:r w:rsidR="009D5206">
        <w:rPr>
          <w:color w:val="000000"/>
        </w:rPr>
        <w:t xml:space="preserve"> (see </w:t>
      </w:r>
      <w:hyperlink r:id="rId25" w:history="1">
        <w:r w:rsidR="00977E82" w:rsidRPr="003500DC">
          <w:rPr>
            <w:rStyle w:val="Hyperlink"/>
          </w:rPr>
          <w:t>ISCG/26-1/4</w:t>
        </w:r>
      </w:hyperlink>
      <w:r w:rsidR="00977E82">
        <w:rPr>
          <w:color w:val="000000"/>
        </w:rPr>
        <w:t>)</w:t>
      </w:r>
      <w:r w:rsidRPr="00117607">
        <w:rPr>
          <w:color w:val="000000"/>
        </w:rPr>
        <w:t>. A meeting held in November</w:t>
      </w:r>
      <w:r w:rsidR="00B73157" w:rsidRPr="00117607">
        <w:rPr>
          <w:color w:val="000000"/>
        </w:rPr>
        <w:t xml:space="preserve"> last year</w:t>
      </w:r>
      <w:r w:rsidRPr="00117607">
        <w:rPr>
          <w:color w:val="000000"/>
        </w:rPr>
        <w:t xml:space="preserve"> agreed to reopen Supplement 4 for further development, and during that meeting a suggestion was made to elevate the supplement to a Recommendation</w:t>
      </w:r>
      <w:r w:rsidR="00B73157" w:rsidRPr="00117607">
        <w:rPr>
          <w:color w:val="000000"/>
        </w:rPr>
        <w:t xml:space="preserve">. A contribution </w:t>
      </w:r>
      <w:r w:rsidR="004C6228" w:rsidRPr="00117607">
        <w:rPr>
          <w:color w:val="000000"/>
        </w:rPr>
        <w:t>containing this propos</w:t>
      </w:r>
      <w:r w:rsidR="00CC3D66" w:rsidRPr="00117607">
        <w:rPr>
          <w:color w:val="000000"/>
        </w:rPr>
        <w:t>a</w:t>
      </w:r>
      <w:r w:rsidR="004C6228" w:rsidRPr="00117607">
        <w:rPr>
          <w:color w:val="000000"/>
        </w:rPr>
        <w:t xml:space="preserve">l will be considered by </w:t>
      </w:r>
      <w:r w:rsidRPr="00117607">
        <w:rPr>
          <w:color w:val="000000"/>
        </w:rPr>
        <w:t>TSAG</w:t>
      </w:r>
      <w:r w:rsidR="00D10063" w:rsidRPr="00117607">
        <w:rPr>
          <w:color w:val="000000"/>
        </w:rPr>
        <w:t xml:space="preserve"> this week</w:t>
      </w:r>
      <w:r w:rsidRPr="00117607">
        <w:rPr>
          <w:color w:val="000000"/>
        </w:rPr>
        <w:t xml:space="preserve">. Several contributions related to remote participation were discussed, </w:t>
      </w:r>
      <w:r w:rsidR="005F1AF1" w:rsidRPr="00117607">
        <w:rPr>
          <w:color w:val="000000"/>
        </w:rPr>
        <w:t>with one</w:t>
      </w:r>
      <w:r w:rsidRPr="00117607">
        <w:rPr>
          <w:color w:val="000000"/>
        </w:rPr>
        <w:t xml:space="preserve"> </w:t>
      </w:r>
      <w:proofErr w:type="gramStart"/>
      <w:r w:rsidR="00A973CC">
        <w:rPr>
          <w:color w:val="000000"/>
        </w:rPr>
        <w:t xml:space="preserve">in particular </w:t>
      </w:r>
      <w:r w:rsidR="005F1AF1" w:rsidRPr="00117607">
        <w:rPr>
          <w:color w:val="000000"/>
        </w:rPr>
        <w:t>highlighting</w:t>
      </w:r>
      <w:proofErr w:type="gramEnd"/>
      <w:r w:rsidR="005F1AF1" w:rsidRPr="00117607">
        <w:rPr>
          <w:color w:val="000000"/>
        </w:rPr>
        <w:t xml:space="preserve"> </w:t>
      </w:r>
      <w:r w:rsidR="001372FE">
        <w:rPr>
          <w:color w:val="000000"/>
        </w:rPr>
        <w:t>the need to</w:t>
      </w:r>
      <w:r w:rsidRPr="00117607">
        <w:rPr>
          <w:color w:val="000000"/>
        </w:rPr>
        <w:t xml:space="preserve"> send a liaison to this </w:t>
      </w:r>
      <w:r w:rsidR="00555346" w:rsidRPr="00117607">
        <w:rPr>
          <w:color w:val="000000"/>
        </w:rPr>
        <w:t xml:space="preserve">ISCG </w:t>
      </w:r>
      <w:r w:rsidRPr="00117607">
        <w:rPr>
          <w:color w:val="000000"/>
        </w:rPr>
        <w:t xml:space="preserve">regarding inconsistencies between Supplement 4 and the Council’s remote participation guidelines, as well as raising the issue of remote captioning services. Discussions also revealed differing practices across study groups on allowing remote participation versus observation in plenaries, and while some advocated for harmonization, no consensus </w:t>
      </w:r>
      <w:r w:rsidR="00CC3D66" w:rsidRPr="00117607">
        <w:rPr>
          <w:color w:val="000000"/>
        </w:rPr>
        <w:t>has been</w:t>
      </w:r>
      <w:r w:rsidRPr="00117607">
        <w:rPr>
          <w:color w:val="000000"/>
        </w:rPr>
        <w:t xml:space="preserve"> reached.</w:t>
      </w:r>
      <w:r w:rsidR="00811FB3">
        <w:rPr>
          <w:color w:val="000000"/>
        </w:rPr>
        <w:t xml:space="preserve"> </w:t>
      </w:r>
      <w:r w:rsidR="0077295C" w:rsidRPr="00117607">
        <w:rPr>
          <w:color w:val="000000"/>
        </w:rPr>
        <w:t xml:space="preserve">The </w:t>
      </w:r>
      <w:r w:rsidR="00117607" w:rsidRPr="00117607">
        <w:rPr>
          <w:color w:val="000000"/>
        </w:rPr>
        <w:t>coordinator for accessibility noted that both remote participation and remote captioning are under review within ITU</w:t>
      </w:r>
      <w:r w:rsidR="00117607" w:rsidRPr="00117607">
        <w:rPr>
          <w:color w:val="000000"/>
        </w:rPr>
        <w:noBreakHyphen/>
        <w:t xml:space="preserve">T Study Group 21, Question 1, and highlighted </w:t>
      </w:r>
      <w:r w:rsidR="00DF6FD7">
        <w:rPr>
          <w:color w:val="000000"/>
        </w:rPr>
        <w:t>the</w:t>
      </w:r>
      <w:r w:rsidR="00117607" w:rsidRPr="00117607">
        <w:rPr>
          <w:color w:val="000000"/>
        </w:rPr>
        <w:t xml:space="preserve"> intention to explore how that work aligns with the efforts under</w:t>
      </w:r>
      <w:r w:rsidR="0049497C">
        <w:rPr>
          <w:color w:val="000000"/>
        </w:rPr>
        <w:t xml:space="preserve"> </w:t>
      </w:r>
      <w:r w:rsidR="00117607" w:rsidRPr="00117607">
        <w:rPr>
          <w:color w:val="000000"/>
        </w:rPr>
        <w:t xml:space="preserve">way in </w:t>
      </w:r>
      <w:r w:rsidR="00DF6FD7">
        <w:rPr>
          <w:color w:val="000000"/>
        </w:rPr>
        <w:t>th</w:t>
      </w:r>
      <w:r w:rsidR="0049497C">
        <w:rPr>
          <w:color w:val="000000"/>
        </w:rPr>
        <w:t>is</w:t>
      </w:r>
      <w:r w:rsidR="007D001B">
        <w:rPr>
          <w:color w:val="000000"/>
        </w:rPr>
        <w:t xml:space="preserve"> ISCG</w:t>
      </w:r>
      <w:r w:rsidR="00117607" w:rsidRPr="00117607">
        <w:rPr>
          <w:color w:val="000000"/>
        </w:rPr>
        <w:t>.</w:t>
      </w:r>
    </w:p>
    <w:p w14:paraId="1CEB9E12" w14:textId="673B9030" w:rsidR="00CC3D66" w:rsidRPr="00117607" w:rsidRDefault="00CC3D66" w:rsidP="00117607">
      <w:pPr>
        <w:tabs>
          <w:tab w:val="clear" w:pos="567"/>
          <w:tab w:val="clear" w:pos="1701"/>
          <w:tab w:val="clear" w:pos="2835"/>
          <w:tab w:val="left" w:pos="1871"/>
        </w:tabs>
        <w:contextualSpacing/>
        <w:jc w:val="both"/>
        <w:rPr>
          <w:color w:val="000000"/>
        </w:rPr>
      </w:pPr>
    </w:p>
    <w:p w14:paraId="4F1680AB" w14:textId="77777777" w:rsidR="0049497C" w:rsidRDefault="009D5206" w:rsidP="0049497C">
      <w:pPr>
        <w:tabs>
          <w:tab w:val="clear" w:pos="567"/>
          <w:tab w:val="clear" w:pos="1134"/>
          <w:tab w:val="clear" w:pos="1701"/>
          <w:tab w:val="clear" w:pos="2268"/>
          <w:tab w:val="clear" w:pos="2835"/>
        </w:tabs>
        <w:overflowPunct/>
        <w:autoSpaceDE/>
        <w:autoSpaceDN/>
        <w:adjustRightInd/>
        <w:spacing w:before="0"/>
        <w:textAlignment w:val="auto"/>
        <w:rPr>
          <w:b/>
          <w:bCs/>
        </w:rPr>
      </w:pPr>
      <w:r w:rsidRPr="009D5206">
        <w:rPr>
          <w:b/>
          <w:bCs/>
        </w:rPr>
        <w:t>Sustainable Digital Transformation</w:t>
      </w:r>
    </w:p>
    <w:p w14:paraId="647F7CC0" w14:textId="4E31DB53" w:rsidR="001D247A" w:rsidRPr="009F1BD4" w:rsidRDefault="001D247A" w:rsidP="0051505B">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9F1BD4">
        <w:rPr>
          <w:color w:val="000000"/>
        </w:rPr>
        <w:t xml:space="preserve">The Secretariat presented Documents </w:t>
      </w:r>
      <w:hyperlink r:id="rId26" w:history="1">
        <w:r w:rsidRPr="00D37C3B">
          <w:rPr>
            <w:rStyle w:val="Hyperlink"/>
          </w:rPr>
          <w:t>ISCG/26-1/5</w:t>
        </w:r>
      </w:hyperlink>
      <w:r w:rsidRPr="009F1BD4">
        <w:rPr>
          <w:color w:val="000000"/>
        </w:rPr>
        <w:t xml:space="preserve"> and </w:t>
      </w:r>
      <w:hyperlink r:id="rId27" w:history="1">
        <w:r w:rsidRPr="00094CC0">
          <w:rPr>
            <w:rStyle w:val="Hyperlink"/>
          </w:rPr>
          <w:t>ISCG/26-1/6</w:t>
        </w:r>
      </w:hyperlink>
      <w:r w:rsidRPr="009F1BD4">
        <w:rPr>
          <w:color w:val="000000"/>
        </w:rPr>
        <w:t xml:space="preserve">. The first </w:t>
      </w:r>
      <w:r w:rsidR="00E971AF">
        <w:rPr>
          <w:color w:val="000000"/>
        </w:rPr>
        <w:t>document</w:t>
      </w:r>
      <w:r w:rsidR="00514131" w:rsidRPr="009F1BD4">
        <w:rPr>
          <w:color w:val="000000"/>
        </w:rPr>
        <w:t xml:space="preserve"> on the Rapporteur Group on Sustainable Digital Transformation, present</w:t>
      </w:r>
      <w:r w:rsidR="00E971AF">
        <w:rPr>
          <w:color w:val="000000"/>
        </w:rPr>
        <w:t>ed</w:t>
      </w:r>
      <w:r w:rsidR="00514131" w:rsidRPr="009F1BD4">
        <w:rPr>
          <w:color w:val="000000"/>
        </w:rPr>
        <w:t xml:space="preserve"> the</w:t>
      </w:r>
      <w:r w:rsidR="00065945" w:rsidRPr="009F1BD4">
        <w:rPr>
          <w:color w:val="000000"/>
        </w:rPr>
        <w:t xml:space="preserve"> structure and </w:t>
      </w:r>
      <w:r w:rsidR="00514131" w:rsidRPr="009F1BD4">
        <w:rPr>
          <w:color w:val="000000"/>
        </w:rPr>
        <w:t>terms of reference and confirm</w:t>
      </w:r>
      <w:r w:rsidR="00E971AF">
        <w:rPr>
          <w:color w:val="000000"/>
        </w:rPr>
        <w:t>ed</w:t>
      </w:r>
      <w:r w:rsidR="00514131" w:rsidRPr="009F1BD4">
        <w:rPr>
          <w:color w:val="000000"/>
        </w:rPr>
        <w:t xml:space="preserve"> that the group’s establishment </w:t>
      </w:r>
      <w:r w:rsidR="00CE4ACA">
        <w:rPr>
          <w:color w:val="000000"/>
        </w:rPr>
        <w:t>had been</w:t>
      </w:r>
      <w:r w:rsidR="00514131" w:rsidRPr="009F1BD4">
        <w:rPr>
          <w:color w:val="000000"/>
        </w:rPr>
        <w:t xml:space="preserve"> approved at the May 2025 TSAG meeting. </w:t>
      </w:r>
      <w:r w:rsidR="00615AB9" w:rsidRPr="009F1BD4">
        <w:rPr>
          <w:color w:val="000000"/>
        </w:rPr>
        <w:t>The second document report</w:t>
      </w:r>
      <w:r w:rsidR="00CE4ACA">
        <w:rPr>
          <w:color w:val="000000"/>
        </w:rPr>
        <w:t>ed</w:t>
      </w:r>
      <w:r w:rsidR="00615AB9" w:rsidRPr="009F1BD4">
        <w:rPr>
          <w:color w:val="000000"/>
        </w:rPr>
        <w:t xml:space="preserve"> on </w:t>
      </w:r>
      <w:r w:rsidR="00514131" w:rsidRPr="009F1BD4">
        <w:rPr>
          <w:color w:val="000000"/>
        </w:rPr>
        <w:t xml:space="preserve">ongoing activities since the last </w:t>
      </w:r>
      <w:r w:rsidR="00615AB9" w:rsidRPr="009F1BD4">
        <w:rPr>
          <w:color w:val="000000"/>
        </w:rPr>
        <w:t xml:space="preserve">ISCG </w:t>
      </w:r>
      <w:r w:rsidR="00514131" w:rsidRPr="009F1BD4">
        <w:rPr>
          <w:color w:val="000000"/>
        </w:rPr>
        <w:t xml:space="preserve">meeting, including work carried out across various study groups and a series of related publications. The update also noted continued collaboration across </w:t>
      </w:r>
      <w:r w:rsidR="00A264CB">
        <w:rPr>
          <w:color w:val="000000"/>
        </w:rPr>
        <w:t>S</w:t>
      </w:r>
      <w:r w:rsidR="00514131" w:rsidRPr="009F1BD4">
        <w:rPr>
          <w:color w:val="000000"/>
        </w:rPr>
        <w:t xml:space="preserve">ectors through the Digital Transformation Dialogues webinar series and the jointly issued Digital Transformation Digest. </w:t>
      </w:r>
      <w:r w:rsidR="00514131" w:rsidRPr="00A403B2">
        <w:rPr>
          <w:color w:val="000000"/>
        </w:rPr>
        <w:t>The</w:t>
      </w:r>
      <w:r w:rsidR="00862C0A" w:rsidRPr="00A403B2">
        <w:rPr>
          <w:color w:val="000000"/>
        </w:rPr>
        <w:t xml:space="preserve"> </w:t>
      </w:r>
      <w:r w:rsidR="00A264CB" w:rsidRPr="00A403B2">
        <w:rPr>
          <w:color w:val="000000"/>
        </w:rPr>
        <w:t>S</w:t>
      </w:r>
      <w:r w:rsidR="00862C0A" w:rsidRPr="00A403B2">
        <w:rPr>
          <w:color w:val="000000"/>
        </w:rPr>
        <w:t xml:space="preserve">ecretariat </w:t>
      </w:r>
      <w:r w:rsidR="007A19D9" w:rsidRPr="00A403B2">
        <w:rPr>
          <w:color w:val="000000"/>
        </w:rPr>
        <w:t xml:space="preserve">also </w:t>
      </w:r>
      <w:r w:rsidR="00862C0A" w:rsidRPr="00A403B2">
        <w:rPr>
          <w:color w:val="000000"/>
        </w:rPr>
        <w:t xml:space="preserve">presented a liaison statement submitted by </w:t>
      </w:r>
      <w:r w:rsidR="00514131" w:rsidRPr="00A403B2">
        <w:rPr>
          <w:color w:val="000000"/>
        </w:rPr>
        <w:t>the Rapporteur Group</w:t>
      </w:r>
      <w:r w:rsidR="00B05893" w:rsidRPr="00A403B2">
        <w:rPr>
          <w:color w:val="000000"/>
        </w:rPr>
        <w:t>,</w:t>
      </w:r>
      <w:r w:rsidR="00514131" w:rsidRPr="00A403B2">
        <w:rPr>
          <w:color w:val="000000"/>
        </w:rPr>
        <w:t xml:space="preserve"> requesting input from </w:t>
      </w:r>
      <w:r w:rsidR="00171071" w:rsidRPr="00A403B2">
        <w:rPr>
          <w:color w:val="000000"/>
        </w:rPr>
        <w:t xml:space="preserve">the other ITU Sectors (see </w:t>
      </w:r>
      <w:hyperlink r:id="rId28" w:history="1">
        <w:r w:rsidR="006438F5" w:rsidRPr="00A403B2">
          <w:rPr>
            <w:rStyle w:val="Hyperlink"/>
          </w:rPr>
          <w:t>ISCG/26-1/8</w:t>
        </w:r>
      </w:hyperlink>
      <w:r w:rsidR="006438F5" w:rsidRPr="00A403B2">
        <w:rPr>
          <w:color w:val="000000"/>
        </w:rPr>
        <w:t>)</w:t>
      </w:r>
      <w:r w:rsidR="00514131" w:rsidRPr="00A403B2">
        <w:rPr>
          <w:color w:val="000000"/>
        </w:rPr>
        <w:t>.</w:t>
      </w:r>
      <w:r w:rsidR="006558E9" w:rsidRPr="009F1BD4">
        <w:rPr>
          <w:color w:val="000000"/>
        </w:rPr>
        <w:t xml:space="preserve"> </w:t>
      </w:r>
    </w:p>
    <w:p w14:paraId="40E6DEE5" w14:textId="50FE98CB" w:rsidR="00C95B1D" w:rsidRDefault="00753429" w:rsidP="00620A99">
      <w:pPr>
        <w:jc w:val="both"/>
        <w:rPr>
          <w:color w:val="000000"/>
        </w:rPr>
      </w:pPr>
      <w:r>
        <w:rPr>
          <w:color w:val="000000"/>
        </w:rPr>
        <w:t xml:space="preserve">The </w:t>
      </w:r>
      <w:r w:rsidR="00B05893">
        <w:rPr>
          <w:color w:val="000000"/>
        </w:rPr>
        <w:t>C</w:t>
      </w:r>
      <w:r>
        <w:rPr>
          <w:color w:val="000000"/>
        </w:rPr>
        <w:t xml:space="preserve">hair announced that one of the coordinators, Ms Blanca González (Spain), </w:t>
      </w:r>
      <w:r w:rsidR="00B05893">
        <w:rPr>
          <w:color w:val="000000"/>
        </w:rPr>
        <w:t>would</w:t>
      </w:r>
      <w:r>
        <w:rPr>
          <w:color w:val="000000"/>
        </w:rPr>
        <w:t xml:space="preserve"> </w:t>
      </w:r>
      <w:r w:rsidR="008B0659">
        <w:rPr>
          <w:color w:val="000000"/>
        </w:rPr>
        <w:t>retire</w:t>
      </w:r>
      <w:r>
        <w:rPr>
          <w:color w:val="000000"/>
        </w:rPr>
        <w:t xml:space="preserve"> soon </w:t>
      </w:r>
      <w:r w:rsidR="0084505D">
        <w:rPr>
          <w:color w:val="000000"/>
        </w:rPr>
        <w:t>and</w:t>
      </w:r>
      <w:r>
        <w:rPr>
          <w:color w:val="000000"/>
        </w:rPr>
        <w:t xml:space="preserve"> thank</w:t>
      </w:r>
      <w:r w:rsidR="00F14960">
        <w:rPr>
          <w:color w:val="000000"/>
        </w:rPr>
        <w:t>ed</w:t>
      </w:r>
      <w:r>
        <w:rPr>
          <w:color w:val="000000"/>
        </w:rPr>
        <w:t xml:space="preserve"> her </w:t>
      </w:r>
      <w:r w:rsidR="00045375">
        <w:rPr>
          <w:color w:val="000000"/>
        </w:rPr>
        <w:t xml:space="preserve">for her continuous collaboration and support </w:t>
      </w:r>
      <w:r w:rsidR="0084505D">
        <w:rPr>
          <w:color w:val="000000"/>
        </w:rPr>
        <w:t xml:space="preserve">for </w:t>
      </w:r>
      <w:r w:rsidR="00045375">
        <w:rPr>
          <w:color w:val="000000"/>
        </w:rPr>
        <w:t>ISCG activities. Ms</w:t>
      </w:r>
      <w:r w:rsidR="008B0659" w:rsidRPr="008B0659">
        <w:rPr>
          <w:color w:val="000000"/>
        </w:rPr>
        <w:t xml:space="preserve"> Shahad Albalawi (Saudi Arabia)</w:t>
      </w:r>
      <w:r w:rsidR="00045375">
        <w:rPr>
          <w:color w:val="000000"/>
        </w:rPr>
        <w:t xml:space="preserve"> </w:t>
      </w:r>
      <w:r w:rsidR="0084505D">
        <w:rPr>
          <w:color w:val="000000"/>
        </w:rPr>
        <w:t>would</w:t>
      </w:r>
      <w:r w:rsidR="008B0659">
        <w:rPr>
          <w:color w:val="000000"/>
        </w:rPr>
        <w:t xml:space="preserve"> continue to act as coordinator and report to the next meeting.</w:t>
      </w:r>
      <w:r w:rsidR="00706535">
        <w:rPr>
          <w:color w:val="000000"/>
        </w:rPr>
        <w:t xml:space="preserve"> </w:t>
      </w:r>
      <w:r w:rsidR="0092749F">
        <w:rPr>
          <w:color w:val="000000"/>
        </w:rPr>
        <w:t xml:space="preserve">The Chair </w:t>
      </w:r>
      <w:r w:rsidR="006558E9">
        <w:rPr>
          <w:color w:val="000000"/>
        </w:rPr>
        <w:t xml:space="preserve">also </w:t>
      </w:r>
      <w:r w:rsidR="00706535">
        <w:rPr>
          <w:color w:val="000000"/>
        </w:rPr>
        <w:t>drew</w:t>
      </w:r>
      <w:r w:rsidR="0092749F">
        <w:rPr>
          <w:color w:val="000000"/>
        </w:rPr>
        <w:t xml:space="preserve"> attention </w:t>
      </w:r>
      <w:r w:rsidR="00706535">
        <w:rPr>
          <w:color w:val="000000"/>
        </w:rPr>
        <w:t>to</w:t>
      </w:r>
      <w:r w:rsidR="0092749F">
        <w:rPr>
          <w:color w:val="000000"/>
        </w:rPr>
        <w:t xml:space="preserve"> the need to coordinate work </w:t>
      </w:r>
      <w:r w:rsidR="00706535">
        <w:rPr>
          <w:color w:val="000000"/>
        </w:rPr>
        <w:t xml:space="preserve">on </w:t>
      </w:r>
      <w:r w:rsidR="0092749F">
        <w:rPr>
          <w:color w:val="000000"/>
        </w:rPr>
        <w:t>this theme and to report on the activities of the three Sectors.</w:t>
      </w:r>
    </w:p>
    <w:p w14:paraId="5E5E9C55" w14:textId="77777777" w:rsidR="00620A99" w:rsidRDefault="00620A99" w:rsidP="00620A99">
      <w:pPr>
        <w:jc w:val="both"/>
        <w:rPr>
          <w:b/>
          <w:bCs/>
        </w:rPr>
      </w:pPr>
    </w:p>
    <w:p w14:paraId="2FDF498D" w14:textId="77777777" w:rsidR="00620A99" w:rsidRDefault="0026772E" w:rsidP="00620A99">
      <w:pPr>
        <w:tabs>
          <w:tab w:val="clear" w:pos="567"/>
          <w:tab w:val="clear" w:pos="1134"/>
          <w:tab w:val="clear" w:pos="1701"/>
          <w:tab w:val="clear" w:pos="2268"/>
          <w:tab w:val="clear" w:pos="2835"/>
        </w:tabs>
        <w:overflowPunct/>
        <w:autoSpaceDE/>
        <w:autoSpaceDN/>
        <w:adjustRightInd/>
        <w:spacing w:before="0"/>
        <w:textAlignment w:val="auto"/>
        <w:rPr>
          <w:b/>
          <w:bCs/>
        </w:rPr>
      </w:pPr>
      <w:r w:rsidRPr="009F1BD4">
        <w:rPr>
          <w:b/>
          <w:bCs/>
        </w:rPr>
        <w:t>Possible new themes</w:t>
      </w:r>
    </w:p>
    <w:p w14:paraId="0B753FE5" w14:textId="77777777" w:rsidR="00321CAD" w:rsidRDefault="0026772E" w:rsidP="00321CAD">
      <w:pPr>
        <w:tabs>
          <w:tab w:val="clear" w:pos="567"/>
          <w:tab w:val="clear" w:pos="1134"/>
          <w:tab w:val="clear" w:pos="1701"/>
          <w:tab w:val="clear" w:pos="2268"/>
          <w:tab w:val="clear" w:pos="2835"/>
        </w:tabs>
        <w:overflowPunct/>
        <w:autoSpaceDE/>
        <w:autoSpaceDN/>
        <w:adjustRightInd/>
        <w:spacing w:before="0"/>
        <w:textAlignment w:val="auto"/>
        <w:rPr>
          <w:color w:val="000000"/>
        </w:rPr>
      </w:pPr>
      <w:r>
        <w:rPr>
          <w:color w:val="000000"/>
        </w:rPr>
        <w:t xml:space="preserve">There was agreement on “Efficiencies” </w:t>
      </w:r>
      <w:r w:rsidR="00321CAD">
        <w:rPr>
          <w:color w:val="000000"/>
        </w:rPr>
        <w:t xml:space="preserve">as a possible new theme, to </w:t>
      </w:r>
      <w:r>
        <w:rPr>
          <w:color w:val="000000"/>
        </w:rPr>
        <w:t xml:space="preserve">share </w:t>
      </w:r>
      <w:r w:rsidR="00871BA1">
        <w:rPr>
          <w:color w:val="000000"/>
        </w:rPr>
        <w:t xml:space="preserve">best practices </w:t>
      </w:r>
      <w:r w:rsidR="00BB480E">
        <w:rPr>
          <w:color w:val="000000"/>
        </w:rPr>
        <w:t xml:space="preserve">that are </w:t>
      </w:r>
      <w:r w:rsidR="00871BA1">
        <w:rPr>
          <w:color w:val="000000"/>
        </w:rPr>
        <w:t>generat</w:t>
      </w:r>
      <w:r w:rsidR="00BB480E">
        <w:rPr>
          <w:color w:val="000000"/>
        </w:rPr>
        <w:t xml:space="preserve">ing </w:t>
      </w:r>
      <w:r w:rsidR="009F1BD4">
        <w:rPr>
          <w:color w:val="000000"/>
        </w:rPr>
        <w:t>organization</w:t>
      </w:r>
      <w:r w:rsidR="00321CAD">
        <w:rPr>
          <w:color w:val="000000"/>
        </w:rPr>
        <w:t>al</w:t>
      </w:r>
      <w:r w:rsidR="009F1BD4">
        <w:rPr>
          <w:color w:val="000000"/>
        </w:rPr>
        <w:t xml:space="preserve"> </w:t>
      </w:r>
      <w:r w:rsidR="00871BA1">
        <w:rPr>
          <w:color w:val="000000"/>
        </w:rPr>
        <w:t>efficiencies</w:t>
      </w:r>
      <w:r w:rsidR="009F1BD4">
        <w:rPr>
          <w:color w:val="000000"/>
        </w:rPr>
        <w:t>.</w:t>
      </w:r>
    </w:p>
    <w:p w14:paraId="05A399F4" w14:textId="77777777" w:rsidR="00321CAD" w:rsidRDefault="00321CAD" w:rsidP="00321CAD">
      <w:pPr>
        <w:tabs>
          <w:tab w:val="clear" w:pos="567"/>
          <w:tab w:val="clear" w:pos="1134"/>
          <w:tab w:val="clear" w:pos="1701"/>
          <w:tab w:val="clear" w:pos="2268"/>
          <w:tab w:val="clear" w:pos="2835"/>
        </w:tabs>
        <w:overflowPunct/>
        <w:autoSpaceDE/>
        <w:autoSpaceDN/>
        <w:adjustRightInd/>
        <w:spacing w:before="0"/>
        <w:textAlignment w:val="auto"/>
        <w:rPr>
          <w:color w:val="000000"/>
        </w:rPr>
      </w:pPr>
    </w:p>
    <w:p w14:paraId="4770EF20" w14:textId="77777777" w:rsidR="00321CAD" w:rsidRDefault="00AE57F6" w:rsidP="00321CAD">
      <w:pPr>
        <w:tabs>
          <w:tab w:val="clear" w:pos="567"/>
          <w:tab w:val="clear" w:pos="1134"/>
          <w:tab w:val="clear" w:pos="1701"/>
          <w:tab w:val="clear" w:pos="2268"/>
          <w:tab w:val="clear" w:pos="2835"/>
        </w:tabs>
        <w:overflowPunct/>
        <w:autoSpaceDE/>
        <w:autoSpaceDN/>
        <w:adjustRightInd/>
        <w:spacing w:before="0"/>
        <w:textAlignment w:val="auto"/>
        <w:rPr>
          <w:b/>
          <w:bCs/>
        </w:rPr>
      </w:pPr>
      <w:r w:rsidRPr="00AE57F6">
        <w:rPr>
          <w:b/>
          <w:bCs/>
        </w:rPr>
        <w:t>Mapping Tables of activities and Resolutions</w:t>
      </w:r>
    </w:p>
    <w:p w14:paraId="7638820E" w14:textId="1B94AA6C" w:rsidR="005B6841" w:rsidRDefault="00AE57F6" w:rsidP="005B6841">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Pr>
          <w:color w:val="000000"/>
        </w:rPr>
        <w:t>The Chair reiterated the need to update the Mapping Tables to reflect the outcomes of WTDC-25</w:t>
      </w:r>
      <w:r w:rsidR="00D530D5">
        <w:rPr>
          <w:color w:val="000000"/>
        </w:rPr>
        <w:t>, as</w:t>
      </w:r>
      <w:r w:rsidR="00107EB6">
        <w:rPr>
          <w:color w:val="000000"/>
        </w:rPr>
        <w:t xml:space="preserve"> well as a request presented to the </w:t>
      </w:r>
      <w:r w:rsidR="000E5AD0">
        <w:rPr>
          <w:color w:val="000000"/>
        </w:rPr>
        <w:t xml:space="preserve">Expert Group on ITRs </w:t>
      </w:r>
      <w:r w:rsidR="00835DFB">
        <w:rPr>
          <w:color w:val="000000"/>
        </w:rPr>
        <w:t xml:space="preserve">to incorporate resolutions from the </w:t>
      </w:r>
      <w:r w:rsidR="001B4429">
        <w:rPr>
          <w:color w:val="000000"/>
        </w:rPr>
        <w:t xml:space="preserve">International Telecommunication Regulations (ITRs) into the Mapping of Resolutions. </w:t>
      </w:r>
      <w:r w:rsidRPr="00705B6F">
        <w:rPr>
          <w:color w:val="000000"/>
        </w:rPr>
        <w:t xml:space="preserve">The Secretariat </w:t>
      </w:r>
      <w:r w:rsidR="001B4429" w:rsidRPr="00705B6F">
        <w:rPr>
          <w:color w:val="000000"/>
        </w:rPr>
        <w:t>was instructed to follow up accordingly</w:t>
      </w:r>
      <w:r w:rsidR="00107EB6" w:rsidRPr="00705B6F">
        <w:rPr>
          <w:color w:val="000000"/>
        </w:rPr>
        <w:t>.</w:t>
      </w:r>
    </w:p>
    <w:p w14:paraId="31F8F9CA" w14:textId="77777777" w:rsidR="005B6841" w:rsidRDefault="005B6841" w:rsidP="005B6841">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65A5B264" w14:textId="77777777" w:rsidR="005B6841" w:rsidRDefault="00796F40" w:rsidP="00EB06AF">
      <w:pPr>
        <w:keepNext/>
        <w:keepLines/>
        <w:tabs>
          <w:tab w:val="clear" w:pos="567"/>
          <w:tab w:val="clear" w:pos="1134"/>
          <w:tab w:val="clear" w:pos="1701"/>
          <w:tab w:val="clear" w:pos="2268"/>
          <w:tab w:val="clear" w:pos="2835"/>
        </w:tabs>
        <w:overflowPunct/>
        <w:autoSpaceDE/>
        <w:autoSpaceDN/>
        <w:adjustRightInd/>
        <w:spacing w:before="0"/>
        <w:jc w:val="both"/>
        <w:textAlignment w:val="auto"/>
        <w:rPr>
          <w:b/>
          <w:bCs/>
        </w:rPr>
      </w:pPr>
      <w:r w:rsidRPr="00796F40">
        <w:rPr>
          <w:b/>
          <w:bCs/>
        </w:rPr>
        <w:lastRenderedPageBreak/>
        <w:t>Rapporteur Group on Streamlining Resolutions</w:t>
      </w:r>
    </w:p>
    <w:p w14:paraId="1D8DFE35" w14:textId="77777777" w:rsidR="00FB3C32" w:rsidRDefault="002944B6" w:rsidP="00EB06AF">
      <w:pPr>
        <w:keepNext/>
        <w:keepLines/>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2944B6">
        <w:rPr>
          <w:color w:val="000000"/>
        </w:rPr>
        <w:t xml:space="preserve">The Russian Federation </w:t>
      </w:r>
      <w:r>
        <w:rPr>
          <w:color w:val="000000"/>
        </w:rPr>
        <w:t xml:space="preserve">submitted </w:t>
      </w:r>
      <w:r w:rsidR="00910E80">
        <w:rPr>
          <w:color w:val="000000"/>
        </w:rPr>
        <w:t>D</w:t>
      </w:r>
      <w:r>
        <w:rPr>
          <w:color w:val="000000"/>
        </w:rPr>
        <w:t xml:space="preserve">ocument </w:t>
      </w:r>
      <w:hyperlink r:id="rId29" w:history="1">
        <w:r w:rsidR="00487FC9" w:rsidRPr="00F46506">
          <w:rPr>
            <w:rStyle w:val="Hyperlink"/>
          </w:rPr>
          <w:t>ISCG/26-1/7</w:t>
        </w:r>
      </w:hyperlink>
      <w:r w:rsidR="009A5631">
        <w:rPr>
          <w:color w:val="000000"/>
        </w:rPr>
        <w:t>,</w:t>
      </w:r>
      <w:r w:rsidR="00F46506">
        <w:rPr>
          <w:color w:val="000000"/>
        </w:rPr>
        <w:t xml:space="preserve"> proposing </w:t>
      </w:r>
      <w:r w:rsidR="009A5631">
        <w:rPr>
          <w:color w:val="000000"/>
        </w:rPr>
        <w:t xml:space="preserve">that consideration be given </w:t>
      </w:r>
      <w:r w:rsidR="00F46506">
        <w:rPr>
          <w:color w:val="000000"/>
        </w:rPr>
        <w:t xml:space="preserve">to </w:t>
      </w:r>
      <w:r w:rsidR="00EF0AE0" w:rsidRPr="00EF0AE0">
        <w:rPr>
          <w:color w:val="000000"/>
        </w:rPr>
        <w:t xml:space="preserve">and comments </w:t>
      </w:r>
      <w:r w:rsidR="009D54F7">
        <w:rPr>
          <w:color w:val="000000"/>
        </w:rPr>
        <w:t>provided on</w:t>
      </w:r>
      <w:r w:rsidR="00EF0AE0" w:rsidRPr="00EF0AE0">
        <w:rPr>
          <w:color w:val="000000"/>
        </w:rPr>
        <w:t xml:space="preserve"> the proposed approach for streamlining</w:t>
      </w:r>
      <w:r w:rsidR="0076371E">
        <w:rPr>
          <w:color w:val="000000"/>
        </w:rPr>
        <w:t xml:space="preserve"> Resolution 154 (Rev. Bucharest, 2022)</w:t>
      </w:r>
      <w:r w:rsidR="009D54F7">
        <w:rPr>
          <w:color w:val="000000"/>
        </w:rPr>
        <w:t xml:space="preserve">, </w:t>
      </w:r>
      <w:r w:rsidR="0076371E">
        <w:rPr>
          <w:color w:val="000000"/>
        </w:rPr>
        <w:t xml:space="preserve">contained </w:t>
      </w:r>
      <w:r w:rsidR="009D54F7">
        <w:rPr>
          <w:color w:val="000000"/>
        </w:rPr>
        <w:t>i</w:t>
      </w:r>
      <w:r w:rsidR="0076371E">
        <w:rPr>
          <w:color w:val="000000"/>
        </w:rPr>
        <w:t xml:space="preserve">n </w:t>
      </w:r>
      <w:hyperlink r:id="rId30" w:history="1">
        <w:r w:rsidR="0076371E" w:rsidRPr="00177190">
          <w:rPr>
            <w:rStyle w:val="Hyperlink"/>
          </w:rPr>
          <w:t>Addendum 1</w:t>
        </w:r>
      </w:hyperlink>
      <w:r w:rsidR="0076371E">
        <w:rPr>
          <w:color w:val="000000"/>
        </w:rPr>
        <w:t>), and Resolution 191 (Rev. Bucharest, 2022)</w:t>
      </w:r>
      <w:r w:rsidR="00DD3731">
        <w:rPr>
          <w:color w:val="000000"/>
        </w:rPr>
        <w:t>,</w:t>
      </w:r>
      <w:r w:rsidR="0076371E">
        <w:rPr>
          <w:color w:val="000000"/>
        </w:rPr>
        <w:t xml:space="preserve"> contained </w:t>
      </w:r>
      <w:r w:rsidR="00DD3731">
        <w:rPr>
          <w:color w:val="000000"/>
        </w:rPr>
        <w:t>i</w:t>
      </w:r>
      <w:r w:rsidR="0076371E">
        <w:rPr>
          <w:color w:val="000000"/>
        </w:rPr>
        <w:t xml:space="preserve">n </w:t>
      </w:r>
      <w:hyperlink r:id="rId31" w:history="1">
        <w:r w:rsidR="0076371E" w:rsidRPr="00705B6F">
          <w:rPr>
            <w:rStyle w:val="Hyperlink"/>
          </w:rPr>
          <w:t>Addendum 2</w:t>
        </w:r>
      </w:hyperlink>
      <w:r w:rsidR="002A7539" w:rsidRPr="00705B6F">
        <w:rPr>
          <w:color w:val="000000"/>
        </w:rPr>
        <w:t xml:space="preserve">; as well as </w:t>
      </w:r>
      <w:r w:rsidR="00EF0AE0" w:rsidRPr="00705B6F">
        <w:rPr>
          <w:color w:val="000000"/>
        </w:rPr>
        <w:t>propos</w:t>
      </w:r>
      <w:r w:rsidR="00DD3731" w:rsidRPr="00705B6F">
        <w:rPr>
          <w:color w:val="000000"/>
        </w:rPr>
        <w:t>ing</w:t>
      </w:r>
      <w:r w:rsidR="00EF0AE0" w:rsidRPr="00705B6F">
        <w:rPr>
          <w:color w:val="000000"/>
        </w:rPr>
        <w:t xml:space="preserve"> other resolutions for possible streamlining.</w:t>
      </w:r>
      <w:r w:rsidR="00DD3731" w:rsidRPr="00705B6F">
        <w:rPr>
          <w:color w:val="000000"/>
        </w:rPr>
        <w:t xml:space="preserve"> </w:t>
      </w:r>
      <w:r w:rsidR="00FB3C32" w:rsidRPr="00FB3C32">
        <w:rPr>
          <w:color w:val="000000"/>
        </w:rPr>
        <w:t>The documents could not be presented due to time constraints; however, the meeting agreed to invite members to submit their comments by 11 February 2026. The Secretariat will then consolidate the inputs—including the proposals received from the Russian Federation—for inclusion in the report to be submitted to Council 2026</w:t>
      </w:r>
      <w:r w:rsidR="00FB3C32">
        <w:rPr>
          <w:color w:val="000000"/>
        </w:rPr>
        <w:t>.</w:t>
      </w:r>
    </w:p>
    <w:p w14:paraId="0D8713A9" w14:textId="77777777" w:rsidR="00FB3C32" w:rsidRDefault="00FB3C32" w:rsidP="00A21536">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22A72F53" w14:textId="1C122AAA" w:rsidR="000360E9" w:rsidRDefault="00534C82" w:rsidP="00A21536">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r w:rsidRPr="00705B6F">
        <w:rPr>
          <w:color w:val="000000"/>
        </w:rPr>
        <w:t>Also r</w:t>
      </w:r>
      <w:r w:rsidR="00F9532A" w:rsidRPr="00705B6F">
        <w:rPr>
          <w:color w:val="000000"/>
        </w:rPr>
        <w:t>elated to the mapping of resolutions</w:t>
      </w:r>
      <w:r w:rsidR="005852B2" w:rsidRPr="00705B6F">
        <w:rPr>
          <w:color w:val="000000"/>
        </w:rPr>
        <w:t>,</w:t>
      </w:r>
      <w:r w:rsidR="00F9532A" w:rsidRPr="00705B6F">
        <w:rPr>
          <w:color w:val="000000"/>
        </w:rPr>
        <w:t xml:space="preserve"> two liaison statements were received from the CWG-FHR</w:t>
      </w:r>
      <w:r w:rsidR="005852B2" w:rsidRPr="00705B6F">
        <w:rPr>
          <w:color w:val="000000"/>
        </w:rPr>
        <w:t>:</w:t>
      </w:r>
      <w:r w:rsidR="00157068" w:rsidRPr="00705B6F">
        <w:rPr>
          <w:color w:val="000000"/>
        </w:rPr>
        <w:t xml:space="preserve"> Document </w:t>
      </w:r>
      <w:hyperlink r:id="rId32" w:history="1">
        <w:r w:rsidR="00A44033" w:rsidRPr="00705B6F">
          <w:rPr>
            <w:rStyle w:val="Hyperlink"/>
          </w:rPr>
          <w:t>ISCG/26-1/1</w:t>
        </w:r>
        <w:r w:rsidR="00BD21B5" w:rsidRPr="00705B6F">
          <w:rPr>
            <w:rStyle w:val="Hyperlink"/>
          </w:rPr>
          <w:t>1</w:t>
        </w:r>
      </w:hyperlink>
      <w:r w:rsidR="00106610" w:rsidRPr="00705B6F">
        <w:rPr>
          <w:color w:val="000000"/>
        </w:rPr>
        <w:t xml:space="preserve">, requesting the ISCG to provide comments on the current text of Resolution 191 (Rev. Bucharest, 2022), and Document </w:t>
      </w:r>
      <w:hyperlink r:id="rId33" w:history="1">
        <w:r w:rsidR="00F7664C" w:rsidRPr="00705B6F">
          <w:rPr>
            <w:rStyle w:val="Hyperlink"/>
          </w:rPr>
          <w:t>ISCG/26-1/12</w:t>
        </w:r>
      </w:hyperlink>
      <w:r w:rsidR="00453673" w:rsidRPr="00705B6F">
        <w:rPr>
          <w:color w:val="000000"/>
        </w:rPr>
        <w:t>,</w:t>
      </w:r>
      <w:r w:rsidR="00F7664C" w:rsidRPr="00705B6F">
        <w:rPr>
          <w:color w:val="000000"/>
        </w:rPr>
        <w:t xml:space="preserve"> requesting the ISCG to provide comments </w:t>
      </w:r>
      <w:r w:rsidR="00A3083D" w:rsidRPr="00705B6F">
        <w:rPr>
          <w:color w:val="000000"/>
        </w:rPr>
        <w:t>on a methodology for</w:t>
      </w:r>
      <w:r w:rsidR="001A58D0" w:rsidRPr="00705B6F">
        <w:rPr>
          <w:color w:val="000000"/>
        </w:rPr>
        <w:t xml:space="preserve"> assessing </w:t>
      </w:r>
      <w:r w:rsidR="00C45671" w:rsidRPr="00705B6F">
        <w:rPr>
          <w:color w:val="000000"/>
        </w:rPr>
        <w:t>the</w:t>
      </w:r>
      <w:r w:rsidR="00A3083D" w:rsidRPr="00705B6F">
        <w:rPr>
          <w:color w:val="000000"/>
        </w:rPr>
        <w:t xml:space="preserve"> financial implications of resolutions and decisions of ITU conferences and assemblies</w:t>
      </w:r>
      <w:r w:rsidR="005B6841" w:rsidRPr="00705B6F">
        <w:rPr>
          <w:color w:val="000000"/>
        </w:rPr>
        <w:t xml:space="preserve"> </w:t>
      </w:r>
      <w:r w:rsidR="00A3083D" w:rsidRPr="00705B6F">
        <w:rPr>
          <w:color w:val="000000"/>
        </w:rPr>
        <w:t>to Council.</w:t>
      </w:r>
      <w:r w:rsidR="00C45671" w:rsidRPr="00705B6F">
        <w:rPr>
          <w:color w:val="000000"/>
        </w:rPr>
        <w:t xml:space="preserve"> These inputs</w:t>
      </w:r>
      <w:r w:rsidR="00A3083D" w:rsidRPr="00705B6F">
        <w:rPr>
          <w:color w:val="000000"/>
        </w:rPr>
        <w:t xml:space="preserve"> are </w:t>
      </w:r>
      <w:r w:rsidR="00C45671" w:rsidRPr="00705B6F">
        <w:rPr>
          <w:color w:val="000000"/>
        </w:rPr>
        <w:t>intended</w:t>
      </w:r>
      <w:r w:rsidR="00A3083D" w:rsidRPr="00705B6F">
        <w:rPr>
          <w:color w:val="000000"/>
        </w:rPr>
        <w:t xml:space="preserve"> to be presented to Council 2026</w:t>
      </w:r>
      <w:r w:rsidR="000360E9" w:rsidRPr="00705B6F">
        <w:rPr>
          <w:color w:val="000000"/>
        </w:rPr>
        <w:t>,</w:t>
      </w:r>
      <w:r w:rsidR="00A3083D" w:rsidRPr="00705B6F">
        <w:rPr>
          <w:color w:val="000000"/>
        </w:rPr>
        <w:t xml:space="preserve"> so the ISCG instructed the Secretariat to circulate a message to collect members</w:t>
      </w:r>
      <w:r w:rsidR="000360E9" w:rsidRPr="00705B6F">
        <w:rPr>
          <w:color w:val="000000"/>
        </w:rPr>
        <w:t>’</w:t>
      </w:r>
      <w:r w:rsidR="00A3083D" w:rsidRPr="00705B6F">
        <w:rPr>
          <w:color w:val="000000"/>
        </w:rPr>
        <w:t xml:space="preserve"> views by 11 February 2026</w:t>
      </w:r>
      <w:r w:rsidR="00CE3671" w:rsidRPr="00705B6F">
        <w:rPr>
          <w:color w:val="000000"/>
        </w:rPr>
        <w:t xml:space="preserve"> </w:t>
      </w:r>
      <w:proofErr w:type="gramStart"/>
      <w:r w:rsidR="000360E9" w:rsidRPr="00705B6F">
        <w:rPr>
          <w:color w:val="000000"/>
        </w:rPr>
        <w:t xml:space="preserve">in order </w:t>
      </w:r>
      <w:r w:rsidR="00CE3671" w:rsidRPr="00705B6F">
        <w:rPr>
          <w:color w:val="000000"/>
        </w:rPr>
        <w:t>to</w:t>
      </w:r>
      <w:proofErr w:type="gramEnd"/>
      <w:r w:rsidR="00CE3671" w:rsidRPr="00705B6F">
        <w:rPr>
          <w:color w:val="000000"/>
        </w:rPr>
        <w:t xml:space="preserve"> reply to the CWG-FHR.</w:t>
      </w:r>
    </w:p>
    <w:p w14:paraId="39213B7B" w14:textId="77777777" w:rsidR="00A21536" w:rsidRDefault="00A21536" w:rsidP="00A21536">
      <w:pPr>
        <w:tabs>
          <w:tab w:val="clear" w:pos="567"/>
          <w:tab w:val="clear" w:pos="1134"/>
          <w:tab w:val="clear" w:pos="1701"/>
          <w:tab w:val="clear" w:pos="2268"/>
          <w:tab w:val="clear" w:pos="2835"/>
        </w:tabs>
        <w:overflowPunct/>
        <w:autoSpaceDE/>
        <w:autoSpaceDN/>
        <w:adjustRightInd/>
        <w:spacing w:before="0"/>
        <w:jc w:val="both"/>
        <w:textAlignment w:val="auto"/>
        <w:rPr>
          <w:color w:val="000000"/>
        </w:rPr>
      </w:pPr>
    </w:p>
    <w:p w14:paraId="3BC2880B" w14:textId="32849079" w:rsidR="004E1CF9" w:rsidRPr="00A21536" w:rsidRDefault="004E1CF9" w:rsidP="00A21536">
      <w:pPr>
        <w:tabs>
          <w:tab w:val="clear" w:pos="567"/>
          <w:tab w:val="clear" w:pos="1134"/>
          <w:tab w:val="clear" w:pos="1701"/>
          <w:tab w:val="clear" w:pos="2268"/>
          <w:tab w:val="clear" w:pos="2835"/>
        </w:tabs>
        <w:overflowPunct/>
        <w:autoSpaceDE/>
        <w:autoSpaceDN/>
        <w:adjustRightInd/>
        <w:spacing w:before="0"/>
        <w:jc w:val="both"/>
        <w:textAlignment w:val="auto"/>
        <w:rPr>
          <w:b/>
          <w:bCs/>
        </w:rPr>
      </w:pPr>
      <w:r w:rsidRPr="00A21536">
        <w:rPr>
          <w:b/>
          <w:bCs/>
          <w:color w:val="000000"/>
        </w:rPr>
        <w:t>Future</w:t>
      </w:r>
      <w:r w:rsidRPr="00A21536">
        <w:rPr>
          <w:b/>
          <w:bCs/>
        </w:rPr>
        <w:t xml:space="preserve"> Activities</w:t>
      </w:r>
    </w:p>
    <w:p w14:paraId="5F0DDABB" w14:textId="63FB5B15" w:rsidR="00D548F8" w:rsidRDefault="00D548F8" w:rsidP="00D548F8">
      <w:pPr>
        <w:tabs>
          <w:tab w:val="clear" w:pos="567"/>
          <w:tab w:val="clear" w:pos="1134"/>
          <w:tab w:val="clear" w:pos="1701"/>
          <w:tab w:val="clear" w:pos="2268"/>
          <w:tab w:val="clear" w:pos="2835"/>
        </w:tabs>
        <w:overflowPunct/>
        <w:autoSpaceDE/>
        <w:autoSpaceDN/>
        <w:adjustRightInd/>
        <w:spacing w:before="0"/>
        <w:jc w:val="both"/>
        <w:textAlignment w:val="auto"/>
      </w:pPr>
      <w:r w:rsidRPr="000D64B4">
        <w:t xml:space="preserve">The ISCG will present a report to </w:t>
      </w:r>
      <w:r w:rsidR="00D2357B">
        <w:t xml:space="preserve">the </w:t>
      </w:r>
      <w:r>
        <w:t>Council and to the</w:t>
      </w:r>
      <w:r w:rsidR="00D2357B">
        <w:t xml:space="preserve"> meetings of the</w:t>
      </w:r>
      <w:r>
        <w:t xml:space="preserve"> </w:t>
      </w:r>
      <w:r w:rsidRPr="000D64B4">
        <w:t>Sector advisory groups</w:t>
      </w:r>
      <w:r>
        <w:t xml:space="preserve"> in 2026</w:t>
      </w:r>
      <w:r w:rsidRPr="000D64B4">
        <w:t>.</w:t>
      </w:r>
      <w:r w:rsidR="00F87097">
        <w:t xml:space="preserve"> </w:t>
      </w:r>
      <w:r>
        <w:t>It was proposed to hold the n</w:t>
      </w:r>
      <w:r w:rsidRPr="006E4D52">
        <w:t xml:space="preserve">ext meeting </w:t>
      </w:r>
      <w:r>
        <w:t xml:space="preserve">in conjunction with </w:t>
      </w:r>
      <w:r w:rsidR="005D6CB4">
        <w:t>the Telecommunication Development Advisory Group (TDAG)</w:t>
      </w:r>
      <w:r w:rsidR="000649D0">
        <w:t xml:space="preserve"> in April 2026</w:t>
      </w:r>
      <w:r w:rsidRPr="006E4D52">
        <w:t>.</w:t>
      </w:r>
      <w:r>
        <w:t xml:space="preserve"> </w:t>
      </w:r>
      <w:r w:rsidR="00F87097">
        <w:t>The d</w:t>
      </w:r>
      <w:r w:rsidRPr="000D64B4">
        <w:t xml:space="preserve">ate </w:t>
      </w:r>
      <w:r w:rsidR="00F87097">
        <w:t>will</w:t>
      </w:r>
      <w:r w:rsidRPr="000D64B4">
        <w:t xml:space="preserve"> be confirmed after consultations with the ISCG Management Team.</w:t>
      </w:r>
    </w:p>
    <w:p w14:paraId="4BF7EDB9" w14:textId="77777777" w:rsidR="003105C2" w:rsidRPr="000D64B4" w:rsidRDefault="003105C2" w:rsidP="00D548F8">
      <w:pPr>
        <w:tabs>
          <w:tab w:val="clear" w:pos="567"/>
          <w:tab w:val="clear" w:pos="1134"/>
          <w:tab w:val="clear" w:pos="1701"/>
          <w:tab w:val="clear" w:pos="2268"/>
          <w:tab w:val="clear" w:pos="2835"/>
        </w:tabs>
        <w:overflowPunct/>
        <w:autoSpaceDE/>
        <w:autoSpaceDN/>
        <w:adjustRightInd/>
        <w:spacing w:before="0"/>
        <w:jc w:val="both"/>
        <w:textAlignment w:val="auto"/>
      </w:pPr>
    </w:p>
    <w:p w14:paraId="318D3178" w14:textId="757BC831" w:rsidR="00D548F8" w:rsidRPr="009E787C" w:rsidRDefault="009E787C" w:rsidP="009E787C">
      <w:pPr>
        <w:tabs>
          <w:tab w:val="clear" w:pos="567"/>
          <w:tab w:val="clear" w:pos="1134"/>
          <w:tab w:val="clear" w:pos="1701"/>
          <w:tab w:val="clear" w:pos="2268"/>
          <w:tab w:val="clear" w:pos="2835"/>
        </w:tabs>
        <w:overflowPunct/>
        <w:autoSpaceDE/>
        <w:autoSpaceDN/>
        <w:adjustRightInd/>
        <w:spacing w:before="0"/>
        <w:textAlignment w:val="auto"/>
        <w:rPr>
          <w:b/>
          <w:bCs/>
        </w:rPr>
      </w:pPr>
      <w:r>
        <w:rPr>
          <w:b/>
          <w:bCs/>
        </w:rPr>
        <w:t>An</w:t>
      </w:r>
      <w:r w:rsidR="00D548F8" w:rsidRPr="009E787C">
        <w:rPr>
          <w:b/>
          <w:bCs/>
        </w:rPr>
        <w:t>y other business</w:t>
      </w:r>
    </w:p>
    <w:p w14:paraId="518F5EBC" w14:textId="45B8CD0A" w:rsidR="00D548F8" w:rsidRPr="000C5C38" w:rsidRDefault="009E787C" w:rsidP="00D548F8">
      <w:pPr>
        <w:tabs>
          <w:tab w:val="clear" w:pos="567"/>
          <w:tab w:val="clear" w:pos="1134"/>
          <w:tab w:val="clear" w:pos="1701"/>
          <w:tab w:val="clear" w:pos="2268"/>
          <w:tab w:val="clear" w:pos="2835"/>
        </w:tabs>
        <w:overflowPunct/>
        <w:autoSpaceDE/>
        <w:autoSpaceDN/>
        <w:adjustRightInd/>
        <w:spacing w:before="0"/>
        <w:textAlignment w:val="auto"/>
      </w:pPr>
      <w:r>
        <w:t>No issues were raised.</w:t>
      </w:r>
    </w:p>
    <w:p w14:paraId="253970B1" w14:textId="77777777" w:rsidR="009E787C" w:rsidRDefault="009E787C" w:rsidP="009E787C">
      <w:pPr>
        <w:tabs>
          <w:tab w:val="clear" w:pos="567"/>
          <w:tab w:val="clear" w:pos="1134"/>
          <w:tab w:val="clear" w:pos="1701"/>
          <w:tab w:val="clear" w:pos="2268"/>
          <w:tab w:val="clear" w:pos="2835"/>
        </w:tabs>
        <w:overflowPunct/>
        <w:autoSpaceDE/>
        <w:autoSpaceDN/>
        <w:adjustRightInd/>
        <w:spacing w:before="0"/>
        <w:textAlignment w:val="auto"/>
        <w:rPr>
          <w:b/>
          <w:bCs/>
        </w:rPr>
      </w:pPr>
    </w:p>
    <w:p w14:paraId="043225FF" w14:textId="0E2464BD" w:rsidR="00D548F8" w:rsidRPr="009E787C" w:rsidRDefault="00D548F8" w:rsidP="009E787C">
      <w:pPr>
        <w:tabs>
          <w:tab w:val="clear" w:pos="567"/>
          <w:tab w:val="clear" w:pos="1134"/>
          <w:tab w:val="clear" w:pos="1701"/>
          <w:tab w:val="clear" w:pos="2268"/>
          <w:tab w:val="clear" w:pos="2835"/>
        </w:tabs>
        <w:overflowPunct/>
        <w:autoSpaceDE/>
        <w:autoSpaceDN/>
        <w:adjustRightInd/>
        <w:spacing w:before="0"/>
        <w:textAlignment w:val="auto"/>
        <w:rPr>
          <w:b/>
          <w:bCs/>
        </w:rPr>
      </w:pPr>
      <w:r w:rsidRPr="009E787C">
        <w:rPr>
          <w:b/>
          <w:bCs/>
        </w:rPr>
        <w:t>Closure of the meeting</w:t>
      </w:r>
    </w:p>
    <w:p w14:paraId="7B677029" w14:textId="7BDD7558" w:rsidR="00D548F8" w:rsidRDefault="00D548F8" w:rsidP="00AE1EB1">
      <w:pPr>
        <w:tabs>
          <w:tab w:val="clear" w:pos="567"/>
          <w:tab w:val="clear" w:pos="1134"/>
          <w:tab w:val="clear" w:pos="1701"/>
          <w:tab w:val="clear" w:pos="2268"/>
          <w:tab w:val="clear" w:pos="2835"/>
        </w:tabs>
        <w:overflowPunct/>
        <w:autoSpaceDE/>
        <w:autoSpaceDN/>
        <w:adjustRightInd/>
        <w:spacing w:before="0"/>
        <w:jc w:val="both"/>
        <w:textAlignment w:val="auto"/>
      </w:pPr>
      <w:r>
        <w:t xml:space="preserve">Mr Fabio Bigi, Chair of the ISCG, thanked the TSAG Chair, the representatives from the three Sectors and all the participants for their </w:t>
      </w:r>
      <w:r w:rsidR="006A3683">
        <w:t xml:space="preserve">contributions and </w:t>
      </w:r>
      <w:r>
        <w:t>support.</w:t>
      </w:r>
      <w:r w:rsidR="00AA0C3E">
        <w:t xml:space="preserve"> He </w:t>
      </w:r>
      <w:r>
        <w:t xml:space="preserve">also thanked the Deputy Secretary-General for his active participation and </w:t>
      </w:r>
      <w:r w:rsidR="00425D3A">
        <w:t>support and</w:t>
      </w:r>
      <w:r>
        <w:t xml:space="preserve"> </w:t>
      </w:r>
      <w:r w:rsidR="00AA0C3E">
        <w:t xml:space="preserve">expressed </w:t>
      </w:r>
      <w:r>
        <w:t xml:space="preserve">his appreciation to the </w:t>
      </w:r>
      <w:r w:rsidR="00AE1EB1">
        <w:t>s</w:t>
      </w:r>
      <w:r>
        <w:t xml:space="preserve">ecretariat for </w:t>
      </w:r>
      <w:r w:rsidR="00AE1EB1">
        <w:t>its</w:t>
      </w:r>
      <w:r>
        <w:t xml:space="preserve"> assistance in preparing the meeting.</w:t>
      </w:r>
    </w:p>
    <w:p w14:paraId="51EE2582" w14:textId="1B72EE5B" w:rsidR="0048267C" w:rsidRPr="00EB06AF" w:rsidRDefault="00EB06AF" w:rsidP="00EB06AF">
      <w:pPr>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hAnsiTheme="minorHAnsi" w:cstheme="minorHAnsi"/>
          <w:szCs w:val="24"/>
        </w:rPr>
      </w:pPr>
      <w:r w:rsidRPr="00EB06AF">
        <w:rPr>
          <w:rFonts w:asciiTheme="minorHAnsi" w:hAnsiTheme="minorHAnsi" w:cstheme="minorHAnsi"/>
          <w:szCs w:val="24"/>
        </w:rPr>
        <w:t>_________________</w:t>
      </w:r>
    </w:p>
    <w:sectPr w:rsidR="0048267C" w:rsidRPr="00EB06AF" w:rsidSect="00AD3606">
      <w:footerReference w:type="default" r:id="rId34"/>
      <w:headerReference w:type="first" r:id="rId35"/>
      <w:footerReference w:type="first" r:id="rId3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34CD" w14:textId="77777777" w:rsidR="00FA76D9" w:rsidRDefault="00FA76D9">
      <w:r>
        <w:separator/>
      </w:r>
    </w:p>
  </w:endnote>
  <w:endnote w:type="continuationSeparator" w:id="0">
    <w:p w14:paraId="6A62147E" w14:textId="77777777" w:rsidR="00FA76D9" w:rsidRDefault="00FA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5871917D" w14:textId="77777777" w:rsidTr="0042469C">
      <w:trPr>
        <w:jc w:val="center"/>
      </w:trPr>
      <w:tc>
        <w:tcPr>
          <w:tcW w:w="1803" w:type="dxa"/>
          <w:vAlign w:val="center"/>
        </w:tcPr>
        <w:p w14:paraId="43DB2B7E" w14:textId="77777777" w:rsidR="00EE49E8" w:rsidRDefault="00EE49E8" w:rsidP="00EE49E8">
          <w:pPr>
            <w:pStyle w:val="Header"/>
            <w:jc w:val="left"/>
            <w:rPr>
              <w:noProof/>
            </w:rPr>
          </w:pPr>
        </w:p>
      </w:tc>
      <w:tc>
        <w:tcPr>
          <w:tcW w:w="8261" w:type="dxa"/>
        </w:tcPr>
        <w:p w14:paraId="4A206939" w14:textId="060159B9"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323C48" w:rsidRPr="00323C48">
            <w:rPr>
              <w:bCs/>
              <w:lang w:val="es-ES"/>
            </w:rPr>
            <w:t>ISCG/26-1/</w:t>
          </w:r>
          <w:r w:rsidR="00EB06AF">
            <w:rPr>
              <w:bCs/>
              <w:lang w:val="es-ES"/>
            </w:rPr>
            <w:t>14</w:t>
          </w:r>
          <w:r w:rsidR="00323C48" w:rsidRPr="00323C48">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2FA0" w14:textId="77777777" w:rsidR="00FA76D9" w:rsidRDefault="00FA76D9">
      <w:r>
        <w:t>____________________</w:t>
      </w:r>
    </w:p>
  </w:footnote>
  <w:footnote w:type="continuationSeparator" w:id="0">
    <w:p w14:paraId="0E056471" w14:textId="77777777" w:rsidR="00FA76D9" w:rsidRDefault="00FA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94C5C" w:rsidRPr="00784011" w14:paraId="767BE1BB" w14:textId="77777777" w:rsidTr="00EB6249">
      <w:trPr>
        <w:trHeight w:val="1304"/>
        <w:jc w:val="center"/>
      </w:trPr>
      <w:tc>
        <w:tcPr>
          <w:tcW w:w="6546" w:type="dxa"/>
        </w:tcPr>
        <w:bookmarkStart w:id="11" w:name="_Hlk133422111"/>
        <w:p w14:paraId="66663794" w14:textId="4CCE55D4" w:rsidR="00E94C5C" w:rsidRPr="009621F8" w:rsidRDefault="00E94C5C" w:rsidP="00E94C5C">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098FB881" wp14:editId="25B2FC17">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170DD"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1946562E" wp14:editId="3A64E2ED">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A6F08F8" w14:textId="77777777" w:rsidR="00E94C5C" w:rsidRDefault="00E94C5C" w:rsidP="00E94C5C">
          <w:pPr>
            <w:pStyle w:val="Header"/>
            <w:jc w:val="right"/>
            <w:rPr>
              <w:rFonts w:ascii="Arial" w:hAnsi="Arial" w:cs="Arial"/>
              <w:b/>
              <w:bCs/>
              <w:color w:val="009CD6"/>
              <w:szCs w:val="18"/>
            </w:rPr>
          </w:pPr>
        </w:p>
        <w:p w14:paraId="10B81AFE" w14:textId="77777777" w:rsidR="00E94C5C" w:rsidRDefault="00E94C5C" w:rsidP="00E94C5C">
          <w:pPr>
            <w:pStyle w:val="Header"/>
            <w:jc w:val="right"/>
            <w:rPr>
              <w:rFonts w:ascii="Arial" w:hAnsi="Arial" w:cs="Arial"/>
              <w:b/>
              <w:bCs/>
              <w:color w:val="009CD6"/>
              <w:szCs w:val="18"/>
            </w:rPr>
          </w:pPr>
        </w:p>
        <w:p w14:paraId="01F0305C" w14:textId="77777777" w:rsidR="00E94C5C" w:rsidRPr="00784011" w:rsidRDefault="00E94C5C" w:rsidP="00E94C5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22BF7332" w:rsidR="00AD3606" w:rsidRDefault="00E94C5C">
    <w:pPr>
      <w:pStyle w:val="Header"/>
    </w:pPr>
    <w:r w:rsidRPr="00130599">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637DFF7C" wp14:editId="587C9A87">
              <wp:simplePos x="0" y="0"/>
              <wp:positionH relativeFrom="column">
                <wp:posOffset>399415</wp:posOffset>
              </wp:positionH>
              <wp:positionV relativeFrom="paragraph">
                <wp:posOffset>-848995</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0F5D04EE" w14:textId="77777777" w:rsidR="00E94C5C" w:rsidRDefault="00E94C5C" w:rsidP="00E94C5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7DFF7C" id="_x0000_t202" coordsize="21600,21600" o:spt="202" path="m,l,21600r21600,l21600,xe">
              <v:stroke joinstyle="miter"/>
              <v:path gradientshapeok="t" o:connecttype="rect"/>
            </v:shapetype>
            <v:shape id="Text Box 2" o:spid="_x0000_s1026" type="#_x0000_t202" style="position:absolute;left:0;text-align:left;margin-left:31.45pt;margin-top:-66.85pt;width:216.7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" fillcolor="window" stroked="f">
              <v:textbox style="mso-fit-shape-to-text:t" inset="1mm">
                <w:txbxContent>
                  <w:p w14:paraId="0F5D04EE" w14:textId="77777777" w:rsidR="00E94C5C" w:rsidRDefault="00E94C5C" w:rsidP="00E94C5C">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133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1287A"/>
    <w:multiLevelType w:val="multilevel"/>
    <w:tmpl w:val="BC741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69445B"/>
    <w:multiLevelType w:val="hybridMultilevel"/>
    <w:tmpl w:val="52B08426"/>
    <w:lvl w:ilvl="0" w:tplc="F00212B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4"/>
  </w:num>
  <w:num w:numId="3" w16cid:durableId="77482380">
    <w:abstractNumId w:val="2"/>
  </w:num>
  <w:num w:numId="4" w16cid:durableId="1704407101">
    <w:abstractNumId w:val="1"/>
  </w:num>
  <w:num w:numId="5" w16cid:durableId="16857123">
    <w:abstractNumId w:val="3"/>
  </w:num>
  <w:num w:numId="6" w16cid:durableId="1631931758">
    <w:abstractNumId w:val="9"/>
  </w:num>
  <w:num w:numId="7" w16cid:durableId="1861358016">
    <w:abstractNumId w:val="7"/>
  </w:num>
  <w:num w:numId="8" w16cid:durableId="238372083">
    <w:abstractNumId w:val="8"/>
  </w:num>
  <w:num w:numId="9" w16cid:durableId="1102145443">
    <w:abstractNumId w:val="5"/>
  </w:num>
  <w:num w:numId="10" w16cid:durableId="304087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69"/>
    <w:rsid w:val="000041A9"/>
    <w:rsid w:val="00004C8C"/>
    <w:rsid w:val="00006DB2"/>
    <w:rsid w:val="00007AA3"/>
    <w:rsid w:val="000120E4"/>
    <w:rsid w:val="000210D4"/>
    <w:rsid w:val="00023D3C"/>
    <w:rsid w:val="00024572"/>
    <w:rsid w:val="000360E9"/>
    <w:rsid w:val="00045375"/>
    <w:rsid w:val="00046C4F"/>
    <w:rsid w:val="000525A1"/>
    <w:rsid w:val="000537B5"/>
    <w:rsid w:val="00063016"/>
    <w:rsid w:val="000649D0"/>
    <w:rsid w:val="00065945"/>
    <w:rsid w:val="000660E3"/>
    <w:rsid w:val="00066795"/>
    <w:rsid w:val="00076AF6"/>
    <w:rsid w:val="00085CF2"/>
    <w:rsid w:val="00094CC0"/>
    <w:rsid w:val="000A1525"/>
    <w:rsid w:val="000B1705"/>
    <w:rsid w:val="000B2088"/>
    <w:rsid w:val="000C6DD8"/>
    <w:rsid w:val="000D75B2"/>
    <w:rsid w:val="000E5AD0"/>
    <w:rsid w:val="000F6AB8"/>
    <w:rsid w:val="00106049"/>
    <w:rsid w:val="00106610"/>
    <w:rsid w:val="00107EB6"/>
    <w:rsid w:val="001121F5"/>
    <w:rsid w:val="00117607"/>
    <w:rsid w:val="00127CE1"/>
    <w:rsid w:val="00130599"/>
    <w:rsid w:val="00131E18"/>
    <w:rsid w:val="001372FE"/>
    <w:rsid w:val="00137C66"/>
    <w:rsid w:val="001400DC"/>
    <w:rsid w:val="00140CE1"/>
    <w:rsid w:val="001471C9"/>
    <w:rsid w:val="00147C54"/>
    <w:rsid w:val="001545E8"/>
    <w:rsid w:val="00157068"/>
    <w:rsid w:val="00157B64"/>
    <w:rsid w:val="00160633"/>
    <w:rsid w:val="0016259B"/>
    <w:rsid w:val="00171071"/>
    <w:rsid w:val="00174842"/>
    <w:rsid w:val="00174ED4"/>
    <w:rsid w:val="0017539C"/>
    <w:rsid w:val="00175AC2"/>
    <w:rsid w:val="0017609F"/>
    <w:rsid w:val="00177190"/>
    <w:rsid w:val="001839CF"/>
    <w:rsid w:val="0019137C"/>
    <w:rsid w:val="00194443"/>
    <w:rsid w:val="001A2463"/>
    <w:rsid w:val="001A43F2"/>
    <w:rsid w:val="001A58D0"/>
    <w:rsid w:val="001A7D1D"/>
    <w:rsid w:val="001B0595"/>
    <w:rsid w:val="001B0C58"/>
    <w:rsid w:val="001B4429"/>
    <w:rsid w:val="001B51DD"/>
    <w:rsid w:val="001C4CA2"/>
    <w:rsid w:val="001C628E"/>
    <w:rsid w:val="001D247A"/>
    <w:rsid w:val="001D3546"/>
    <w:rsid w:val="001D382C"/>
    <w:rsid w:val="001D3FE7"/>
    <w:rsid w:val="001D62DF"/>
    <w:rsid w:val="001E0F7B"/>
    <w:rsid w:val="001E0FBE"/>
    <w:rsid w:val="001E5FE7"/>
    <w:rsid w:val="001F4CAD"/>
    <w:rsid w:val="00205D4E"/>
    <w:rsid w:val="002119FD"/>
    <w:rsid w:val="002130E0"/>
    <w:rsid w:val="0021435C"/>
    <w:rsid w:val="00227AAB"/>
    <w:rsid w:val="00230065"/>
    <w:rsid w:val="00236A57"/>
    <w:rsid w:val="002448AA"/>
    <w:rsid w:val="00244BA9"/>
    <w:rsid w:val="00244F7F"/>
    <w:rsid w:val="0025570E"/>
    <w:rsid w:val="0026087C"/>
    <w:rsid w:val="002608B7"/>
    <w:rsid w:val="00264425"/>
    <w:rsid w:val="00265875"/>
    <w:rsid w:val="0026772E"/>
    <w:rsid w:val="0027303B"/>
    <w:rsid w:val="0028109B"/>
    <w:rsid w:val="00287653"/>
    <w:rsid w:val="00292406"/>
    <w:rsid w:val="002944B6"/>
    <w:rsid w:val="00294BC8"/>
    <w:rsid w:val="002A2188"/>
    <w:rsid w:val="002A7539"/>
    <w:rsid w:val="002B1F58"/>
    <w:rsid w:val="002B4850"/>
    <w:rsid w:val="002B75A9"/>
    <w:rsid w:val="002C1C7A"/>
    <w:rsid w:val="002C54E2"/>
    <w:rsid w:val="002D2F87"/>
    <w:rsid w:val="002E0AC3"/>
    <w:rsid w:val="002E6E73"/>
    <w:rsid w:val="002F123F"/>
    <w:rsid w:val="002F1CF2"/>
    <w:rsid w:val="002F2D06"/>
    <w:rsid w:val="002F6AE5"/>
    <w:rsid w:val="0030160F"/>
    <w:rsid w:val="00301AEE"/>
    <w:rsid w:val="003059E3"/>
    <w:rsid w:val="003105C2"/>
    <w:rsid w:val="0031365B"/>
    <w:rsid w:val="00313C5E"/>
    <w:rsid w:val="003145DF"/>
    <w:rsid w:val="00320223"/>
    <w:rsid w:val="00321CAD"/>
    <w:rsid w:val="00322D0D"/>
    <w:rsid w:val="00323C48"/>
    <w:rsid w:val="00346F66"/>
    <w:rsid w:val="003470B3"/>
    <w:rsid w:val="003500DC"/>
    <w:rsid w:val="003562D4"/>
    <w:rsid w:val="00356595"/>
    <w:rsid w:val="00356734"/>
    <w:rsid w:val="00361465"/>
    <w:rsid w:val="00365D86"/>
    <w:rsid w:val="003877F5"/>
    <w:rsid w:val="003910BB"/>
    <w:rsid w:val="003942D4"/>
    <w:rsid w:val="0039514F"/>
    <w:rsid w:val="003958A8"/>
    <w:rsid w:val="003A3D2C"/>
    <w:rsid w:val="003B29C2"/>
    <w:rsid w:val="003C20CA"/>
    <w:rsid w:val="003C2533"/>
    <w:rsid w:val="003C774D"/>
    <w:rsid w:val="003D16FE"/>
    <w:rsid w:val="003D2E43"/>
    <w:rsid w:val="003D54F9"/>
    <w:rsid w:val="003D5A7F"/>
    <w:rsid w:val="003D635C"/>
    <w:rsid w:val="003D71D8"/>
    <w:rsid w:val="003F086A"/>
    <w:rsid w:val="003F18F6"/>
    <w:rsid w:val="004005F0"/>
    <w:rsid w:val="004016E2"/>
    <w:rsid w:val="0040435A"/>
    <w:rsid w:val="00412EED"/>
    <w:rsid w:val="00416A24"/>
    <w:rsid w:val="00416A30"/>
    <w:rsid w:val="0042059E"/>
    <w:rsid w:val="00425D3A"/>
    <w:rsid w:val="00431D9E"/>
    <w:rsid w:val="00432EBE"/>
    <w:rsid w:val="00433CE8"/>
    <w:rsid w:val="00434A5C"/>
    <w:rsid w:val="00453673"/>
    <w:rsid w:val="004544D9"/>
    <w:rsid w:val="00472BAD"/>
    <w:rsid w:val="00473B72"/>
    <w:rsid w:val="0048267C"/>
    <w:rsid w:val="00484009"/>
    <w:rsid w:val="00487FC9"/>
    <w:rsid w:val="00490E72"/>
    <w:rsid w:val="00491157"/>
    <w:rsid w:val="004921C8"/>
    <w:rsid w:val="0049497C"/>
    <w:rsid w:val="00495B0B"/>
    <w:rsid w:val="004A1B8B"/>
    <w:rsid w:val="004B51C8"/>
    <w:rsid w:val="004C1A0A"/>
    <w:rsid w:val="004C6228"/>
    <w:rsid w:val="004D1851"/>
    <w:rsid w:val="004D1DE1"/>
    <w:rsid w:val="004D599D"/>
    <w:rsid w:val="004E06D1"/>
    <w:rsid w:val="004E1CF9"/>
    <w:rsid w:val="004E2EA5"/>
    <w:rsid w:val="004E3AEB"/>
    <w:rsid w:val="004F0820"/>
    <w:rsid w:val="004F5DF1"/>
    <w:rsid w:val="00500CA4"/>
    <w:rsid w:val="0050223C"/>
    <w:rsid w:val="00511980"/>
    <w:rsid w:val="00514131"/>
    <w:rsid w:val="0051505B"/>
    <w:rsid w:val="00515818"/>
    <w:rsid w:val="005170FD"/>
    <w:rsid w:val="00523321"/>
    <w:rsid w:val="005241E0"/>
    <w:rsid w:val="005243FF"/>
    <w:rsid w:val="005246C5"/>
    <w:rsid w:val="00524E9C"/>
    <w:rsid w:val="005311D6"/>
    <w:rsid w:val="00533E0D"/>
    <w:rsid w:val="00534C82"/>
    <w:rsid w:val="00536422"/>
    <w:rsid w:val="00544EA2"/>
    <w:rsid w:val="0054526E"/>
    <w:rsid w:val="005536C2"/>
    <w:rsid w:val="00555346"/>
    <w:rsid w:val="0056109A"/>
    <w:rsid w:val="00564FBC"/>
    <w:rsid w:val="00566D83"/>
    <w:rsid w:val="005763F0"/>
    <w:rsid w:val="005800BC"/>
    <w:rsid w:val="00582442"/>
    <w:rsid w:val="005842EA"/>
    <w:rsid w:val="00584363"/>
    <w:rsid w:val="005852B2"/>
    <w:rsid w:val="00590712"/>
    <w:rsid w:val="005A335D"/>
    <w:rsid w:val="005B0869"/>
    <w:rsid w:val="005B1FA5"/>
    <w:rsid w:val="005B6841"/>
    <w:rsid w:val="005C13D4"/>
    <w:rsid w:val="005C3337"/>
    <w:rsid w:val="005D2CF9"/>
    <w:rsid w:val="005D6CB4"/>
    <w:rsid w:val="005D7B8F"/>
    <w:rsid w:val="005E2BD5"/>
    <w:rsid w:val="005E4F47"/>
    <w:rsid w:val="005E7EBC"/>
    <w:rsid w:val="005F1AF1"/>
    <w:rsid w:val="005F3269"/>
    <w:rsid w:val="005F6661"/>
    <w:rsid w:val="005F7BEB"/>
    <w:rsid w:val="00612123"/>
    <w:rsid w:val="006151F4"/>
    <w:rsid w:val="00615961"/>
    <w:rsid w:val="00615AB9"/>
    <w:rsid w:val="00617B63"/>
    <w:rsid w:val="00620A99"/>
    <w:rsid w:val="00623AE3"/>
    <w:rsid w:val="0062563B"/>
    <w:rsid w:val="006261F4"/>
    <w:rsid w:val="00626592"/>
    <w:rsid w:val="006438F5"/>
    <w:rsid w:val="00646877"/>
    <w:rsid w:val="0064737F"/>
    <w:rsid w:val="00647966"/>
    <w:rsid w:val="006535F1"/>
    <w:rsid w:val="0065557D"/>
    <w:rsid w:val="006558E9"/>
    <w:rsid w:val="00660D50"/>
    <w:rsid w:val="00662984"/>
    <w:rsid w:val="00663050"/>
    <w:rsid w:val="006716BB"/>
    <w:rsid w:val="00682CA7"/>
    <w:rsid w:val="006973C8"/>
    <w:rsid w:val="006A3683"/>
    <w:rsid w:val="006A4862"/>
    <w:rsid w:val="006B1859"/>
    <w:rsid w:val="006B6680"/>
    <w:rsid w:val="006B6DCC"/>
    <w:rsid w:val="006C2E4B"/>
    <w:rsid w:val="006C592E"/>
    <w:rsid w:val="006D1395"/>
    <w:rsid w:val="006D791C"/>
    <w:rsid w:val="00700E69"/>
    <w:rsid w:val="00701554"/>
    <w:rsid w:val="00701C70"/>
    <w:rsid w:val="00702DEF"/>
    <w:rsid w:val="00704AF5"/>
    <w:rsid w:val="00705B6F"/>
    <w:rsid w:val="00706535"/>
    <w:rsid w:val="00706861"/>
    <w:rsid w:val="0071067F"/>
    <w:rsid w:val="007130E7"/>
    <w:rsid w:val="00722C25"/>
    <w:rsid w:val="007247CF"/>
    <w:rsid w:val="00726B8C"/>
    <w:rsid w:val="00727C44"/>
    <w:rsid w:val="007307F0"/>
    <w:rsid w:val="00737AB1"/>
    <w:rsid w:val="00740E53"/>
    <w:rsid w:val="00741289"/>
    <w:rsid w:val="0075051B"/>
    <w:rsid w:val="00752B13"/>
    <w:rsid w:val="00753429"/>
    <w:rsid w:val="00757A85"/>
    <w:rsid w:val="0076371E"/>
    <w:rsid w:val="0077110E"/>
    <w:rsid w:val="0077295C"/>
    <w:rsid w:val="00775655"/>
    <w:rsid w:val="007762C7"/>
    <w:rsid w:val="00777777"/>
    <w:rsid w:val="007849D5"/>
    <w:rsid w:val="007865D4"/>
    <w:rsid w:val="0079287F"/>
    <w:rsid w:val="00793188"/>
    <w:rsid w:val="00794D34"/>
    <w:rsid w:val="00796F40"/>
    <w:rsid w:val="007A19D9"/>
    <w:rsid w:val="007B351B"/>
    <w:rsid w:val="007D001B"/>
    <w:rsid w:val="007D0652"/>
    <w:rsid w:val="007D605D"/>
    <w:rsid w:val="007E04A5"/>
    <w:rsid w:val="007F12D3"/>
    <w:rsid w:val="008060B8"/>
    <w:rsid w:val="00806E3C"/>
    <w:rsid w:val="00811FB3"/>
    <w:rsid w:val="00813E5E"/>
    <w:rsid w:val="00816C2C"/>
    <w:rsid w:val="00832C21"/>
    <w:rsid w:val="0083581B"/>
    <w:rsid w:val="00835DFB"/>
    <w:rsid w:val="0084393B"/>
    <w:rsid w:val="0084505D"/>
    <w:rsid w:val="00845FE5"/>
    <w:rsid w:val="00851EB3"/>
    <w:rsid w:val="00855E52"/>
    <w:rsid w:val="008609A9"/>
    <w:rsid w:val="00860EED"/>
    <w:rsid w:val="00862C0A"/>
    <w:rsid w:val="00863874"/>
    <w:rsid w:val="00864AFF"/>
    <w:rsid w:val="00865925"/>
    <w:rsid w:val="00870C17"/>
    <w:rsid w:val="00871BA1"/>
    <w:rsid w:val="00872B5C"/>
    <w:rsid w:val="00875FD1"/>
    <w:rsid w:val="00877BF2"/>
    <w:rsid w:val="00882F21"/>
    <w:rsid w:val="00884F3A"/>
    <w:rsid w:val="00891503"/>
    <w:rsid w:val="008A2F06"/>
    <w:rsid w:val="008B0659"/>
    <w:rsid w:val="008B133F"/>
    <w:rsid w:val="008B4A6A"/>
    <w:rsid w:val="008B640F"/>
    <w:rsid w:val="008B7D20"/>
    <w:rsid w:val="008C7E27"/>
    <w:rsid w:val="008E11FA"/>
    <w:rsid w:val="008F3822"/>
    <w:rsid w:val="008F7448"/>
    <w:rsid w:val="0090147A"/>
    <w:rsid w:val="0090389B"/>
    <w:rsid w:val="0090622B"/>
    <w:rsid w:val="00910621"/>
    <w:rsid w:val="00910E80"/>
    <w:rsid w:val="009173EF"/>
    <w:rsid w:val="0092749F"/>
    <w:rsid w:val="00932906"/>
    <w:rsid w:val="00932C90"/>
    <w:rsid w:val="00934E03"/>
    <w:rsid w:val="00961860"/>
    <w:rsid w:val="00961B0B"/>
    <w:rsid w:val="00962D33"/>
    <w:rsid w:val="00966201"/>
    <w:rsid w:val="00972AE0"/>
    <w:rsid w:val="00977E82"/>
    <w:rsid w:val="009812FC"/>
    <w:rsid w:val="00983AC6"/>
    <w:rsid w:val="00986470"/>
    <w:rsid w:val="009A5631"/>
    <w:rsid w:val="009B38C3"/>
    <w:rsid w:val="009B44BD"/>
    <w:rsid w:val="009B6678"/>
    <w:rsid w:val="009D5206"/>
    <w:rsid w:val="009D54F7"/>
    <w:rsid w:val="009E17BD"/>
    <w:rsid w:val="009E485A"/>
    <w:rsid w:val="009E787C"/>
    <w:rsid w:val="009F1BD4"/>
    <w:rsid w:val="009F39DE"/>
    <w:rsid w:val="009F595F"/>
    <w:rsid w:val="00A04CEC"/>
    <w:rsid w:val="00A21536"/>
    <w:rsid w:val="00A264CB"/>
    <w:rsid w:val="00A27F92"/>
    <w:rsid w:val="00A3083D"/>
    <w:rsid w:val="00A32257"/>
    <w:rsid w:val="00A36D20"/>
    <w:rsid w:val="00A403B2"/>
    <w:rsid w:val="00A43244"/>
    <w:rsid w:val="00A43C03"/>
    <w:rsid w:val="00A44033"/>
    <w:rsid w:val="00A46CD0"/>
    <w:rsid w:val="00A514A4"/>
    <w:rsid w:val="00A52C84"/>
    <w:rsid w:val="00A55622"/>
    <w:rsid w:val="00A60478"/>
    <w:rsid w:val="00A67929"/>
    <w:rsid w:val="00A7395C"/>
    <w:rsid w:val="00A77552"/>
    <w:rsid w:val="00A83502"/>
    <w:rsid w:val="00A84AFE"/>
    <w:rsid w:val="00A85483"/>
    <w:rsid w:val="00A973CC"/>
    <w:rsid w:val="00AA0C3E"/>
    <w:rsid w:val="00AA27CC"/>
    <w:rsid w:val="00AA50E0"/>
    <w:rsid w:val="00AA5F94"/>
    <w:rsid w:val="00AB4AC8"/>
    <w:rsid w:val="00AB51D9"/>
    <w:rsid w:val="00AC1C80"/>
    <w:rsid w:val="00AC6590"/>
    <w:rsid w:val="00AC6BFA"/>
    <w:rsid w:val="00AD15B3"/>
    <w:rsid w:val="00AD34DB"/>
    <w:rsid w:val="00AD3606"/>
    <w:rsid w:val="00AD4A3D"/>
    <w:rsid w:val="00AE1EB1"/>
    <w:rsid w:val="00AE57F6"/>
    <w:rsid w:val="00AF1A86"/>
    <w:rsid w:val="00AF4C02"/>
    <w:rsid w:val="00AF6E49"/>
    <w:rsid w:val="00B04A67"/>
    <w:rsid w:val="00B0583C"/>
    <w:rsid w:val="00B05893"/>
    <w:rsid w:val="00B11723"/>
    <w:rsid w:val="00B20977"/>
    <w:rsid w:val="00B23BE2"/>
    <w:rsid w:val="00B248BC"/>
    <w:rsid w:val="00B358B2"/>
    <w:rsid w:val="00B3744C"/>
    <w:rsid w:val="00B40A81"/>
    <w:rsid w:val="00B44910"/>
    <w:rsid w:val="00B5715E"/>
    <w:rsid w:val="00B57C59"/>
    <w:rsid w:val="00B62127"/>
    <w:rsid w:val="00B6440C"/>
    <w:rsid w:val="00B72267"/>
    <w:rsid w:val="00B73157"/>
    <w:rsid w:val="00B73DD1"/>
    <w:rsid w:val="00B76EB6"/>
    <w:rsid w:val="00B7737B"/>
    <w:rsid w:val="00B824C8"/>
    <w:rsid w:val="00B82C1B"/>
    <w:rsid w:val="00B849D3"/>
    <w:rsid w:val="00B84B9D"/>
    <w:rsid w:val="00B95B29"/>
    <w:rsid w:val="00BA2976"/>
    <w:rsid w:val="00BA3A51"/>
    <w:rsid w:val="00BB2EE3"/>
    <w:rsid w:val="00BB480E"/>
    <w:rsid w:val="00BC251A"/>
    <w:rsid w:val="00BC3BDF"/>
    <w:rsid w:val="00BC4759"/>
    <w:rsid w:val="00BD032B"/>
    <w:rsid w:val="00BD0614"/>
    <w:rsid w:val="00BD094B"/>
    <w:rsid w:val="00BD21B5"/>
    <w:rsid w:val="00BE0848"/>
    <w:rsid w:val="00BE2640"/>
    <w:rsid w:val="00BF09C1"/>
    <w:rsid w:val="00BF1FDA"/>
    <w:rsid w:val="00C01189"/>
    <w:rsid w:val="00C0433C"/>
    <w:rsid w:val="00C055AF"/>
    <w:rsid w:val="00C07ECC"/>
    <w:rsid w:val="00C20D68"/>
    <w:rsid w:val="00C27DB8"/>
    <w:rsid w:val="00C374DE"/>
    <w:rsid w:val="00C45671"/>
    <w:rsid w:val="00C47AD4"/>
    <w:rsid w:val="00C52D81"/>
    <w:rsid w:val="00C53E61"/>
    <w:rsid w:val="00C55198"/>
    <w:rsid w:val="00C70ED3"/>
    <w:rsid w:val="00C725C6"/>
    <w:rsid w:val="00C72607"/>
    <w:rsid w:val="00C922C7"/>
    <w:rsid w:val="00C94E30"/>
    <w:rsid w:val="00C951B1"/>
    <w:rsid w:val="00C95B1D"/>
    <w:rsid w:val="00CA3DEC"/>
    <w:rsid w:val="00CA6393"/>
    <w:rsid w:val="00CB1888"/>
    <w:rsid w:val="00CB18FF"/>
    <w:rsid w:val="00CB24AA"/>
    <w:rsid w:val="00CB359C"/>
    <w:rsid w:val="00CC3D66"/>
    <w:rsid w:val="00CC66C8"/>
    <w:rsid w:val="00CD0C08"/>
    <w:rsid w:val="00CD3C91"/>
    <w:rsid w:val="00CE03FB"/>
    <w:rsid w:val="00CE3671"/>
    <w:rsid w:val="00CE433C"/>
    <w:rsid w:val="00CE4ACA"/>
    <w:rsid w:val="00CF0161"/>
    <w:rsid w:val="00CF33F3"/>
    <w:rsid w:val="00D06183"/>
    <w:rsid w:val="00D10063"/>
    <w:rsid w:val="00D143DF"/>
    <w:rsid w:val="00D1616F"/>
    <w:rsid w:val="00D22C42"/>
    <w:rsid w:val="00D2357B"/>
    <w:rsid w:val="00D2388D"/>
    <w:rsid w:val="00D24604"/>
    <w:rsid w:val="00D32DE3"/>
    <w:rsid w:val="00D36885"/>
    <w:rsid w:val="00D37C3B"/>
    <w:rsid w:val="00D4483F"/>
    <w:rsid w:val="00D45669"/>
    <w:rsid w:val="00D464CC"/>
    <w:rsid w:val="00D51EC3"/>
    <w:rsid w:val="00D522F6"/>
    <w:rsid w:val="00D530D5"/>
    <w:rsid w:val="00D548F8"/>
    <w:rsid w:val="00D612DA"/>
    <w:rsid w:val="00D65041"/>
    <w:rsid w:val="00D667B9"/>
    <w:rsid w:val="00D67039"/>
    <w:rsid w:val="00D7073F"/>
    <w:rsid w:val="00D74BFC"/>
    <w:rsid w:val="00D80C56"/>
    <w:rsid w:val="00D82981"/>
    <w:rsid w:val="00D86E6C"/>
    <w:rsid w:val="00D86F82"/>
    <w:rsid w:val="00DB00D5"/>
    <w:rsid w:val="00DB1936"/>
    <w:rsid w:val="00DB384B"/>
    <w:rsid w:val="00DC52C5"/>
    <w:rsid w:val="00DC5D6F"/>
    <w:rsid w:val="00DD3731"/>
    <w:rsid w:val="00DF0189"/>
    <w:rsid w:val="00DF5163"/>
    <w:rsid w:val="00DF58D8"/>
    <w:rsid w:val="00DF6FD7"/>
    <w:rsid w:val="00E0240F"/>
    <w:rsid w:val="00E06415"/>
    <w:rsid w:val="00E06FD5"/>
    <w:rsid w:val="00E10E80"/>
    <w:rsid w:val="00E124F0"/>
    <w:rsid w:val="00E227F3"/>
    <w:rsid w:val="00E22AD8"/>
    <w:rsid w:val="00E339EF"/>
    <w:rsid w:val="00E4728B"/>
    <w:rsid w:val="00E545C6"/>
    <w:rsid w:val="00E60F04"/>
    <w:rsid w:val="00E6172E"/>
    <w:rsid w:val="00E63EFF"/>
    <w:rsid w:val="00E65B24"/>
    <w:rsid w:val="00E6729A"/>
    <w:rsid w:val="00E74BAF"/>
    <w:rsid w:val="00E752DB"/>
    <w:rsid w:val="00E854E4"/>
    <w:rsid w:val="00E85B67"/>
    <w:rsid w:val="00E86DBF"/>
    <w:rsid w:val="00E86FC0"/>
    <w:rsid w:val="00E870E7"/>
    <w:rsid w:val="00E8757A"/>
    <w:rsid w:val="00E94C5C"/>
    <w:rsid w:val="00E96F77"/>
    <w:rsid w:val="00E971AF"/>
    <w:rsid w:val="00EA1733"/>
    <w:rsid w:val="00EA22EA"/>
    <w:rsid w:val="00EA3CA0"/>
    <w:rsid w:val="00EA4E45"/>
    <w:rsid w:val="00EB06AF"/>
    <w:rsid w:val="00EB0D6F"/>
    <w:rsid w:val="00EB2184"/>
    <w:rsid w:val="00EB2232"/>
    <w:rsid w:val="00EC03B6"/>
    <w:rsid w:val="00EC5337"/>
    <w:rsid w:val="00EC7C07"/>
    <w:rsid w:val="00EE49E8"/>
    <w:rsid w:val="00EF0AE0"/>
    <w:rsid w:val="00EF4D6F"/>
    <w:rsid w:val="00F0054B"/>
    <w:rsid w:val="00F10B59"/>
    <w:rsid w:val="00F119DF"/>
    <w:rsid w:val="00F14960"/>
    <w:rsid w:val="00F16BAB"/>
    <w:rsid w:val="00F2150A"/>
    <w:rsid w:val="00F231D8"/>
    <w:rsid w:val="00F37FD8"/>
    <w:rsid w:val="00F44C00"/>
    <w:rsid w:val="00F45D2C"/>
    <w:rsid w:val="00F46506"/>
    <w:rsid w:val="00F46C5F"/>
    <w:rsid w:val="00F56068"/>
    <w:rsid w:val="00F632C0"/>
    <w:rsid w:val="00F66A26"/>
    <w:rsid w:val="00F70249"/>
    <w:rsid w:val="00F70E99"/>
    <w:rsid w:val="00F73B2C"/>
    <w:rsid w:val="00F74694"/>
    <w:rsid w:val="00F7664C"/>
    <w:rsid w:val="00F83DAE"/>
    <w:rsid w:val="00F86596"/>
    <w:rsid w:val="00F87097"/>
    <w:rsid w:val="00F87B3C"/>
    <w:rsid w:val="00F93FD4"/>
    <w:rsid w:val="00F94A63"/>
    <w:rsid w:val="00F9532A"/>
    <w:rsid w:val="00FA1A19"/>
    <w:rsid w:val="00FA1C28"/>
    <w:rsid w:val="00FA5795"/>
    <w:rsid w:val="00FA76D9"/>
    <w:rsid w:val="00FB1279"/>
    <w:rsid w:val="00FB3C32"/>
    <w:rsid w:val="00FB5239"/>
    <w:rsid w:val="00FB6B76"/>
    <w:rsid w:val="00FB7596"/>
    <w:rsid w:val="00FC7883"/>
    <w:rsid w:val="00FD64DE"/>
    <w:rsid w:val="00FD662B"/>
    <w:rsid w:val="00FD6917"/>
    <w:rsid w:val="00FD7B4C"/>
    <w:rsid w:val="00FE4077"/>
    <w:rsid w:val="00FE4D84"/>
    <w:rsid w:val="00FE500D"/>
    <w:rsid w:val="00FE77D2"/>
    <w:rsid w:val="00FF09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级链,超????,하이퍼링크2,超链接1,超?级链?,Style?,S,하이퍼링크21,超??级链Ú,fL????,fL?级,超??级链,超?级链Ú,’´?级链,’´????,’´??级链Ú,’´??级"/>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
    <w:basedOn w:val="Normal"/>
    <w:link w:val="ListParagraphChar"/>
    <w:uiPriority w:val="34"/>
    <w:qFormat/>
    <w:rsid w:val="007E04A5"/>
    <w:pPr>
      <w:ind w:left="720"/>
      <w:contextualSpacing/>
    </w:pPr>
  </w:style>
  <w:style w:type="character" w:styleId="CommentReference">
    <w:name w:val="annotation reference"/>
    <w:basedOn w:val="DefaultParagraphFont"/>
    <w:semiHidden/>
    <w:unhideWhenUsed/>
    <w:rsid w:val="00D51EC3"/>
    <w:rPr>
      <w:sz w:val="16"/>
      <w:szCs w:val="16"/>
    </w:rPr>
  </w:style>
  <w:style w:type="paragraph" w:styleId="CommentText">
    <w:name w:val="annotation text"/>
    <w:basedOn w:val="Normal"/>
    <w:link w:val="CommentTextChar"/>
    <w:unhideWhenUsed/>
    <w:rsid w:val="00D51EC3"/>
    <w:rPr>
      <w:sz w:val="20"/>
    </w:rPr>
  </w:style>
  <w:style w:type="character" w:customStyle="1" w:styleId="CommentTextChar">
    <w:name w:val="Comment Text Char"/>
    <w:basedOn w:val="DefaultParagraphFont"/>
    <w:link w:val="CommentText"/>
    <w:rsid w:val="00D51EC3"/>
    <w:rPr>
      <w:rFonts w:ascii="Calibri" w:hAnsi="Calibri"/>
      <w:lang w:val="en-GB" w:eastAsia="en-US"/>
    </w:rPr>
  </w:style>
  <w:style w:type="paragraph" w:styleId="CommentSubject">
    <w:name w:val="annotation subject"/>
    <w:basedOn w:val="CommentText"/>
    <w:next w:val="CommentText"/>
    <w:link w:val="CommentSubjectChar"/>
    <w:semiHidden/>
    <w:unhideWhenUsed/>
    <w:rsid w:val="00D51EC3"/>
    <w:rPr>
      <w:b/>
      <w:bCs/>
    </w:rPr>
  </w:style>
  <w:style w:type="character" w:customStyle="1" w:styleId="CommentSubjectChar">
    <w:name w:val="Comment Subject Char"/>
    <w:basedOn w:val="CommentTextChar"/>
    <w:link w:val="CommentSubject"/>
    <w:semiHidden/>
    <w:rsid w:val="00D51EC3"/>
    <w:rPr>
      <w:rFonts w:ascii="Calibri" w:hAnsi="Calibri"/>
      <w:b/>
      <w:bCs/>
      <w:lang w:val="en-GB" w:eastAsia="en-US"/>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777777"/>
    <w:rPr>
      <w:rFonts w:ascii="Calibri" w:hAnsi="Calibri"/>
      <w:sz w:val="24"/>
      <w:lang w:val="en-GB" w:eastAsia="en-US"/>
    </w:rPr>
  </w:style>
  <w:style w:type="paragraph" w:styleId="NormalWeb">
    <w:name w:val="Normal (Web)"/>
    <w:basedOn w:val="Normal"/>
    <w:unhideWhenUsed/>
    <w:rsid w:val="0051413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general-secretariat/Pages/ISCG/default.aspx" TargetMode="External"/><Relationship Id="rId18" Type="http://schemas.openxmlformats.org/officeDocument/2006/relationships/hyperlink" Target="http://www.itu.int/md/meetingdoc.asp?lang=en&amp;parent=T25-TSAG-260126-TD-GEN-0318" TargetMode="External"/><Relationship Id="rId26" Type="http://schemas.openxmlformats.org/officeDocument/2006/relationships/hyperlink" Target="https://www.itu.int/md/S26-ISCG12026-C-0005/en" TargetMode="External"/><Relationship Id="rId21" Type="http://schemas.openxmlformats.org/officeDocument/2006/relationships/hyperlink" Target="https://www.itu.int/md/S26-ISCG12026-C-0009/e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S26-ISCG12026-C-0001/en" TargetMode="External"/><Relationship Id="rId17" Type="http://schemas.openxmlformats.org/officeDocument/2006/relationships/hyperlink" Target="https://www.itu.int/en/council/Documents/2026/TSAG-activity-report-presentation.pdf" TargetMode="External"/><Relationship Id="rId25" Type="http://schemas.openxmlformats.org/officeDocument/2006/relationships/hyperlink" Target="https://www.itu.int/md/S26-ISCG12026-C-0004/en" TargetMode="External"/><Relationship Id="rId33" Type="http://schemas.openxmlformats.org/officeDocument/2006/relationships/hyperlink" Target="https://www.itu.int/md/S26-ISCG12026-C-0012/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council/Documents/2026/ISCG-presentation.pdf" TargetMode="External"/><Relationship Id="rId20" Type="http://schemas.openxmlformats.org/officeDocument/2006/relationships/hyperlink" Target="https://www.itu.int/md/T25-TSAG-260126-TD-GEN-0220/en" TargetMode="External"/><Relationship Id="rId29" Type="http://schemas.openxmlformats.org/officeDocument/2006/relationships/hyperlink" Target="https://www.itu.int/md/S26-ISCG12026-C-000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cg@itu.int" TargetMode="External"/><Relationship Id="rId24" Type="http://schemas.openxmlformats.org/officeDocument/2006/relationships/hyperlink" Target="https://www.itu.int/md/S26-CWGFHR22-C-0017/en" TargetMode="External"/><Relationship Id="rId32" Type="http://schemas.openxmlformats.org/officeDocument/2006/relationships/hyperlink" Target="https://www.itu.int/md/S26-ISCG12026-C-0011/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council/Documents/basic-texts-2023/RES-191-E.pdf" TargetMode="External"/><Relationship Id="rId23" Type="http://schemas.openxmlformats.org/officeDocument/2006/relationships/hyperlink" Target="https://www.itu.int/md/S26-ISCG12026-C-0003/en" TargetMode="External"/><Relationship Id="rId28" Type="http://schemas.openxmlformats.org/officeDocument/2006/relationships/hyperlink" Target="https://www.itu.int/md/S26-ISCG12026-C-0008/en"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T25-TSAG-260126-TD-GEN-0276/en" TargetMode="External"/><Relationship Id="rId31" Type="http://schemas.openxmlformats.org/officeDocument/2006/relationships/hyperlink" Target="https://www.itu.int/md/S26-ISCG12026-C-000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ISCG12026-C-0002/en" TargetMode="External"/><Relationship Id="rId22" Type="http://schemas.openxmlformats.org/officeDocument/2006/relationships/hyperlink" Target="https://www.itu.int/md/S26-ISCG12026-C-0010/en" TargetMode="External"/><Relationship Id="rId27" Type="http://schemas.openxmlformats.org/officeDocument/2006/relationships/hyperlink" Target="https://www.itu.int/md/S26-ISCG12026-C-0006/en" TargetMode="External"/><Relationship Id="rId30" Type="http://schemas.openxmlformats.org/officeDocument/2006/relationships/hyperlink" Target="https://www.itu.int/md/S26-ISCG12026-C-0007/en"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4E00A-A34D-42B5-9E24-01D2C0655EC9}">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F12F1-1F94-470B-9445-F840C53E6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ISCG-TEMPLATE</Template>
  <TotalTime>1</TotalTime>
  <Pages>5</Pages>
  <Words>2704</Words>
  <Characters>12359</Characters>
  <Application>Microsoft Office Word</Application>
  <DocSecurity>4</DocSecurity>
  <Lines>386</Lines>
  <Paragraphs>456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14607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the first meeting 2026</dc:title>
  <dc:subject>ITU Council Working Group for strategic and financial plans 2028-2031</dc:subject>
  <dc:creator>Sukenik, Maria Victoria</dc:creator>
  <cp:keywords>ISCG</cp:keywords>
  <dc:description/>
  <cp:lastModifiedBy>GBS</cp:lastModifiedBy>
  <cp:revision>2</cp:revision>
  <dcterms:created xsi:type="dcterms:W3CDTF">2026-03-02T10:04:00Z</dcterms:created>
  <dcterms:modified xsi:type="dcterms:W3CDTF">2026-03-02T10:04:00Z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