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3D648ABF"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71598B" w:rsidRPr="00BA3838">
              <w:rPr>
                <w:b/>
                <w:lang w:val="fr-FR"/>
              </w:rPr>
              <w:t>1</w:t>
            </w:r>
            <w:r w:rsidR="00A757F7" w:rsidRPr="00BA3838">
              <w:rPr>
                <w:b/>
                <w:lang w:val="fr-FR"/>
              </w:rPr>
              <w:t>2</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760A2CB" w:rsidR="00AD3606" w:rsidRPr="00147C54" w:rsidRDefault="00B57C59" w:rsidP="00C07ECC">
            <w:pPr>
              <w:tabs>
                <w:tab w:val="left" w:pos="851"/>
              </w:tabs>
              <w:spacing w:before="0"/>
              <w:jc w:val="right"/>
              <w:rPr>
                <w:b/>
              </w:rPr>
            </w:pPr>
            <w:r>
              <w:rPr>
                <w:b/>
              </w:rPr>
              <w:t>28 January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73D8E736" w:rsidR="007E04A5" w:rsidRPr="00147C54" w:rsidRDefault="0071598B" w:rsidP="00C07ECC">
            <w:pPr>
              <w:pStyle w:val="Source"/>
              <w:framePr w:hSpace="0" w:wrap="auto" w:vAnchor="margin" w:hAnchor="text" w:xAlign="left" w:yAlign="inline"/>
            </w:pPr>
            <w:bookmarkStart w:id="8" w:name="dsource" w:colFirst="0" w:colLast="0"/>
            <w:bookmarkEnd w:id="7"/>
            <w:r w:rsidRPr="00FB470C">
              <w:t>Chair, Council Working Group on financial and human resources</w:t>
            </w:r>
          </w:p>
        </w:tc>
      </w:tr>
      <w:bookmarkEnd w:id="8"/>
      <w:tr w:rsidR="007E04A5" w:rsidRPr="00147C54" w14:paraId="16B8590D" w14:textId="77777777" w:rsidTr="00C07ECC">
        <w:trPr>
          <w:cantSplit/>
        </w:trPr>
        <w:tc>
          <w:tcPr>
            <w:tcW w:w="9639" w:type="dxa"/>
            <w:gridSpan w:val="2"/>
            <w:tcMar>
              <w:left w:w="0" w:type="dxa"/>
            </w:tcMar>
          </w:tcPr>
          <w:p w14:paraId="3EBDE99F" w14:textId="6A77D81B" w:rsidR="007E04A5" w:rsidRPr="00147C54" w:rsidRDefault="00D87565" w:rsidP="00C07ECC">
            <w:pPr>
              <w:pStyle w:val="Subtitle"/>
              <w:framePr w:hSpace="0" w:wrap="auto" w:xAlign="left" w:yAlign="inline"/>
            </w:pPr>
            <w:r w:rsidRPr="003A4B24">
              <w:t xml:space="preserve">LIAISON STATEMENT </w:t>
            </w:r>
            <w:r>
              <w:t xml:space="preserve">ON THE </w:t>
            </w:r>
            <w:r w:rsidRPr="003A4B24">
              <w:t>PROCESS FOR PROVIDING ESTIMATES OF THE FINANCIAL IMPLICATION OF PROPOSED DECISIONS AND RESOLUTIONS AT ITU CONFERENCES AND ASSEMBLIES</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7D8B3005" w:rsidR="005241E0" w:rsidRDefault="00F16BAB" w:rsidP="00C07ECC">
            <w:pPr>
              <w:spacing w:before="160" w:after="120"/>
              <w:rPr>
                <w:sz w:val="26"/>
                <w:szCs w:val="26"/>
              </w:rPr>
            </w:pPr>
            <w:bookmarkStart w:id="9"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proofErr w:type="gramStart"/>
            <w:r w:rsidR="005241E0" w:rsidRPr="005241E0">
              <w:rPr>
                <w:sz w:val="26"/>
                <w:szCs w:val="26"/>
              </w:rPr>
              <w:t>(</w:t>
            </w:r>
            <w:r w:rsidR="0071598B">
              <w:rPr>
                <w:sz w:val="26"/>
                <w:szCs w:val="26"/>
              </w:rPr>
              <w:t xml:space="preserve"> </w:t>
            </w:r>
            <w:r w:rsidR="005241E0" w:rsidRPr="005241E0">
              <w:rPr>
                <w:sz w:val="26"/>
                <w:szCs w:val="26"/>
              </w:rPr>
              <w:t>)</w:t>
            </w:r>
            <w:proofErr w:type="gramEnd"/>
            <w:r w:rsidR="005241E0" w:rsidRPr="005241E0">
              <w:rPr>
                <w:sz w:val="26"/>
                <w:szCs w:val="26"/>
              </w:rPr>
              <w:t xml:space="preserve"> / Discussion (</w:t>
            </w:r>
            <w:r w:rsidR="0071598B">
              <w:rPr>
                <w:sz w:val="26"/>
                <w:szCs w:val="26"/>
              </w:rPr>
              <w:t>X</w:t>
            </w:r>
            <w:r w:rsidR="005241E0" w:rsidRPr="005241E0">
              <w:rPr>
                <w:sz w:val="26"/>
                <w:szCs w:val="26"/>
              </w:rPr>
              <w:t xml:space="preserve">) / Proposal </w:t>
            </w:r>
            <w:proofErr w:type="gramStart"/>
            <w:r w:rsidR="005241E0" w:rsidRPr="005241E0">
              <w:rPr>
                <w:sz w:val="26"/>
                <w:szCs w:val="26"/>
              </w:rPr>
              <w:t>( )</w:t>
            </w:r>
            <w:proofErr w:type="gramEnd"/>
          </w:p>
          <w:p w14:paraId="393CFB80" w14:textId="5FBE3470" w:rsidR="00C307D5" w:rsidRPr="005241E0" w:rsidRDefault="0071598B" w:rsidP="00C307D5">
            <w:pPr>
              <w:spacing w:before="160" w:after="120"/>
              <w:rPr>
                <w:sz w:val="26"/>
                <w:szCs w:val="26"/>
              </w:rPr>
            </w:pPr>
            <w:r w:rsidRPr="00584D79">
              <w:rPr>
                <w:sz w:val="26"/>
                <w:szCs w:val="26"/>
              </w:rPr>
              <w:t xml:space="preserve">The liaison statement </w:t>
            </w:r>
            <w:r w:rsidRPr="009A1D36">
              <w:rPr>
                <w:rFonts w:cs="Calibri"/>
                <w:szCs w:val="24"/>
              </w:rPr>
              <w:t>request</w:t>
            </w:r>
            <w:r>
              <w:rPr>
                <w:rFonts w:cs="Calibri"/>
                <w:szCs w:val="24"/>
              </w:rPr>
              <w:t xml:space="preserve">s the Inter-Sector Coordination Group (ISCG) to </w:t>
            </w:r>
            <w:r w:rsidR="00AC38FD">
              <w:rPr>
                <w:rFonts w:cs="Calibri"/>
                <w:szCs w:val="24"/>
              </w:rPr>
              <w:t>comment</w:t>
            </w:r>
            <w:r w:rsidR="00AC38FD" w:rsidRPr="003A4B24">
              <w:rPr>
                <w:rFonts w:cs="Calibri"/>
              </w:rPr>
              <w:t xml:space="preserve"> on the implications of decisions and resolutions of conferences and assemblies on the ITU budget</w:t>
            </w:r>
            <w:r w:rsidR="008C22CE">
              <w:rPr>
                <w:rFonts w:cs="Calibri"/>
              </w:rPr>
              <w:t>.</w:t>
            </w:r>
          </w:p>
        </w:tc>
      </w:tr>
      <w:bookmarkEnd w:id="2"/>
      <w:bookmarkEnd w:id="3"/>
      <w:bookmarkEnd w:id="4"/>
      <w:bookmarkEnd w:id="5"/>
      <w:bookmarkEnd w:id="9"/>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p w14:paraId="6D99E194" w14:textId="77777777" w:rsidR="00F12A86" w:rsidRDefault="00CE0AE0" w:rsidP="008264DD">
      <w:pPr>
        <w:spacing w:before="240"/>
        <w:rPr>
          <w:rFonts w:asciiTheme="majorBidi" w:hAnsiTheme="majorBidi" w:cstheme="majorBidi"/>
        </w:rPr>
      </w:pPr>
      <w:r>
        <w:rPr>
          <w:rFonts w:asciiTheme="majorBidi" w:hAnsiTheme="majorBidi" w:cstheme="majorBidi"/>
          <w:noProof/>
        </w:rPr>
        <w:lastRenderedPageBreak/>
        <w:drawing>
          <wp:anchor distT="0" distB="0" distL="114300" distR="114300" simplePos="0" relativeHeight="251658240" behindDoc="0" locked="0" layoutInCell="1" allowOverlap="1" wp14:anchorId="65FF6236" wp14:editId="61114ED7">
            <wp:simplePos x="0" y="0"/>
            <wp:positionH relativeFrom="column">
              <wp:posOffset>625475</wp:posOffset>
            </wp:positionH>
            <wp:positionV relativeFrom="paragraph">
              <wp:posOffset>-28722</wp:posOffset>
            </wp:positionV>
            <wp:extent cx="4001135" cy="628650"/>
            <wp:effectExtent l="0" t="0" r="0" b="0"/>
            <wp:wrapNone/>
            <wp:docPr id="979685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1135" cy="628650"/>
                    </a:xfrm>
                    <a:prstGeom prst="rect">
                      <a:avLst/>
                    </a:prstGeom>
                    <a:noFill/>
                  </pic:spPr>
                </pic:pic>
              </a:graphicData>
            </a:graphic>
          </wp:anchor>
        </w:drawing>
      </w:r>
      <w:r w:rsidR="00B51029" w:rsidRPr="00B51029">
        <w:rPr>
          <w:noProof/>
        </w:rPr>
        <w:drawing>
          <wp:inline distT="0" distB="0" distL="0" distR="0" wp14:anchorId="1B2ABF4F" wp14:editId="68D1B4B0">
            <wp:extent cx="5760085" cy="1036320"/>
            <wp:effectExtent l="0" t="0" r="0" b="0"/>
            <wp:docPr id="1753565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036320"/>
                    </a:xfrm>
                    <a:prstGeom prst="rect">
                      <a:avLst/>
                    </a:prstGeom>
                    <a:noFill/>
                    <a:ln>
                      <a:noFill/>
                    </a:ln>
                  </pic:spPr>
                </pic:pic>
              </a:graphicData>
            </a:graphic>
          </wp:inline>
        </w:drawing>
      </w:r>
    </w:p>
    <w:p w14:paraId="0407EAE5" w14:textId="616590EF" w:rsidR="002B2D99" w:rsidRDefault="004A15BC" w:rsidP="00F12A86">
      <w:pPr>
        <w:spacing w:before="240"/>
        <w:jc w:val="both"/>
        <w:rPr>
          <w:rFonts w:asciiTheme="majorBidi" w:hAnsiTheme="majorBidi" w:cstheme="majorBidi"/>
        </w:rPr>
      </w:pPr>
      <w:r w:rsidRPr="004A15BC">
        <w:rPr>
          <w:noProof/>
        </w:rPr>
        <w:drawing>
          <wp:inline distT="0" distB="0" distL="0" distR="0" wp14:anchorId="5D4B63AF" wp14:editId="3561DF86">
            <wp:extent cx="5760085" cy="1045845"/>
            <wp:effectExtent l="0" t="0" r="0" b="1905"/>
            <wp:docPr id="5136998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1045845"/>
                    </a:xfrm>
                    <a:prstGeom prst="rect">
                      <a:avLst/>
                    </a:prstGeom>
                    <a:noFill/>
                    <a:ln>
                      <a:noFill/>
                    </a:ln>
                  </pic:spPr>
                </pic:pic>
              </a:graphicData>
            </a:graphic>
          </wp:inline>
        </w:drawing>
      </w:r>
    </w:p>
    <w:p w14:paraId="7889194D" w14:textId="10EBC569" w:rsidR="00F12A86" w:rsidRDefault="00435462" w:rsidP="00F12A86">
      <w:pPr>
        <w:spacing w:before="240"/>
        <w:jc w:val="both"/>
        <w:rPr>
          <w:rFonts w:asciiTheme="majorBidi" w:hAnsiTheme="majorBidi" w:cstheme="majorBidi"/>
        </w:rPr>
      </w:pPr>
      <w:r w:rsidRPr="00435462">
        <w:rPr>
          <w:noProof/>
        </w:rPr>
        <w:drawing>
          <wp:inline distT="0" distB="0" distL="0" distR="0" wp14:anchorId="56AFA956" wp14:editId="5600D7C6">
            <wp:extent cx="5760085" cy="2807335"/>
            <wp:effectExtent l="0" t="0" r="0" b="0"/>
            <wp:docPr id="2792751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2807335"/>
                    </a:xfrm>
                    <a:prstGeom prst="rect">
                      <a:avLst/>
                    </a:prstGeom>
                    <a:noFill/>
                    <a:ln>
                      <a:noFill/>
                    </a:ln>
                  </pic:spPr>
                </pic:pic>
              </a:graphicData>
            </a:graphic>
          </wp:inline>
        </w:drawing>
      </w:r>
    </w:p>
    <w:p w14:paraId="3A118EB4" w14:textId="77777777" w:rsidR="003C504E" w:rsidRPr="003C504E" w:rsidRDefault="003C504E" w:rsidP="003C504E">
      <w:pPr>
        <w:rPr>
          <w:rFonts w:eastAsia="SimSun"/>
        </w:rPr>
      </w:pPr>
      <w:r w:rsidRPr="003C504E">
        <w:rPr>
          <w:b/>
          <w:bCs/>
        </w:rPr>
        <w:t>Sent to:</w:t>
      </w:r>
      <w:r w:rsidRPr="003C504E">
        <w:rPr>
          <w:b/>
          <w:bCs/>
        </w:rPr>
        <w:tab/>
      </w:r>
      <w:r w:rsidRPr="003C504E">
        <w:rPr>
          <w:rFonts w:eastAsia="SimSun"/>
        </w:rPr>
        <w:t>Sector Advisory Groups (</w:t>
      </w:r>
      <w:r w:rsidRPr="003C504E">
        <w:t>RAG, TSAG, TDAG)</w:t>
      </w:r>
      <w:r w:rsidRPr="003C504E">
        <w:rPr>
          <w:rFonts w:eastAsia="SimSun"/>
        </w:rPr>
        <w:t xml:space="preserve"> and the Inter-Sector Coordination Group (ISCG)</w:t>
      </w:r>
    </w:p>
    <w:p w14:paraId="4E9C54B3" w14:textId="77777777" w:rsidR="003C504E" w:rsidRPr="003C504E" w:rsidRDefault="003C504E" w:rsidP="003C504E">
      <w:pPr>
        <w:rPr>
          <w:rFonts w:eastAsia="SimSun" w:cs="Calibri"/>
        </w:rPr>
      </w:pPr>
      <w:r w:rsidRPr="003C504E">
        <w:rPr>
          <w:rFonts w:eastAsia="SimSun" w:cs="Calibri"/>
          <w:b/>
          <w:bCs/>
        </w:rPr>
        <w:t xml:space="preserve">For: </w:t>
      </w:r>
      <w:r w:rsidRPr="003C504E">
        <w:rPr>
          <w:rFonts w:eastAsia="SimSun" w:cs="Calibri"/>
          <w:b/>
          <w:bCs/>
        </w:rPr>
        <w:tab/>
      </w:r>
      <w:r w:rsidRPr="003C504E">
        <w:rPr>
          <w:rFonts w:eastAsia="SimSun"/>
        </w:rPr>
        <w:t>Comment</w:t>
      </w:r>
    </w:p>
    <w:p w14:paraId="5E6A318A" w14:textId="77777777" w:rsidR="003C504E" w:rsidRPr="003C504E" w:rsidRDefault="003C504E" w:rsidP="003C504E">
      <w:pPr>
        <w:rPr>
          <w:rFonts w:eastAsia="SimSun" w:cs="Calibri"/>
        </w:rPr>
      </w:pPr>
      <w:r w:rsidRPr="003C504E">
        <w:rPr>
          <w:rFonts w:eastAsia="SimSun" w:cs="Calibri"/>
          <w:b/>
          <w:bCs/>
        </w:rPr>
        <w:t>By deadline:</w:t>
      </w:r>
      <w:r w:rsidRPr="003C504E">
        <w:rPr>
          <w:rFonts w:eastAsia="SimSun" w:cs="Calibri"/>
        </w:rPr>
        <w:tab/>
        <w:t xml:space="preserve">20 March </w:t>
      </w:r>
      <w:r w:rsidRPr="003C504E">
        <w:rPr>
          <w:rFonts w:eastAsia="SimSun"/>
        </w:rPr>
        <w:t>2026</w:t>
      </w:r>
    </w:p>
    <w:p w14:paraId="2AFB6528" w14:textId="77777777" w:rsidR="003C504E" w:rsidRPr="003C504E" w:rsidRDefault="003C504E" w:rsidP="003C504E">
      <w:pPr>
        <w:jc w:val="both"/>
        <w:rPr>
          <w:rFonts w:cs="Calibri"/>
        </w:rPr>
      </w:pPr>
      <w:r w:rsidRPr="003C504E">
        <w:rPr>
          <w:rFonts w:eastAsia="SimSun" w:cs="Calibri"/>
          <w:b/>
          <w:bCs/>
        </w:rPr>
        <w:t>Reference:</w:t>
      </w:r>
      <w:r w:rsidRPr="003C504E">
        <w:rPr>
          <w:rFonts w:eastAsia="SimSun" w:cs="Calibri"/>
        </w:rPr>
        <w:t xml:space="preserve"> [Documents </w:t>
      </w:r>
      <w:hyperlink r:id="rId15" w:history="1">
        <w:r w:rsidRPr="003C504E">
          <w:rPr>
            <w:rFonts w:eastAsia="SimSun" w:cs="Calibri"/>
            <w:color w:val="0563C1"/>
            <w:u w:val="single"/>
          </w:rPr>
          <w:t>CWG-FHR-22/7</w:t>
        </w:r>
      </w:hyperlink>
      <w:r w:rsidRPr="003C504E">
        <w:rPr>
          <w:rFonts w:eastAsia="SimSun" w:cs="Calibri"/>
        </w:rPr>
        <w:t xml:space="preserve"> </w:t>
      </w:r>
      <w:r w:rsidRPr="003C504E">
        <w:rPr>
          <w:rFonts w:eastAsia="SimSun"/>
        </w:rPr>
        <w:t>and</w:t>
      </w:r>
      <w:r w:rsidRPr="003C504E">
        <w:rPr>
          <w:rFonts w:eastAsia="SimSun" w:cs="Calibri"/>
        </w:rPr>
        <w:t xml:space="preserve"> </w:t>
      </w:r>
      <w:hyperlink r:id="rId16" w:history="1">
        <w:r w:rsidRPr="003C504E">
          <w:rPr>
            <w:rFonts w:eastAsia="SimSun" w:cs="Calibri"/>
            <w:color w:val="0563C1"/>
            <w:u w:val="single"/>
          </w:rPr>
          <w:t>CWG-FHR-21/3</w:t>
        </w:r>
      </w:hyperlink>
      <w:r w:rsidRPr="003C504E">
        <w:rPr>
          <w:rFonts w:eastAsia="SimSun" w:cs="Calibri"/>
        </w:rPr>
        <w:t xml:space="preserve">] </w:t>
      </w:r>
      <w:r w:rsidRPr="003C504E">
        <w:rPr>
          <w:rFonts w:cs="Calibri"/>
        </w:rPr>
        <w:t>– Liaison statement on the implications of decisions and resolutions of conferences and assemblies on the ITU budget.</w:t>
      </w:r>
    </w:p>
    <w:p w14:paraId="09648A33" w14:textId="77777777" w:rsidR="003C504E" w:rsidRPr="003C504E" w:rsidRDefault="003C504E" w:rsidP="003C504E">
      <w:r w:rsidRPr="003C504E">
        <w:rPr>
          <w:b/>
          <w:bCs/>
        </w:rPr>
        <w:t>Summary</w:t>
      </w:r>
    </w:p>
    <w:p w14:paraId="711671C2" w14:textId="77777777" w:rsidR="003C504E" w:rsidRPr="003C504E" w:rsidRDefault="003C504E" w:rsidP="003C504E">
      <w:pPr>
        <w:jc w:val="both"/>
        <w:rPr>
          <w:rFonts w:eastAsia="SimSun" w:cs="Calibri"/>
          <w:spacing w:val="-2"/>
        </w:rPr>
      </w:pPr>
      <w:r w:rsidRPr="003C504E">
        <w:rPr>
          <w:rFonts w:eastAsia="SimSun" w:cs="Calibri"/>
          <w:spacing w:val="-2"/>
        </w:rPr>
        <w:t>The Council Working Group on financial and human resources, during its meeting on 14</w:t>
      </w:r>
      <w:r w:rsidRPr="003C504E">
        <w:rPr>
          <w:rFonts w:eastAsia="SimSun" w:cs="Calibri"/>
          <w:spacing w:val="-2"/>
        </w:rPr>
        <w:noBreakHyphen/>
        <w:t xml:space="preserve">16 January 2026, </w:t>
      </w:r>
      <w:r w:rsidRPr="003C504E">
        <w:rPr>
          <w:rFonts w:eastAsia="SimSun"/>
          <w:spacing w:val="-2"/>
        </w:rPr>
        <w:t>examined</w:t>
      </w:r>
      <w:r w:rsidRPr="003C504E">
        <w:rPr>
          <w:rFonts w:eastAsia="SimSun" w:cs="Calibri"/>
          <w:spacing w:val="-2"/>
        </w:rPr>
        <w:t xml:space="preserve"> and discussed Document </w:t>
      </w:r>
      <w:hyperlink r:id="rId17" w:history="1">
        <w:r w:rsidRPr="003C504E">
          <w:rPr>
            <w:rFonts w:eastAsia="SimSun" w:cs="Calibri"/>
            <w:color w:val="0563C1"/>
            <w:spacing w:val="-2"/>
            <w:u w:val="single"/>
          </w:rPr>
          <w:t>CWG-FHR-22/7</w:t>
        </w:r>
      </w:hyperlink>
      <w:r w:rsidRPr="003C504E">
        <w:rPr>
          <w:rFonts w:eastAsia="SimSun" w:cs="Calibri"/>
          <w:spacing w:val="-2"/>
        </w:rPr>
        <w:t xml:space="preserve"> on the topic of financial implications of WTDC-25 using the methodology proposed in Document </w:t>
      </w:r>
      <w:hyperlink r:id="rId18" w:history="1">
        <w:r w:rsidRPr="003C504E">
          <w:rPr>
            <w:rFonts w:eastAsia="SimSun" w:cs="Calibri"/>
            <w:color w:val="0563C1"/>
            <w:spacing w:val="-2"/>
            <w:u w:val="single"/>
          </w:rPr>
          <w:t>CWG-FHR-21/3</w:t>
        </w:r>
      </w:hyperlink>
      <w:r w:rsidRPr="003C504E">
        <w:rPr>
          <w:rFonts w:eastAsia="SimSun" w:cs="Calibri"/>
          <w:spacing w:val="-2"/>
        </w:rPr>
        <w:t xml:space="preserve"> to estimate the financial implications of decisions and resolutions at ITU conferences and assemblies to member states can understand their budget impact when agreeing to such decisions and resolutions.</w:t>
      </w:r>
    </w:p>
    <w:p w14:paraId="05171844" w14:textId="77777777" w:rsidR="003C504E" w:rsidRPr="003C504E" w:rsidRDefault="003C504E" w:rsidP="003C504E">
      <w:pPr>
        <w:jc w:val="both"/>
        <w:rPr>
          <w:i/>
          <w:iCs/>
          <w:sz w:val="22"/>
          <w:szCs w:val="22"/>
        </w:rPr>
      </w:pPr>
      <w:r w:rsidRPr="003C504E">
        <w:rPr>
          <w:rFonts w:eastAsia="SimSun" w:cs="Calibri"/>
        </w:rPr>
        <w:t>The CWG-FHR would like to request that the Sector Advisory Groups and the Inter-Sector Coordination Group (</w:t>
      </w:r>
      <w:r w:rsidRPr="003C504E">
        <w:rPr>
          <w:rFonts w:eastAsia="SimSun"/>
        </w:rPr>
        <w:t>ISCG</w:t>
      </w:r>
      <w:r w:rsidRPr="003C504E">
        <w:rPr>
          <w:rFonts w:eastAsia="SimSun" w:cs="Calibri"/>
        </w:rPr>
        <w:t xml:space="preserve">) provide comments on this document to be submitted as input to the next meeting of the Council (see </w:t>
      </w:r>
      <w:hyperlink w:anchor="Annex" w:history="1">
        <w:r w:rsidRPr="003C504E">
          <w:rPr>
            <w:rFonts w:eastAsia="SimSun" w:cs="Calibri"/>
            <w:color w:val="0563C1"/>
            <w:u w:val="single"/>
          </w:rPr>
          <w:t>Annex</w:t>
        </w:r>
      </w:hyperlink>
      <w:r w:rsidRPr="003C504E">
        <w:rPr>
          <w:rFonts w:eastAsia="SimSun" w:cs="Calibri"/>
        </w:rPr>
        <w:t>).</w:t>
      </w:r>
    </w:p>
    <w:p w14:paraId="620A94AF" w14:textId="77777777" w:rsidR="003C504E" w:rsidRPr="003C504E" w:rsidRDefault="003C504E" w:rsidP="003C504E">
      <w:r w:rsidRPr="003C504E">
        <w:lastRenderedPageBreak/>
        <w:t>_______________</w:t>
      </w:r>
    </w:p>
    <w:p w14:paraId="4AF6EF51" w14:textId="77777777" w:rsidR="003C504E" w:rsidRPr="003C504E" w:rsidRDefault="003C504E" w:rsidP="003C504E">
      <w:pPr>
        <w:tabs>
          <w:tab w:val="clear" w:pos="567"/>
          <w:tab w:val="clear" w:pos="1134"/>
          <w:tab w:val="clear" w:pos="1701"/>
          <w:tab w:val="clear" w:pos="2268"/>
          <w:tab w:val="clear" w:pos="2835"/>
          <w:tab w:val="left" w:pos="426"/>
        </w:tabs>
        <w:overflowPunct/>
        <w:autoSpaceDE/>
        <w:autoSpaceDN/>
        <w:adjustRightInd/>
        <w:textAlignment w:val="auto"/>
        <w:rPr>
          <w:rFonts w:eastAsia="SimSun"/>
        </w:rPr>
      </w:pPr>
      <w:r w:rsidRPr="003C504E">
        <w:rPr>
          <w:rFonts w:eastAsia="SimSun"/>
          <w:b/>
          <w:bCs/>
        </w:rPr>
        <w:t>Contact:</w:t>
      </w:r>
    </w:p>
    <w:p w14:paraId="7E47C5EC" w14:textId="77777777" w:rsidR="003C504E" w:rsidRPr="003C504E" w:rsidRDefault="003C504E" w:rsidP="003C504E">
      <w:pPr>
        <w:tabs>
          <w:tab w:val="clear" w:pos="567"/>
          <w:tab w:val="clear" w:pos="1134"/>
          <w:tab w:val="clear" w:pos="1701"/>
          <w:tab w:val="clear" w:pos="2268"/>
          <w:tab w:val="clear" w:pos="2835"/>
          <w:tab w:val="left" w:pos="426"/>
        </w:tabs>
        <w:overflowPunct/>
        <w:autoSpaceDE/>
        <w:autoSpaceDN/>
        <w:adjustRightInd/>
        <w:textAlignment w:val="auto"/>
      </w:pPr>
      <w:r w:rsidRPr="003C504E">
        <w:rPr>
          <w:rFonts w:eastAsia="SimSun"/>
        </w:rPr>
        <w:t>Ms Vernita Harris, Chair, CWG-FHR</w:t>
      </w:r>
      <w:r w:rsidRPr="003C504E">
        <w:rPr>
          <w:rFonts w:eastAsia="SimSun"/>
        </w:rPr>
        <w:br/>
        <w:t xml:space="preserve">E-mail: </w:t>
      </w:r>
      <w:hyperlink r:id="rId19" w:history="1">
        <w:r w:rsidRPr="003C504E">
          <w:rPr>
            <w:rFonts w:eastAsia="SimSun"/>
            <w:color w:val="0563C1"/>
            <w:u w:val="single"/>
          </w:rPr>
          <w:t>vdharris@protonmail.com</w:t>
        </w:r>
      </w:hyperlink>
    </w:p>
    <w:p w14:paraId="2280E439" w14:textId="77777777" w:rsidR="003C504E" w:rsidRPr="003C504E" w:rsidRDefault="003C504E" w:rsidP="003C504E">
      <w:pPr>
        <w:tabs>
          <w:tab w:val="clear" w:pos="567"/>
          <w:tab w:val="clear" w:pos="1134"/>
          <w:tab w:val="clear" w:pos="1701"/>
          <w:tab w:val="clear" w:pos="2268"/>
          <w:tab w:val="clear" w:pos="2835"/>
        </w:tabs>
        <w:overflowPunct/>
        <w:autoSpaceDE/>
        <w:autoSpaceDN/>
        <w:adjustRightInd/>
        <w:spacing w:before="0"/>
        <w:textAlignment w:val="auto"/>
      </w:pPr>
      <w:r w:rsidRPr="003C504E">
        <w:br w:type="page"/>
      </w:r>
    </w:p>
    <w:p w14:paraId="45C0315A" w14:textId="77777777" w:rsidR="003C504E" w:rsidRPr="003C504E" w:rsidRDefault="003C504E" w:rsidP="003C504E">
      <w:pPr>
        <w:spacing w:before="360" w:after="480"/>
        <w:jc w:val="center"/>
        <w:rPr>
          <w:rFonts w:cs="Calibri"/>
          <w:b/>
          <w:caps/>
          <w:sz w:val="28"/>
          <w:szCs w:val="28"/>
        </w:rPr>
      </w:pPr>
      <w:bookmarkStart w:id="10" w:name="Annex"/>
      <w:r w:rsidRPr="003C504E">
        <w:rPr>
          <w:rFonts w:cs="Calibri"/>
          <w:caps/>
          <w:sz w:val="28"/>
          <w:szCs w:val="28"/>
        </w:rPr>
        <w:lastRenderedPageBreak/>
        <w:t>Annex</w:t>
      </w:r>
      <w:bookmarkEnd w:id="10"/>
    </w:p>
    <w:p w14:paraId="793230F1" w14:textId="77777777" w:rsidR="003C504E" w:rsidRPr="003C504E" w:rsidRDefault="003C504E" w:rsidP="003C504E">
      <w:pPr>
        <w:keepNext/>
        <w:keepLines/>
        <w:spacing w:before="160"/>
        <w:outlineLvl w:val="0"/>
        <w:rPr>
          <w:b/>
        </w:rPr>
      </w:pPr>
      <w:r w:rsidRPr="003C504E">
        <w:rPr>
          <w:b/>
        </w:rPr>
        <w:t>Abstract</w:t>
      </w:r>
    </w:p>
    <w:p w14:paraId="158C994C" w14:textId="77777777" w:rsidR="003C504E" w:rsidRPr="003C504E" w:rsidRDefault="003C504E" w:rsidP="003C504E">
      <w:pPr>
        <w:jc w:val="both"/>
      </w:pPr>
      <w:r w:rsidRPr="003C504E">
        <w:t xml:space="preserve">This liaison statement is a request from the Council Working Group on financial and human resources (CWG-FHR) to the Sector Advisory Bodies to add an agenda item to their upcoming meetings in 2026 to consult Member States and Sector Members (including Associates and Academia) on ways to strengthen </w:t>
      </w:r>
      <w:r w:rsidRPr="003C504E">
        <w:rPr>
          <w:rFonts w:eastAsia="SimSun"/>
        </w:rPr>
        <w:t>estimates for the financial implications of decisions and resolutions at ITU conferences and assemblies in order for Members to take informed decisions on the outcomes of those events</w:t>
      </w:r>
      <w:r w:rsidRPr="003C504E">
        <w:t>. These inputs from the Sector Advisory Groups would help inform potential recommendations for the Council.</w:t>
      </w:r>
    </w:p>
    <w:p w14:paraId="4DE1A2F1" w14:textId="77777777" w:rsidR="003C504E" w:rsidRPr="003C504E" w:rsidRDefault="003C504E" w:rsidP="003C504E">
      <w:pPr>
        <w:keepNext/>
        <w:keepLines/>
        <w:spacing w:before="160"/>
        <w:outlineLvl w:val="0"/>
        <w:rPr>
          <w:b/>
        </w:rPr>
      </w:pPr>
      <w:r w:rsidRPr="003C504E">
        <w:rPr>
          <w:b/>
        </w:rPr>
        <w:t>Keywords</w:t>
      </w:r>
    </w:p>
    <w:p w14:paraId="6434E971" w14:textId="77777777" w:rsidR="003C504E" w:rsidRPr="003C504E" w:rsidRDefault="003C504E" w:rsidP="003C504E">
      <w:pPr>
        <w:jc w:val="both"/>
        <w:rPr>
          <w:rFonts w:cs="Calibri"/>
          <w:szCs w:val="24"/>
        </w:rPr>
      </w:pPr>
      <w:r w:rsidRPr="003C504E">
        <w:rPr>
          <w:rFonts w:cs="Calibri"/>
          <w:szCs w:val="24"/>
        </w:rPr>
        <w:t>Sector Membership, financial, estimate, budget, resolutions</w:t>
      </w:r>
    </w:p>
    <w:p w14:paraId="5CEC717C" w14:textId="77777777" w:rsidR="003C504E" w:rsidRPr="003C504E" w:rsidRDefault="003C504E" w:rsidP="003C504E">
      <w:pPr>
        <w:jc w:val="both"/>
        <w:rPr>
          <w:rFonts w:cs="Calibri"/>
          <w:szCs w:val="24"/>
        </w:rPr>
      </w:pPr>
      <w:r w:rsidRPr="003C504E">
        <w:rPr>
          <w:rFonts w:cs="Calibri"/>
          <w:b/>
          <w:bCs/>
          <w:szCs w:val="24"/>
        </w:rPr>
        <w:t>For action to:</w:t>
      </w:r>
      <w:r w:rsidRPr="003C504E">
        <w:rPr>
          <w:rFonts w:cs="Calibri"/>
          <w:szCs w:val="24"/>
        </w:rPr>
        <w:t xml:space="preserve"> RAG, TSAG, TDAG, ISCG </w:t>
      </w:r>
    </w:p>
    <w:p w14:paraId="75CA8F4A" w14:textId="77777777" w:rsidR="003C504E" w:rsidRPr="003C504E" w:rsidRDefault="003C504E" w:rsidP="003C504E">
      <w:pPr>
        <w:keepNext/>
        <w:keepLines/>
        <w:spacing w:before="160"/>
        <w:outlineLvl w:val="0"/>
        <w:rPr>
          <w:b/>
        </w:rPr>
      </w:pPr>
      <w:r w:rsidRPr="003C504E">
        <w:rPr>
          <w:b/>
        </w:rPr>
        <w:t>Financial implications of decisions and resolutions from ITU conferences and assemblies</w:t>
      </w:r>
    </w:p>
    <w:p w14:paraId="76E803A3" w14:textId="77777777" w:rsidR="003C504E" w:rsidRPr="003C504E" w:rsidRDefault="003C504E" w:rsidP="003C504E">
      <w:pPr>
        <w:jc w:val="both"/>
        <w:rPr>
          <w:rFonts w:cs="Calibri"/>
          <w:szCs w:val="24"/>
        </w:rPr>
      </w:pPr>
      <w:r w:rsidRPr="003C504E">
        <w:rPr>
          <w:rFonts w:cs="Calibri"/>
          <w:szCs w:val="24"/>
        </w:rPr>
        <w:t>At Council 2025, the Secretary-</w:t>
      </w:r>
      <w:r w:rsidRPr="003C504E">
        <w:t>General</w:t>
      </w:r>
      <w:r w:rsidRPr="003C504E">
        <w:rPr>
          <w:rFonts w:cs="Calibri"/>
          <w:szCs w:val="24"/>
        </w:rPr>
        <w:t xml:space="preserve"> presented a methodology for provision of estimates of the financial implications of proposed decisions and resolutions at ITU conferences and assemblies to Council 2025 (Doc. </w:t>
      </w:r>
      <w:hyperlink r:id="rId20" w:history="1">
        <w:r w:rsidRPr="003C504E">
          <w:rPr>
            <w:rFonts w:eastAsia="SimSun" w:cs="Calibri"/>
            <w:color w:val="0563C1"/>
            <w:szCs w:val="24"/>
            <w:u w:val="single"/>
          </w:rPr>
          <w:t>CWG-FHR 21/3</w:t>
        </w:r>
      </w:hyperlink>
      <w:r w:rsidRPr="003C504E">
        <w:rPr>
          <w:rFonts w:cs="Calibri"/>
          <w:szCs w:val="24"/>
        </w:rPr>
        <w:t>). In response to outcomes from the WTDC</w:t>
      </w:r>
      <w:r w:rsidRPr="003C504E">
        <w:rPr>
          <w:rFonts w:cs="Calibri"/>
          <w:szCs w:val="24"/>
        </w:rPr>
        <w:noBreakHyphen/>
        <w:t xml:space="preserve">25 budget committee (COM3), the Secretariat analysed the financial outcomes of WTDC accordingly and presented an initial budget estimate for the outcomes of WTDC-25 during CWG-FHR (Doc. </w:t>
      </w:r>
      <w:hyperlink r:id="rId21" w:history="1">
        <w:r w:rsidRPr="003C504E">
          <w:rPr>
            <w:rFonts w:eastAsia="SimSun" w:cs="Calibri"/>
            <w:color w:val="0563C1"/>
            <w:szCs w:val="24"/>
            <w:u w:val="single"/>
          </w:rPr>
          <w:t>CWG-FHR 22/7</w:t>
        </w:r>
      </w:hyperlink>
      <w:r w:rsidRPr="003C504E">
        <w:rPr>
          <w:rFonts w:eastAsia="SimSun" w:cs="Calibri"/>
          <w:szCs w:val="24"/>
        </w:rPr>
        <w:t xml:space="preserve">). </w:t>
      </w:r>
    </w:p>
    <w:p w14:paraId="3DE08ADD" w14:textId="77777777" w:rsidR="003C504E" w:rsidRPr="003C504E" w:rsidRDefault="003C504E" w:rsidP="003C504E">
      <w:pPr>
        <w:jc w:val="both"/>
        <w:rPr>
          <w:rFonts w:eastAsia="SimSun" w:cs="Calibri"/>
          <w:b/>
          <w:bCs/>
          <w:szCs w:val="24"/>
        </w:rPr>
      </w:pPr>
      <w:r w:rsidRPr="003C504E">
        <w:rPr>
          <w:rFonts w:eastAsia="SimSun" w:cs="Calibri"/>
          <w:szCs w:val="24"/>
        </w:rPr>
        <w:t xml:space="preserve">During Council 2025 and multiple sessions of CWG-FHR, Councillors noted that for Members to meet the requirements in Article 34, they need to understand the financial impact of proposed decisions and </w:t>
      </w:r>
      <w:r w:rsidRPr="003C504E">
        <w:t>resolutions</w:t>
      </w:r>
      <w:r w:rsidRPr="003C504E">
        <w:rPr>
          <w:rFonts w:eastAsia="SimSun" w:cs="Calibri"/>
          <w:szCs w:val="24"/>
        </w:rPr>
        <w:t xml:space="preserve"> before approving them at conferences and assemblies.  CWG-FHR will recommend in its four-year report to PP-26 (through Council) that that the PP recommend how Members can fully implement Article 34. Article 34 states:</w:t>
      </w:r>
    </w:p>
    <w:p w14:paraId="6A3C037E" w14:textId="77777777" w:rsidR="003C504E" w:rsidRPr="003C504E" w:rsidRDefault="003C504E" w:rsidP="003C504E">
      <w:pPr>
        <w:spacing w:before="80"/>
        <w:ind w:left="567" w:hanging="567"/>
        <w:jc w:val="both"/>
        <w:rPr>
          <w:rFonts w:eastAsia="Calibri"/>
        </w:rPr>
      </w:pPr>
      <w:r w:rsidRPr="003C504E">
        <w:rPr>
          <w:rFonts w:eastAsia="Calibri"/>
        </w:rPr>
        <w:t>1</w:t>
      </w:r>
      <w:r w:rsidRPr="003C504E">
        <w:rPr>
          <w:rFonts w:eastAsia="Calibri"/>
        </w:rPr>
        <w:tab/>
        <w:t>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1B5EF65B" w14:textId="77777777" w:rsidR="003C504E" w:rsidRPr="003C504E" w:rsidRDefault="003C504E" w:rsidP="003C504E">
      <w:pPr>
        <w:spacing w:before="80"/>
        <w:ind w:left="567" w:hanging="567"/>
        <w:jc w:val="both"/>
        <w:rPr>
          <w:rFonts w:eastAsia="Calibri"/>
        </w:rPr>
      </w:pPr>
      <w:r w:rsidRPr="003C504E">
        <w:rPr>
          <w:rFonts w:eastAsia="Calibri"/>
        </w:rPr>
        <w:t>2</w:t>
      </w:r>
      <w:r w:rsidRPr="003C504E">
        <w:rPr>
          <w:rFonts w:eastAsia="Calibri"/>
        </w:rPr>
        <w:tab/>
        <w:t>No decision of a conference shall be put into effect if it will result in a direct or indirect increase in expenses beyond the credits that the Council is empowered to authorize.</w:t>
      </w:r>
    </w:p>
    <w:p w14:paraId="251DC505" w14:textId="77777777" w:rsidR="003C504E" w:rsidRPr="003C504E" w:rsidRDefault="003C504E" w:rsidP="003C504E">
      <w:pPr>
        <w:jc w:val="both"/>
        <w:rPr>
          <w:rFonts w:cs="Calibri"/>
          <w:szCs w:val="24"/>
        </w:rPr>
      </w:pPr>
      <w:r w:rsidRPr="003C504E">
        <w:rPr>
          <w:rFonts w:cs="Calibri"/>
          <w:szCs w:val="24"/>
        </w:rPr>
        <w:t xml:space="preserve">To improve the process by </w:t>
      </w:r>
      <w:r w:rsidRPr="003C504E">
        <w:t>which</w:t>
      </w:r>
      <w:r w:rsidRPr="003C504E">
        <w:rPr>
          <w:rFonts w:cs="Calibri"/>
          <w:szCs w:val="24"/>
        </w:rPr>
        <w:t xml:space="preserve"> Members and Secretariat can estimate such financial impacts of conferences and assemblies, including any streamlining and cost saving opportunities, CWG-FHR invites the Sector Advisory Groups to add an agenda item to their upcoming meetings in 2026 to consult Member States and Sector Members (including Associates and Academia) on ways to strengthen </w:t>
      </w:r>
      <w:r w:rsidRPr="003C504E">
        <w:rPr>
          <w:rFonts w:eastAsia="SimSun" w:cs="Calibri"/>
          <w:szCs w:val="24"/>
        </w:rPr>
        <w:t>estimates for the financial implications of decisions and resolutions at ITU conferences and assemblies in order for Members to take informed decisions on the outcomes of those events</w:t>
      </w:r>
      <w:r w:rsidRPr="003C504E">
        <w:rPr>
          <w:rFonts w:cs="Calibri"/>
          <w:szCs w:val="24"/>
        </w:rPr>
        <w:t>.</w:t>
      </w:r>
    </w:p>
    <w:p w14:paraId="021C20FE" w14:textId="0EC2A721" w:rsidR="003C504E" w:rsidRPr="003C504E" w:rsidRDefault="00BA3838" w:rsidP="00BA3838">
      <w:pPr>
        <w:jc w:val="center"/>
      </w:pPr>
      <w:r>
        <w:t>_______________</w:t>
      </w:r>
    </w:p>
    <w:p w14:paraId="44A82354" w14:textId="4389CE3D" w:rsidR="007E04A5" w:rsidRPr="00B01BAF" w:rsidRDefault="007E04A5" w:rsidP="004D65AD">
      <w:pPr>
        <w:spacing w:before="240" w:after="240"/>
        <w:rPr>
          <w:rFonts w:asciiTheme="majorBidi" w:hAnsiTheme="majorBidi" w:cstheme="majorBidi"/>
          <w:szCs w:val="24"/>
          <w:lang w:val="en-US"/>
        </w:rPr>
      </w:pPr>
    </w:p>
    <w:sectPr w:rsidR="007E04A5" w:rsidRPr="00B01BAF" w:rsidSect="00E35B15">
      <w:footerReference w:type="default" r:id="rId22"/>
      <w:headerReference w:type="first" r:id="rId23"/>
      <w:footerReference w:type="first" r:id="rId24"/>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CF11" w14:textId="77777777" w:rsidR="001A29DF" w:rsidRDefault="001A29DF">
      <w:r>
        <w:separator/>
      </w:r>
    </w:p>
  </w:endnote>
  <w:endnote w:type="continuationSeparator" w:id="0">
    <w:p w14:paraId="0F5450E2" w14:textId="77777777" w:rsidR="001A29DF" w:rsidRDefault="001A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A3838" w:rsidRPr="00BA3838" w14:paraId="5DDE3E07" w14:textId="77777777" w:rsidTr="0013467A">
      <w:trPr>
        <w:jc w:val="center"/>
      </w:trPr>
      <w:tc>
        <w:tcPr>
          <w:tcW w:w="1803" w:type="dxa"/>
          <w:vAlign w:val="center"/>
        </w:tcPr>
        <w:p w14:paraId="36932DDC" w14:textId="77777777" w:rsidR="00BA3838" w:rsidRPr="00BA3838" w:rsidRDefault="00BA3838" w:rsidP="00BA3838">
          <w:pPr>
            <w:pStyle w:val="Header"/>
            <w:tabs>
              <w:tab w:val="left" w:pos="8080"/>
              <w:tab w:val="right" w:pos="9072"/>
            </w:tabs>
            <w:rPr>
              <w:rFonts w:eastAsia="Times New Roman" w:cs="Times New Roman"/>
              <w:bCs/>
              <w:szCs w:val="20"/>
            </w:rPr>
          </w:pPr>
        </w:p>
      </w:tc>
      <w:tc>
        <w:tcPr>
          <w:tcW w:w="8261" w:type="dxa"/>
        </w:tcPr>
        <w:p w14:paraId="47533327" w14:textId="60FA3AB9" w:rsidR="00BA3838" w:rsidRPr="00BA3838" w:rsidRDefault="00BA3838" w:rsidP="00BA3838">
          <w:pPr>
            <w:pStyle w:val="Header"/>
            <w:tabs>
              <w:tab w:val="left" w:pos="6474"/>
              <w:tab w:val="right" w:pos="9072"/>
            </w:tabs>
            <w:jc w:val="left"/>
            <w:rPr>
              <w:rFonts w:eastAsia="Times New Roman" w:cs="Times New Roman"/>
              <w:b/>
              <w:bCs/>
              <w:szCs w:val="20"/>
              <w:lang w:val="es-ES"/>
            </w:rPr>
          </w:pPr>
          <w:r w:rsidRPr="00BA3838">
            <w:rPr>
              <w:rFonts w:eastAsia="Times New Roman" w:cs="Times New Roman"/>
              <w:bCs/>
              <w:szCs w:val="20"/>
              <w:lang w:val="fr-CH"/>
            </w:rPr>
            <w:tab/>
          </w:r>
          <w:r w:rsidRPr="00BA3838">
            <w:rPr>
              <w:rFonts w:eastAsia="Times New Roman" w:cs="Times New Roman"/>
              <w:bCs/>
              <w:szCs w:val="20"/>
              <w:lang w:val="es-ES"/>
            </w:rPr>
            <w:t>ISCG/26-1/</w:t>
          </w:r>
          <w:r>
            <w:rPr>
              <w:rFonts w:eastAsia="Times New Roman" w:cs="Times New Roman"/>
              <w:bCs/>
              <w:szCs w:val="20"/>
              <w:lang w:val="es-ES"/>
            </w:rPr>
            <w:t>12</w:t>
          </w:r>
          <w:r w:rsidRPr="00BA3838">
            <w:rPr>
              <w:rFonts w:eastAsia="Times New Roman" w:cs="Times New Roman"/>
              <w:bCs/>
              <w:szCs w:val="20"/>
              <w:lang w:val="es-ES"/>
            </w:rPr>
            <w:t>-E</w:t>
          </w:r>
          <w:r w:rsidRPr="00BA3838">
            <w:rPr>
              <w:rFonts w:eastAsia="Times New Roman" w:cs="Times New Roman"/>
              <w:bCs/>
              <w:szCs w:val="20"/>
              <w:lang w:val="es-ES"/>
            </w:rPr>
            <w:tab/>
            <w:t>2</w:t>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BA3838" w:rsidRPr="00BA3838" w14:paraId="4FBB954A" w14:textId="77777777" w:rsidTr="0013467A">
      <w:trPr>
        <w:jc w:val="center"/>
      </w:trPr>
      <w:tc>
        <w:tcPr>
          <w:tcW w:w="7326" w:type="dxa"/>
          <w:vAlign w:val="center"/>
        </w:tcPr>
        <w:p w14:paraId="179C4669" w14:textId="77777777" w:rsidR="00BA3838" w:rsidRPr="00BA3838" w:rsidRDefault="00BA3838" w:rsidP="00BA3838">
          <w:pPr>
            <w:pStyle w:val="Header"/>
            <w:tabs>
              <w:tab w:val="left" w:pos="8080"/>
              <w:tab w:val="right" w:pos="9072"/>
            </w:tabs>
            <w:jc w:val="left"/>
            <w:rPr>
              <w:rFonts w:eastAsia="Times New Roman" w:cs="Times New Roman"/>
              <w:bCs/>
              <w:szCs w:val="20"/>
            </w:rPr>
          </w:pPr>
          <w:hyperlink r:id="rId1" w:history="1">
            <w:r w:rsidRPr="00BA3838">
              <w:rPr>
                <w:rStyle w:val="Hyperlink"/>
                <w:bCs/>
              </w:rPr>
              <w:t>https://www.itu.int/en/general-secretariat/Pages/ISCG/</w:t>
            </w:r>
          </w:hyperlink>
          <w:r w:rsidRPr="00BA3838">
            <w:rPr>
              <w:rFonts w:eastAsia="Times New Roman" w:cs="Times New Roman"/>
              <w:bCs/>
              <w:szCs w:val="20"/>
            </w:rPr>
            <w:t xml:space="preserve"> </w:t>
          </w:r>
        </w:p>
      </w:tc>
      <w:tc>
        <w:tcPr>
          <w:tcW w:w="2738" w:type="dxa"/>
        </w:tcPr>
        <w:p w14:paraId="6145D9A6" w14:textId="77777777" w:rsidR="00BA3838" w:rsidRPr="00BA3838" w:rsidRDefault="00BA3838" w:rsidP="00BA3838">
          <w:pPr>
            <w:pStyle w:val="Header"/>
            <w:tabs>
              <w:tab w:val="left" w:pos="8080"/>
              <w:tab w:val="right" w:pos="9072"/>
            </w:tabs>
            <w:jc w:val="right"/>
            <w:rPr>
              <w:rFonts w:eastAsia="Times New Roman" w:cs="Times New Roman"/>
              <w:b/>
              <w:bCs/>
              <w:szCs w:val="20"/>
              <w:lang w:val="es-ES"/>
            </w:rPr>
          </w:pPr>
          <w:r w:rsidRPr="00BA3838">
            <w:rPr>
              <w:rFonts w:eastAsia="Times New Roman" w:cs="Times New Roman"/>
              <w:bCs/>
              <w:szCs w:val="20"/>
            </w:rPr>
            <w:fldChar w:fldCharType="begin"/>
          </w:r>
          <w:r w:rsidRPr="00BA3838">
            <w:rPr>
              <w:rFonts w:eastAsia="Times New Roman" w:cs="Times New Roman"/>
              <w:bCs/>
              <w:szCs w:val="20"/>
              <w:lang w:val="es-ES"/>
            </w:rPr>
            <w:instrText>PAGE</w:instrText>
          </w:r>
          <w:r w:rsidRPr="00BA3838">
            <w:rPr>
              <w:rFonts w:eastAsia="Times New Roman" w:cs="Times New Roman"/>
              <w:bCs/>
              <w:szCs w:val="20"/>
            </w:rPr>
            <w:fldChar w:fldCharType="separate"/>
          </w:r>
          <w:r w:rsidRPr="00BA3838">
            <w:rPr>
              <w:rFonts w:eastAsia="Times New Roman" w:cs="Times New Roman"/>
              <w:bCs/>
              <w:szCs w:val="20"/>
              <w:lang w:val="es-ES"/>
            </w:rPr>
            <w:t>1</w:t>
          </w:r>
          <w:r w:rsidRPr="00BA3838">
            <w:rPr>
              <w:rFonts w:eastAsia="Times New Roman" w:cs="Times New Roman"/>
              <w:bCs/>
              <w:szCs w:val="20"/>
              <w:lang w:val="es-ES"/>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118C" w14:textId="77777777" w:rsidR="001A29DF" w:rsidRDefault="001A29DF">
      <w:r>
        <w:t>____________________</w:t>
      </w:r>
    </w:p>
  </w:footnote>
  <w:footnote w:type="continuationSeparator" w:id="0">
    <w:p w14:paraId="6616C8A0" w14:textId="77777777" w:rsidR="001A29DF" w:rsidRDefault="001A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A3838" w:rsidRPr="00784011" w14:paraId="10C25DCF" w14:textId="77777777" w:rsidTr="0013467A">
      <w:trPr>
        <w:trHeight w:val="1304"/>
        <w:jc w:val="center"/>
      </w:trPr>
      <w:tc>
        <w:tcPr>
          <w:tcW w:w="6546" w:type="dxa"/>
        </w:tcPr>
        <w:p w14:paraId="1C531ACB" w14:textId="3773CC2F" w:rsidR="00BA3838" w:rsidRPr="009621F8" w:rsidRDefault="00BA3838" w:rsidP="00BA3838">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13CBC044" wp14:editId="08F582DF">
                    <wp:simplePos x="0" y="0"/>
                    <wp:positionH relativeFrom="column">
                      <wp:posOffset>622935</wp:posOffset>
                    </wp:positionH>
                    <wp:positionV relativeFrom="paragraph">
                      <wp:posOffset>-1270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49C3E2B6" w14:textId="77777777" w:rsidR="00BA3838" w:rsidRDefault="00BA3838" w:rsidP="00BA3838">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CBC044" id="_x0000_t202" coordsize="21600,21600" o:spt="202" path="m,l,21600r21600,l21600,xe">
                    <v:stroke joinstyle="miter"/>
                    <v:path gradientshapeok="t" o:connecttype="rect"/>
                  </v:shapetype>
                  <v:shape id="Text Box 2" o:spid="_x0000_s1026" type="#_x0000_t202" style="position:absolute;margin-left:49.05pt;margin-top:-.1pt;width:216.75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" fillcolor="window" stroked="f">
                    <v:textbox style="mso-fit-shape-to-text:t" inset="1mm">
                      <w:txbxContent>
                        <w:p w14:paraId="49C3E2B6" w14:textId="77777777" w:rsidR="00BA3838" w:rsidRDefault="00BA3838" w:rsidP="00BA3838">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Pr>
              <w:rFonts w:ascii="Arial" w:hAnsi="Arial" w:cs="Arial"/>
              <w:b/>
              <w:bCs/>
              <w:noProof/>
              <w:color w:val="009CD6"/>
              <w:szCs w:val="18"/>
            </w:rPr>
            <mc:AlternateContent>
              <mc:Choice Requires="wps">
                <w:drawing>
                  <wp:anchor distT="0" distB="0" distL="114300" distR="114300" simplePos="0" relativeHeight="251659264" behindDoc="0" locked="0" layoutInCell="1" allowOverlap="1" wp14:anchorId="0B958D11" wp14:editId="035187DE">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E32BC" id="Rectangle 2" o:spid="_x0000_s1026" style="position:absolute;margin-left:44.9pt;margin-top:5pt;width:130.1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69D5F616" wp14:editId="504E8ACD">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3B379E8F" w14:textId="77777777" w:rsidR="00BA3838" w:rsidRDefault="00BA3838" w:rsidP="00BA3838">
          <w:pPr>
            <w:pStyle w:val="Header"/>
            <w:jc w:val="right"/>
            <w:rPr>
              <w:rFonts w:ascii="Arial" w:hAnsi="Arial" w:cs="Arial"/>
              <w:b/>
              <w:bCs/>
              <w:color w:val="009CD6"/>
              <w:szCs w:val="18"/>
            </w:rPr>
          </w:pPr>
        </w:p>
        <w:p w14:paraId="5FCAB25B" w14:textId="77777777" w:rsidR="00BA3838" w:rsidRDefault="00BA3838" w:rsidP="00BA3838">
          <w:pPr>
            <w:pStyle w:val="Header"/>
            <w:jc w:val="right"/>
            <w:rPr>
              <w:rFonts w:ascii="Arial" w:hAnsi="Arial" w:cs="Arial"/>
              <w:b/>
              <w:bCs/>
              <w:color w:val="009CD6"/>
              <w:szCs w:val="18"/>
            </w:rPr>
          </w:pPr>
        </w:p>
        <w:p w14:paraId="7E29482A" w14:textId="77777777" w:rsidR="00BA3838" w:rsidRPr="00784011" w:rsidRDefault="00BA3838" w:rsidP="00BA3838">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14C8A61F" w:rsidR="00AD3606" w:rsidRPr="008264DD" w:rsidRDefault="00BA3838" w:rsidP="008264DD">
    <w:pPr>
      <w:pStyle w:val="Header"/>
      <w:jc w:val="left"/>
      <w:rPr>
        <w:lang w:val="fr-CH"/>
      </w:rP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3360" behindDoc="0" locked="0" layoutInCell="1" allowOverlap="1" wp14:anchorId="7099B738" wp14:editId="29970041">
              <wp:simplePos x="0" y="0"/>
              <wp:positionH relativeFrom="page">
                <wp:posOffset>14605</wp:posOffset>
              </wp:positionH>
              <wp:positionV relativeFrom="topMargin">
                <wp:posOffset>570230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D33FA" id="Rectangle 5" o:spid="_x0000_s1026" style="position:absolute;margin-left:1.15pt;margin-top:44.9pt;width:7.35pt;height: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8"/>
  </w:num>
  <w:num w:numId="7" w16cid:durableId="1861358016">
    <w:abstractNumId w:val="6"/>
  </w:num>
  <w:num w:numId="8" w16cid:durableId="238372083">
    <w:abstractNumId w:val="7"/>
  </w:num>
  <w:num w:numId="9" w16cid:durableId="171337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25A1"/>
    <w:rsid w:val="00063016"/>
    <w:rsid w:val="00066795"/>
    <w:rsid w:val="00076AF6"/>
    <w:rsid w:val="00085CF2"/>
    <w:rsid w:val="000A1525"/>
    <w:rsid w:val="000B1705"/>
    <w:rsid w:val="000C2F60"/>
    <w:rsid w:val="000D75B2"/>
    <w:rsid w:val="000F6AB8"/>
    <w:rsid w:val="001121F5"/>
    <w:rsid w:val="001162AB"/>
    <w:rsid w:val="00130599"/>
    <w:rsid w:val="00131E18"/>
    <w:rsid w:val="001400DC"/>
    <w:rsid w:val="00140CE1"/>
    <w:rsid w:val="001471C9"/>
    <w:rsid w:val="00147C54"/>
    <w:rsid w:val="001545E8"/>
    <w:rsid w:val="0016259B"/>
    <w:rsid w:val="0017539C"/>
    <w:rsid w:val="00175AC2"/>
    <w:rsid w:val="0017609F"/>
    <w:rsid w:val="001826B4"/>
    <w:rsid w:val="001A1E2F"/>
    <w:rsid w:val="001A29DF"/>
    <w:rsid w:val="001A7D1D"/>
    <w:rsid w:val="001B0595"/>
    <w:rsid w:val="001B51DD"/>
    <w:rsid w:val="001C628E"/>
    <w:rsid w:val="001D62DF"/>
    <w:rsid w:val="001E0F7B"/>
    <w:rsid w:val="001E0FBE"/>
    <w:rsid w:val="001E5FE7"/>
    <w:rsid w:val="001F4CAD"/>
    <w:rsid w:val="00205D4E"/>
    <w:rsid w:val="002119FD"/>
    <w:rsid w:val="002130E0"/>
    <w:rsid w:val="00227AAB"/>
    <w:rsid w:val="00244F7F"/>
    <w:rsid w:val="0025570E"/>
    <w:rsid w:val="002608B7"/>
    <w:rsid w:val="00261828"/>
    <w:rsid w:val="00264425"/>
    <w:rsid w:val="00265875"/>
    <w:rsid w:val="0027303B"/>
    <w:rsid w:val="0028109B"/>
    <w:rsid w:val="002A2188"/>
    <w:rsid w:val="002B1F58"/>
    <w:rsid w:val="002B2D99"/>
    <w:rsid w:val="002C1C7A"/>
    <w:rsid w:val="002C54E2"/>
    <w:rsid w:val="002E0AC3"/>
    <w:rsid w:val="002F123F"/>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C20CA"/>
    <w:rsid w:val="003C2533"/>
    <w:rsid w:val="003C504E"/>
    <w:rsid w:val="003D2E43"/>
    <w:rsid w:val="003D5A7F"/>
    <w:rsid w:val="003D635C"/>
    <w:rsid w:val="003D71D8"/>
    <w:rsid w:val="003F18F6"/>
    <w:rsid w:val="004016E2"/>
    <w:rsid w:val="0040435A"/>
    <w:rsid w:val="00416A24"/>
    <w:rsid w:val="00416A30"/>
    <w:rsid w:val="0042059E"/>
    <w:rsid w:val="00431D9E"/>
    <w:rsid w:val="00433CE8"/>
    <w:rsid w:val="00434A5C"/>
    <w:rsid w:val="00435462"/>
    <w:rsid w:val="004544D9"/>
    <w:rsid w:val="00472BAD"/>
    <w:rsid w:val="00484009"/>
    <w:rsid w:val="00490E72"/>
    <w:rsid w:val="00491157"/>
    <w:rsid w:val="004921C8"/>
    <w:rsid w:val="00495B0B"/>
    <w:rsid w:val="004A15BC"/>
    <w:rsid w:val="004A1B8B"/>
    <w:rsid w:val="004B51C8"/>
    <w:rsid w:val="004D1851"/>
    <w:rsid w:val="004D599D"/>
    <w:rsid w:val="004D65AD"/>
    <w:rsid w:val="004E06D1"/>
    <w:rsid w:val="004E2EA5"/>
    <w:rsid w:val="004E3AEB"/>
    <w:rsid w:val="00500CA4"/>
    <w:rsid w:val="0050223C"/>
    <w:rsid w:val="00511980"/>
    <w:rsid w:val="005170FD"/>
    <w:rsid w:val="005241E0"/>
    <w:rsid w:val="005243FF"/>
    <w:rsid w:val="00524E9C"/>
    <w:rsid w:val="005311D6"/>
    <w:rsid w:val="00533E0D"/>
    <w:rsid w:val="00536422"/>
    <w:rsid w:val="00543DBB"/>
    <w:rsid w:val="0054526E"/>
    <w:rsid w:val="005536C2"/>
    <w:rsid w:val="00564FBC"/>
    <w:rsid w:val="005800BC"/>
    <w:rsid w:val="00582442"/>
    <w:rsid w:val="00584D79"/>
    <w:rsid w:val="005A335D"/>
    <w:rsid w:val="005B0869"/>
    <w:rsid w:val="005C13D4"/>
    <w:rsid w:val="005C2C47"/>
    <w:rsid w:val="005E2BD5"/>
    <w:rsid w:val="005E4F47"/>
    <w:rsid w:val="005F3269"/>
    <w:rsid w:val="005F7BEB"/>
    <w:rsid w:val="00612123"/>
    <w:rsid w:val="00615961"/>
    <w:rsid w:val="00623AE3"/>
    <w:rsid w:val="006261F4"/>
    <w:rsid w:val="0064737F"/>
    <w:rsid w:val="00647966"/>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30E7"/>
    <w:rsid w:val="0071598B"/>
    <w:rsid w:val="00722C25"/>
    <w:rsid w:val="007247CF"/>
    <w:rsid w:val="00726B8C"/>
    <w:rsid w:val="00727C44"/>
    <w:rsid w:val="007307F0"/>
    <w:rsid w:val="0075051B"/>
    <w:rsid w:val="00757A85"/>
    <w:rsid w:val="0077110E"/>
    <w:rsid w:val="00775655"/>
    <w:rsid w:val="007849D5"/>
    <w:rsid w:val="00793188"/>
    <w:rsid w:val="00794D34"/>
    <w:rsid w:val="007E04A5"/>
    <w:rsid w:val="00806E3C"/>
    <w:rsid w:val="00813E5E"/>
    <w:rsid w:val="00816C2C"/>
    <w:rsid w:val="008264DD"/>
    <w:rsid w:val="0083581B"/>
    <w:rsid w:val="00846FA5"/>
    <w:rsid w:val="00860EED"/>
    <w:rsid w:val="00863874"/>
    <w:rsid w:val="00864AFF"/>
    <w:rsid w:val="00865925"/>
    <w:rsid w:val="00870C17"/>
    <w:rsid w:val="00872B5C"/>
    <w:rsid w:val="00875FD1"/>
    <w:rsid w:val="00877BF2"/>
    <w:rsid w:val="00884F3A"/>
    <w:rsid w:val="00891503"/>
    <w:rsid w:val="008A2F06"/>
    <w:rsid w:val="008B4A6A"/>
    <w:rsid w:val="008C22CE"/>
    <w:rsid w:val="008C7E27"/>
    <w:rsid w:val="008F3822"/>
    <w:rsid w:val="008F7448"/>
    <w:rsid w:val="0090147A"/>
    <w:rsid w:val="0090389B"/>
    <w:rsid w:val="00905451"/>
    <w:rsid w:val="0090622B"/>
    <w:rsid w:val="009173EF"/>
    <w:rsid w:val="00932906"/>
    <w:rsid w:val="00934E03"/>
    <w:rsid w:val="00961860"/>
    <w:rsid w:val="00961B0B"/>
    <w:rsid w:val="00962D33"/>
    <w:rsid w:val="009B38C3"/>
    <w:rsid w:val="009B44BD"/>
    <w:rsid w:val="009E17BD"/>
    <w:rsid w:val="009E331C"/>
    <w:rsid w:val="009E485A"/>
    <w:rsid w:val="00A04CEC"/>
    <w:rsid w:val="00A27F92"/>
    <w:rsid w:val="00A32257"/>
    <w:rsid w:val="00A36D20"/>
    <w:rsid w:val="00A43C03"/>
    <w:rsid w:val="00A46CD0"/>
    <w:rsid w:val="00A514A4"/>
    <w:rsid w:val="00A52C84"/>
    <w:rsid w:val="00A55622"/>
    <w:rsid w:val="00A67929"/>
    <w:rsid w:val="00A757F7"/>
    <w:rsid w:val="00A83502"/>
    <w:rsid w:val="00AC38FD"/>
    <w:rsid w:val="00AC6BFA"/>
    <w:rsid w:val="00AD15B3"/>
    <w:rsid w:val="00AD3606"/>
    <w:rsid w:val="00AD4A3D"/>
    <w:rsid w:val="00AD70E3"/>
    <w:rsid w:val="00AF6E49"/>
    <w:rsid w:val="00B01BAF"/>
    <w:rsid w:val="00B04A67"/>
    <w:rsid w:val="00B0583C"/>
    <w:rsid w:val="00B248BC"/>
    <w:rsid w:val="00B358B2"/>
    <w:rsid w:val="00B40A81"/>
    <w:rsid w:val="00B44910"/>
    <w:rsid w:val="00B51029"/>
    <w:rsid w:val="00B57C59"/>
    <w:rsid w:val="00B62127"/>
    <w:rsid w:val="00B72267"/>
    <w:rsid w:val="00B73DD1"/>
    <w:rsid w:val="00B76EB6"/>
    <w:rsid w:val="00B7737B"/>
    <w:rsid w:val="00B824C8"/>
    <w:rsid w:val="00B82C1B"/>
    <w:rsid w:val="00B849D3"/>
    <w:rsid w:val="00B84B9D"/>
    <w:rsid w:val="00BA3838"/>
    <w:rsid w:val="00BA3A51"/>
    <w:rsid w:val="00BC251A"/>
    <w:rsid w:val="00BD032B"/>
    <w:rsid w:val="00BD0614"/>
    <w:rsid w:val="00BD094B"/>
    <w:rsid w:val="00BE2640"/>
    <w:rsid w:val="00BF1FDA"/>
    <w:rsid w:val="00C01189"/>
    <w:rsid w:val="00C07ECC"/>
    <w:rsid w:val="00C27DB8"/>
    <w:rsid w:val="00C307D5"/>
    <w:rsid w:val="00C374DE"/>
    <w:rsid w:val="00C47AD4"/>
    <w:rsid w:val="00C52D81"/>
    <w:rsid w:val="00C55198"/>
    <w:rsid w:val="00C725C6"/>
    <w:rsid w:val="00C922C7"/>
    <w:rsid w:val="00C951B1"/>
    <w:rsid w:val="00CA6393"/>
    <w:rsid w:val="00CB18FF"/>
    <w:rsid w:val="00CB24AA"/>
    <w:rsid w:val="00CD0C08"/>
    <w:rsid w:val="00CD3C91"/>
    <w:rsid w:val="00CE03FB"/>
    <w:rsid w:val="00CE0AE0"/>
    <w:rsid w:val="00CE433C"/>
    <w:rsid w:val="00CF0161"/>
    <w:rsid w:val="00CF33F3"/>
    <w:rsid w:val="00D06183"/>
    <w:rsid w:val="00D13927"/>
    <w:rsid w:val="00D143DF"/>
    <w:rsid w:val="00D22C42"/>
    <w:rsid w:val="00D45669"/>
    <w:rsid w:val="00D464CC"/>
    <w:rsid w:val="00D50C87"/>
    <w:rsid w:val="00D522F6"/>
    <w:rsid w:val="00D65041"/>
    <w:rsid w:val="00D67039"/>
    <w:rsid w:val="00D74BFC"/>
    <w:rsid w:val="00D86E6C"/>
    <w:rsid w:val="00D87565"/>
    <w:rsid w:val="00DB00D5"/>
    <w:rsid w:val="00DB1936"/>
    <w:rsid w:val="00DB384B"/>
    <w:rsid w:val="00DF0189"/>
    <w:rsid w:val="00E06FD5"/>
    <w:rsid w:val="00E10E80"/>
    <w:rsid w:val="00E124F0"/>
    <w:rsid w:val="00E227F3"/>
    <w:rsid w:val="00E35B15"/>
    <w:rsid w:val="00E4728B"/>
    <w:rsid w:val="00E53185"/>
    <w:rsid w:val="00E545C6"/>
    <w:rsid w:val="00E60F04"/>
    <w:rsid w:val="00E63EFF"/>
    <w:rsid w:val="00E65B24"/>
    <w:rsid w:val="00E854E4"/>
    <w:rsid w:val="00E85B67"/>
    <w:rsid w:val="00E86DBF"/>
    <w:rsid w:val="00EA1733"/>
    <w:rsid w:val="00EB0D6F"/>
    <w:rsid w:val="00EB2232"/>
    <w:rsid w:val="00EC5337"/>
    <w:rsid w:val="00EC7C07"/>
    <w:rsid w:val="00EE49E8"/>
    <w:rsid w:val="00F10B59"/>
    <w:rsid w:val="00F119DF"/>
    <w:rsid w:val="00F12A86"/>
    <w:rsid w:val="00F16BAB"/>
    <w:rsid w:val="00F2150A"/>
    <w:rsid w:val="00F231D8"/>
    <w:rsid w:val="00F37FD8"/>
    <w:rsid w:val="00F43C6C"/>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 w:val="00FF2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itu.int/md/meetingdoc.asp?lang=en&amp;parent=S25-CWGFHR21-C-000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meetingdoc.asp?lang=en&amp;parent=S26-CWGFHR22-C-0007"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itu.int/md/meetingdoc.asp?lang=en&amp;parent=S26-CWGFHR22-C-000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meetingdoc.asp?lang=en&amp;parent=S25-CWGFHR21-C-0003" TargetMode="External"/><Relationship Id="rId20" Type="http://schemas.openxmlformats.org/officeDocument/2006/relationships/hyperlink" Target="https://www.itu.int/md/meetingdoc.asp?lang=en&amp;parent=S25-CWGFHR21-C-0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meetingdoc.asp?lang=en&amp;parent=S26-CWGFHR22-C-000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dharris@proton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F12F1-1F94-470B-9445-F840C53E6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ISCG-TEMPLATE</Template>
  <TotalTime>7</TotalTime>
  <Pages>4</Pages>
  <Words>648</Words>
  <Characters>4340</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3</cp:revision>
  <dcterms:created xsi:type="dcterms:W3CDTF">2026-01-23T18:11:00Z</dcterms:created>
  <dcterms:modified xsi:type="dcterms:W3CDTF">2026-01-23T18:16:00Z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