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4395"/>
        <w:gridCol w:w="5245"/>
      </w:tblGrid>
      <w:tr w:rsidR="00AD3606" w:rsidRPr="004B51C8" w14:paraId="75738ABB" w14:textId="77777777" w:rsidTr="00000269">
        <w:trPr>
          <w:cantSplit/>
          <w:trHeight w:val="23"/>
        </w:trPr>
        <w:tc>
          <w:tcPr>
            <w:tcW w:w="4395" w:type="dxa"/>
            <w:vMerge w:val="restart"/>
            <w:tcMar>
              <w:left w:w="0" w:type="dxa"/>
            </w:tcMar>
          </w:tcPr>
          <w:p w14:paraId="333D3DBA" w14:textId="77777777" w:rsidR="00AD3606" w:rsidRPr="00EF17E1" w:rsidRDefault="00AD3606" w:rsidP="00000269">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bookmarkStart w:id="6" w:name="_Hlk219195196"/>
          </w:p>
        </w:tc>
        <w:tc>
          <w:tcPr>
            <w:tcW w:w="5245" w:type="dxa"/>
          </w:tcPr>
          <w:p w14:paraId="4F75CE2E" w14:textId="54D41B46" w:rsidR="00AD3606" w:rsidRPr="00301AEE" w:rsidRDefault="00E85B67" w:rsidP="00000269">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000269">
              <w:rPr>
                <w:b/>
                <w:lang w:val="fr-FR"/>
              </w:rPr>
              <w:t>7</w:t>
            </w:r>
            <w:r w:rsidR="005241E0">
              <w:rPr>
                <w:b/>
                <w:lang w:val="fr-FR"/>
              </w:rPr>
              <w:t>-E</w:t>
            </w:r>
          </w:p>
        </w:tc>
      </w:tr>
      <w:tr w:rsidR="00AD3606" w:rsidRPr="00147C54" w14:paraId="49AA1FBD" w14:textId="77777777" w:rsidTr="00000269">
        <w:trPr>
          <w:cantSplit/>
        </w:trPr>
        <w:tc>
          <w:tcPr>
            <w:tcW w:w="4395" w:type="dxa"/>
            <w:vMerge/>
          </w:tcPr>
          <w:p w14:paraId="6C9E27D5" w14:textId="77777777" w:rsidR="00AD3606" w:rsidRPr="00301AEE" w:rsidRDefault="00AD3606" w:rsidP="00000269">
            <w:pPr>
              <w:tabs>
                <w:tab w:val="left" w:pos="851"/>
              </w:tabs>
              <w:spacing w:line="240" w:lineRule="atLeast"/>
              <w:rPr>
                <w:b/>
                <w:lang w:val="fr-FR"/>
              </w:rPr>
            </w:pPr>
            <w:bookmarkStart w:id="7" w:name="ddate" w:colFirst="1" w:colLast="1"/>
            <w:bookmarkEnd w:id="0"/>
            <w:bookmarkEnd w:id="1"/>
          </w:p>
        </w:tc>
        <w:tc>
          <w:tcPr>
            <w:tcW w:w="5245" w:type="dxa"/>
          </w:tcPr>
          <w:p w14:paraId="0A6B18FC" w14:textId="566833F8" w:rsidR="00AD3606" w:rsidRPr="00147C54" w:rsidRDefault="00000269" w:rsidP="00000269">
            <w:pPr>
              <w:tabs>
                <w:tab w:val="left" w:pos="851"/>
              </w:tabs>
              <w:spacing w:before="0"/>
              <w:jc w:val="right"/>
              <w:rPr>
                <w:b/>
              </w:rPr>
            </w:pPr>
            <w:r>
              <w:rPr>
                <w:b/>
              </w:rPr>
              <w:t>28 January 2026</w:t>
            </w:r>
          </w:p>
        </w:tc>
      </w:tr>
      <w:tr w:rsidR="00AD3606" w:rsidRPr="00147C54" w14:paraId="245EED5B" w14:textId="77777777" w:rsidTr="00000269">
        <w:trPr>
          <w:cantSplit/>
          <w:trHeight w:val="23"/>
        </w:trPr>
        <w:tc>
          <w:tcPr>
            <w:tcW w:w="4395" w:type="dxa"/>
            <w:vMerge/>
          </w:tcPr>
          <w:p w14:paraId="1E90653D" w14:textId="77777777" w:rsidR="00AD3606" w:rsidRPr="00147C54" w:rsidRDefault="00AD3606" w:rsidP="00000269">
            <w:pPr>
              <w:tabs>
                <w:tab w:val="left" w:pos="851"/>
              </w:tabs>
              <w:spacing w:line="240" w:lineRule="atLeast"/>
              <w:rPr>
                <w:b/>
              </w:rPr>
            </w:pPr>
            <w:bookmarkStart w:id="8" w:name="dorlang" w:colFirst="1" w:colLast="1"/>
            <w:bookmarkEnd w:id="7"/>
          </w:p>
        </w:tc>
        <w:tc>
          <w:tcPr>
            <w:tcW w:w="5245" w:type="dxa"/>
          </w:tcPr>
          <w:p w14:paraId="248884E4" w14:textId="77777777" w:rsidR="00AD3606" w:rsidRPr="00147C54" w:rsidRDefault="00891503" w:rsidP="00000269">
            <w:pPr>
              <w:tabs>
                <w:tab w:val="left" w:pos="851"/>
              </w:tabs>
              <w:spacing w:before="0" w:line="240" w:lineRule="atLeast"/>
              <w:jc w:val="right"/>
              <w:rPr>
                <w:b/>
              </w:rPr>
            </w:pPr>
            <w:r w:rsidRPr="00147C54">
              <w:rPr>
                <w:b/>
              </w:rPr>
              <w:t>English only</w:t>
            </w:r>
          </w:p>
        </w:tc>
      </w:tr>
      <w:tr w:rsidR="00472BAD" w:rsidRPr="00147C54" w14:paraId="453B6052" w14:textId="77777777" w:rsidTr="00000269">
        <w:trPr>
          <w:cantSplit/>
          <w:trHeight w:val="23"/>
        </w:trPr>
        <w:tc>
          <w:tcPr>
            <w:tcW w:w="4395" w:type="dxa"/>
          </w:tcPr>
          <w:p w14:paraId="68C47D52" w14:textId="77777777" w:rsidR="00472BAD" w:rsidRPr="00147C54" w:rsidRDefault="00472BAD" w:rsidP="00000269">
            <w:pPr>
              <w:tabs>
                <w:tab w:val="left" w:pos="851"/>
              </w:tabs>
              <w:spacing w:line="240" w:lineRule="atLeast"/>
              <w:rPr>
                <w:b/>
              </w:rPr>
            </w:pPr>
          </w:p>
        </w:tc>
        <w:tc>
          <w:tcPr>
            <w:tcW w:w="5245" w:type="dxa"/>
          </w:tcPr>
          <w:p w14:paraId="550894A5" w14:textId="77777777" w:rsidR="00472BAD" w:rsidRPr="00147C54" w:rsidRDefault="00472BAD" w:rsidP="00000269">
            <w:pPr>
              <w:tabs>
                <w:tab w:val="left" w:pos="851"/>
              </w:tabs>
              <w:spacing w:before="0" w:line="240" w:lineRule="atLeast"/>
              <w:jc w:val="right"/>
              <w:rPr>
                <w:b/>
              </w:rPr>
            </w:pPr>
          </w:p>
        </w:tc>
      </w:tr>
      <w:tr w:rsidR="00AD3606" w:rsidRPr="00147C54" w14:paraId="02CE4872" w14:textId="77777777" w:rsidTr="00000269">
        <w:trPr>
          <w:cantSplit/>
        </w:trPr>
        <w:tc>
          <w:tcPr>
            <w:tcW w:w="9640" w:type="dxa"/>
            <w:gridSpan w:val="2"/>
            <w:tcMar>
              <w:left w:w="0" w:type="dxa"/>
            </w:tcMar>
          </w:tcPr>
          <w:p w14:paraId="11EB1697" w14:textId="0CC070A5" w:rsidR="00AD3606" w:rsidRPr="00147C54" w:rsidRDefault="00006DB2" w:rsidP="00000269">
            <w:pPr>
              <w:pStyle w:val="Source"/>
              <w:framePr w:hSpace="0" w:wrap="auto" w:vAnchor="margin" w:hAnchor="text" w:xAlign="left" w:yAlign="inline"/>
            </w:pPr>
            <w:bookmarkStart w:id="9" w:name="dsource" w:colFirst="0" w:colLast="0"/>
            <w:bookmarkEnd w:id="8"/>
            <w:r w:rsidRPr="005E413D">
              <w:t xml:space="preserve">Contribution </w:t>
            </w:r>
            <w:r>
              <w:t>by</w:t>
            </w:r>
            <w:r w:rsidRPr="005E413D">
              <w:t xml:space="preserve"> </w:t>
            </w:r>
            <w:r w:rsidR="00EF17E1">
              <w:t>the Russian Federation</w:t>
            </w:r>
          </w:p>
        </w:tc>
      </w:tr>
      <w:tr w:rsidR="00AD3606" w:rsidRPr="00147C54" w14:paraId="16B8590D" w14:textId="77777777" w:rsidTr="00000269">
        <w:trPr>
          <w:cantSplit/>
        </w:trPr>
        <w:tc>
          <w:tcPr>
            <w:tcW w:w="9640" w:type="dxa"/>
            <w:gridSpan w:val="2"/>
            <w:tcMar>
              <w:left w:w="0" w:type="dxa"/>
            </w:tcMar>
          </w:tcPr>
          <w:p w14:paraId="3EBDE99F" w14:textId="7BD572E9" w:rsidR="00AD3606" w:rsidRPr="00000269" w:rsidRDefault="00EF17E1" w:rsidP="00000269">
            <w:pPr>
              <w:pStyle w:val="Subtitle"/>
              <w:framePr w:hSpace="0" w:wrap="auto" w:xAlign="left" w:yAlign="inline"/>
              <w:rPr>
                <w:caps/>
              </w:rPr>
            </w:pPr>
            <w:bookmarkStart w:id="10" w:name="dtitle1" w:colFirst="0" w:colLast="0"/>
            <w:bookmarkEnd w:id="9"/>
            <w:r w:rsidRPr="00000269">
              <w:rPr>
                <w:caps/>
              </w:rPr>
              <w:t>Streamlining PP resolution</w:t>
            </w:r>
            <w:r w:rsidR="00204CC8" w:rsidRPr="00000269">
              <w:rPr>
                <w:caps/>
              </w:rPr>
              <w:t>s</w:t>
            </w:r>
            <w:r w:rsidRPr="00000269">
              <w:rPr>
                <w:caps/>
              </w:rPr>
              <w:t xml:space="preserve"> </w:t>
            </w:r>
            <w:r w:rsidR="00204CC8" w:rsidRPr="00000269">
              <w:rPr>
                <w:caps/>
              </w:rPr>
              <w:t xml:space="preserve">154 and 191 </w:t>
            </w:r>
            <w:r w:rsidRPr="00000269">
              <w:rPr>
                <w:caps/>
              </w:rPr>
              <w:t>and relevant Sectoral resolutions</w:t>
            </w:r>
          </w:p>
        </w:tc>
      </w:tr>
      <w:tr w:rsidR="00AD3606" w:rsidRPr="00147C54" w14:paraId="738924AE" w14:textId="77777777" w:rsidTr="00000269">
        <w:trPr>
          <w:cantSplit/>
        </w:trPr>
        <w:tc>
          <w:tcPr>
            <w:tcW w:w="9640" w:type="dxa"/>
            <w:gridSpan w:val="2"/>
            <w:tcBorders>
              <w:top w:val="single" w:sz="4" w:space="0" w:color="auto"/>
              <w:bottom w:val="single" w:sz="4" w:space="0" w:color="auto"/>
            </w:tcBorders>
            <w:tcMar>
              <w:left w:w="0" w:type="dxa"/>
            </w:tcMar>
          </w:tcPr>
          <w:p w14:paraId="393CFB80" w14:textId="1EEB1A58" w:rsidR="005241E0" w:rsidRPr="005241E0" w:rsidRDefault="00F16BAB" w:rsidP="00000269">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proofErr w:type="gramStart"/>
            <w:r w:rsidR="005241E0" w:rsidRPr="005241E0">
              <w:rPr>
                <w:sz w:val="26"/>
                <w:szCs w:val="26"/>
              </w:rPr>
              <w:t>( )</w:t>
            </w:r>
            <w:proofErr w:type="gramEnd"/>
            <w:r w:rsidR="005241E0" w:rsidRPr="005241E0">
              <w:rPr>
                <w:sz w:val="26"/>
                <w:szCs w:val="26"/>
              </w:rPr>
              <w:t xml:space="preserve"> / Discussion </w:t>
            </w:r>
            <w:proofErr w:type="gramStart"/>
            <w:r w:rsidR="005241E0" w:rsidRPr="005241E0">
              <w:rPr>
                <w:sz w:val="26"/>
                <w:szCs w:val="26"/>
              </w:rPr>
              <w:t>(</w:t>
            </w:r>
            <w:r w:rsidR="00000269">
              <w:rPr>
                <w:sz w:val="26"/>
                <w:szCs w:val="26"/>
              </w:rPr>
              <w:t xml:space="preserve"> </w:t>
            </w:r>
            <w:r w:rsidR="005241E0" w:rsidRPr="005241E0">
              <w:rPr>
                <w:sz w:val="26"/>
                <w:szCs w:val="26"/>
              </w:rPr>
              <w:t>)</w:t>
            </w:r>
            <w:proofErr w:type="gramEnd"/>
            <w:r w:rsidR="005241E0" w:rsidRPr="005241E0">
              <w:rPr>
                <w:sz w:val="26"/>
                <w:szCs w:val="26"/>
              </w:rPr>
              <w:t xml:space="preserve"> / Proposal (</w:t>
            </w:r>
            <w:r w:rsidR="00000269">
              <w:rPr>
                <w:sz w:val="26"/>
                <w:szCs w:val="26"/>
              </w:rPr>
              <w:t>X</w:t>
            </w:r>
            <w:r w:rsidR="005241E0" w:rsidRPr="005241E0">
              <w:rPr>
                <w:sz w:val="26"/>
                <w:szCs w:val="26"/>
              </w:rPr>
              <w:t>)</w:t>
            </w:r>
          </w:p>
        </w:tc>
      </w:tr>
      <w:tr w:rsidR="005241E0" w:rsidRPr="00576B4F" w14:paraId="14D83C7C" w14:textId="77777777" w:rsidTr="00000269">
        <w:trPr>
          <w:cantSplit/>
        </w:trPr>
        <w:tc>
          <w:tcPr>
            <w:tcW w:w="9640" w:type="dxa"/>
            <w:gridSpan w:val="2"/>
            <w:tcBorders>
              <w:top w:val="single" w:sz="4" w:space="0" w:color="auto"/>
              <w:bottom w:val="single" w:sz="4" w:space="0" w:color="auto"/>
            </w:tcBorders>
            <w:tcMar>
              <w:left w:w="0" w:type="dxa"/>
            </w:tcMar>
          </w:tcPr>
          <w:p w14:paraId="6F51167A" w14:textId="6F9852EC" w:rsidR="005241E0" w:rsidRPr="00000269" w:rsidRDefault="005241E0" w:rsidP="00000269">
            <w:pPr>
              <w:spacing w:before="160" w:after="120"/>
              <w:rPr>
                <w:sz w:val="26"/>
                <w:szCs w:val="26"/>
                <w:lang w:val="fr-FR"/>
              </w:rPr>
            </w:pPr>
            <w:r w:rsidRPr="00000269">
              <w:rPr>
                <w:b/>
                <w:bCs/>
                <w:sz w:val="26"/>
                <w:szCs w:val="26"/>
                <w:lang w:val="fr-FR"/>
              </w:rPr>
              <w:t xml:space="preserve">Contact:   </w:t>
            </w:r>
            <w:r w:rsidR="00EF17E1" w:rsidRPr="00000269">
              <w:rPr>
                <w:szCs w:val="24"/>
                <w:lang w:val="fr-FR"/>
              </w:rPr>
              <w:t>Vladimir Minkin</w:t>
            </w:r>
            <w:r w:rsidRPr="00000269">
              <w:rPr>
                <w:b/>
                <w:bCs/>
                <w:sz w:val="26"/>
                <w:szCs w:val="26"/>
                <w:lang w:val="fr-FR"/>
              </w:rPr>
              <w:t xml:space="preserve">                                                 E-mail:</w:t>
            </w:r>
            <w:r w:rsidR="00000269">
              <w:rPr>
                <w:b/>
                <w:bCs/>
                <w:sz w:val="26"/>
                <w:szCs w:val="26"/>
                <w:lang w:val="fr-FR"/>
              </w:rPr>
              <w:t xml:space="preserve"> </w:t>
            </w:r>
            <w:r w:rsidR="00000269">
              <w:fldChar w:fldCharType="begin"/>
            </w:r>
            <w:r w:rsidR="00000269" w:rsidRPr="00576B4F">
              <w:rPr>
                <w:lang w:val="fr-CH"/>
              </w:rPr>
              <w:instrText>HYPERLINK "mailto:minkin-itu@mail.ru"</w:instrText>
            </w:r>
            <w:r w:rsidR="00000269">
              <w:fldChar w:fldCharType="separate"/>
            </w:r>
            <w:r w:rsidR="00000269" w:rsidRPr="00EB19CE">
              <w:rPr>
                <w:rStyle w:val="Hyperlink"/>
                <w:b/>
                <w:bCs/>
                <w:szCs w:val="24"/>
                <w:lang w:val="fr-FR"/>
              </w:rPr>
              <w:t>minkin-itu@mail.ru</w:t>
            </w:r>
            <w:r w:rsidR="00000269">
              <w:fldChar w:fldCharType="end"/>
            </w:r>
          </w:p>
        </w:tc>
      </w:tr>
    </w:tbl>
    <w:p w14:paraId="469525C2" w14:textId="77777777" w:rsidR="00E227F3" w:rsidRPr="00000269" w:rsidRDefault="00E227F3">
      <w:pPr>
        <w:tabs>
          <w:tab w:val="clear" w:pos="567"/>
          <w:tab w:val="clear" w:pos="1134"/>
          <w:tab w:val="clear" w:pos="1701"/>
          <w:tab w:val="clear" w:pos="2268"/>
          <w:tab w:val="clear" w:pos="2835"/>
        </w:tabs>
        <w:overflowPunct/>
        <w:autoSpaceDE/>
        <w:autoSpaceDN/>
        <w:adjustRightInd/>
        <w:spacing w:before="0"/>
        <w:textAlignment w:val="auto"/>
        <w:rPr>
          <w:lang w:val="fr-FR"/>
        </w:rPr>
      </w:pPr>
      <w:bookmarkStart w:id="11" w:name="_Hlk133421428"/>
      <w:bookmarkEnd w:id="2"/>
      <w:bookmarkEnd w:id="10"/>
    </w:p>
    <w:bookmarkEnd w:id="3"/>
    <w:bookmarkEnd w:id="4"/>
    <w:p w14:paraId="74444855" w14:textId="0D5737F8" w:rsidR="008F163A" w:rsidRPr="00000269" w:rsidRDefault="005241E0" w:rsidP="00204CC8">
      <w:pPr>
        <w:tabs>
          <w:tab w:val="clear" w:pos="567"/>
          <w:tab w:val="clear" w:pos="1134"/>
          <w:tab w:val="clear" w:pos="1701"/>
          <w:tab w:val="clear" w:pos="2268"/>
          <w:tab w:val="clear" w:pos="2835"/>
        </w:tabs>
        <w:overflowPunct/>
        <w:autoSpaceDE/>
        <w:autoSpaceDN/>
        <w:adjustRightInd/>
        <w:spacing w:before="0"/>
        <w:textAlignment w:val="auto"/>
        <w:rPr>
          <w:i/>
          <w:iCs/>
          <w:lang w:val="fr-FR"/>
        </w:rPr>
      </w:pPr>
      <w:r w:rsidRPr="00000269">
        <w:rPr>
          <w:lang w:val="fr-FR"/>
        </w:rPr>
        <w:tab/>
      </w:r>
      <w:r w:rsidRPr="00000269">
        <w:rPr>
          <w:lang w:val="fr-FR"/>
        </w:rPr>
        <w:tab/>
      </w:r>
      <w:r w:rsidRPr="00000269">
        <w:rPr>
          <w:lang w:val="fr-FR"/>
        </w:rPr>
        <w:tab/>
      </w:r>
      <w:bookmarkEnd w:id="5"/>
      <w:bookmarkEnd w:id="11"/>
      <w:r w:rsidRPr="00000269">
        <w:rPr>
          <w:i/>
          <w:iCs/>
          <w:lang w:val="fr-FR"/>
        </w:rPr>
        <w:tab/>
      </w:r>
    </w:p>
    <w:p w14:paraId="5245BAF0" w14:textId="54419D81" w:rsidR="00A514A4" w:rsidRDefault="00932B94" w:rsidP="0075045D">
      <w:pPr>
        <w:jc w:val="both"/>
        <w:rPr>
          <w:b/>
          <w:bCs/>
        </w:rPr>
      </w:pPr>
      <w:r w:rsidRPr="00932B94">
        <w:rPr>
          <w:b/>
          <w:bCs/>
        </w:rPr>
        <w:t xml:space="preserve">I </w:t>
      </w:r>
      <w:r>
        <w:rPr>
          <w:b/>
          <w:bCs/>
        </w:rPr>
        <w:tab/>
      </w:r>
      <w:r w:rsidRPr="00932B94">
        <w:rPr>
          <w:b/>
          <w:bCs/>
        </w:rPr>
        <w:t>Introduction</w:t>
      </w:r>
    </w:p>
    <w:p w14:paraId="3EF0EB38" w14:textId="055B2D79" w:rsidR="00932B94" w:rsidRPr="005A624A" w:rsidRDefault="00932B94" w:rsidP="0075045D">
      <w:pPr>
        <w:jc w:val="both"/>
        <w:rPr>
          <w:i/>
          <w:iCs/>
        </w:rPr>
      </w:pPr>
      <w:r>
        <w:t xml:space="preserve">The second meeting, in 2025, of the Inter-Sector Coordination Group (ISCG) considered </w:t>
      </w:r>
      <w:r w:rsidRPr="005A624A">
        <w:rPr>
          <w:i/>
          <w:iCs/>
        </w:rPr>
        <w:t>the</w:t>
      </w:r>
    </w:p>
    <w:p w14:paraId="208C0F6D" w14:textId="6EBCD7F4" w:rsidR="00932B94" w:rsidRPr="005A624A" w:rsidRDefault="00932B94" w:rsidP="0075045D">
      <w:pPr>
        <w:tabs>
          <w:tab w:val="clear" w:pos="567"/>
          <w:tab w:val="clear" w:pos="1134"/>
          <w:tab w:val="clear" w:pos="1701"/>
          <w:tab w:val="clear" w:pos="2268"/>
          <w:tab w:val="clear" w:pos="2835"/>
        </w:tabs>
        <w:overflowPunct/>
        <w:autoSpaceDE/>
        <w:autoSpaceDN/>
        <w:adjustRightInd/>
        <w:spacing w:before="0"/>
        <w:jc w:val="both"/>
        <w:textAlignment w:val="auto"/>
        <w:rPr>
          <w:i/>
          <w:iCs/>
        </w:rPr>
      </w:pPr>
      <w:r w:rsidRPr="005A624A">
        <w:rPr>
          <w:i/>
          <w:iCs/>
        </w:rPr>
        <w:t xml:space="preserve">Russian Federation proposal (see document </w:t>
      </w:r>
      <w:hyperlink r:id="rId11" w:history="1">
        <w:r w:rsidRPr="005A624A">
          <w:rPr>
            <w:rStyle w:val="Hyperlink"/>
            <w:i/>
            <w:iCs/>
          </w:rPr>
          <w:t>ISCG/25-02/04</w:t>
        </w:r>
      </w:hyperlink>
      <w:r w:rsidRPr="005A624A">
        <w:rPr>
          <w:i/>
          <w:iCs/>
        </w:rPr>
        <w:t>) for the streamlining of sectoral and PP resolutions and suggesting the creation of a rapporteur group to develop the task, either under the ISCG or Council. The meeting supported the proposal and the ISCG Chair proposed Mr Vladimir Minkin (Russian Federation) to lead the new group. The ITU-T SG17 Chair showed interest and commitment to join the work in the future. The Russian Federation to confirm the appointment by the next meeting.</w:t>
      </w:r>
    </w:p>
    <w:p w14:paraId="45D14029" w14:textId="0C96E18A" w:rsidR="00A92F36" w:rsidRPr="00A92F36" w:rsidRDefault="00A92F36"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A92F36">
        <w:rPr>
          <w:lang w:val="en-US"/>
        </w:rPr>
        <w:t xml:space="preserve">The ITU Council at its session in 2025 </w:t>
      </w:r>
      <w:r w:rsidRPr="00A92F36">
        <w:rPr>
          <w:i/>
          <w:iCs/>
          <w:lang w:val="en-US"/>
        </w:rPr>
        <w:t xml:space="preserve">agreed to forward the contribution of the Russian Federation </w:t>
      </w:r>
      <w:r w:rsidRPr="00A92F36">
        <w:rPr>
          <w:rStyle w:val="Hyperlink"/>
          <w:i/>
          <w:iCs/>
        </w:rPr>
        <w:t>C25/79</w:t>
      </w:r>
      <w:r w:rsidRPr="00A92F36">
        <w:rPr>
          <w:i/>
          <w:iCs/>
          <w:lang w:val="en-US"/>
        </w:rPr>
        <w:t xml:space="preserve"> “Streamlining Resolutions of the Plenipotentiary Conference and the Sectors” to the CWG-SFP for consideration.</w:t>
      </w:r>
      <w:r>
        <w:rPr>
          <w:lang w:val="en-US"/>
        </w:rPr>
        <w:t xml:space="preserve"> </w:t>
      </w:r>
    </w:p>
    <w:p w14:paraId="4E871256" w14:textId="4D0B70D0" w:rsidR="00A92F36" w:rsidRPr="00A92F36" w:rsidRDefault="00976CAC"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976CAC">
        <w:t>As part of the work of the ISCG Rapporteur’s Group on streamlining PP and Sector Resolutions,</w:t>
      </w:r>
      <w:r>
        <w:t xml:space="preserve"> t</w:t>
      </w:r>
      <w:r w:rsidR="00A92F36" w:rsidRPr="00A92F36">
        <w:t xml:space="preserve">he Russian Federation </w:t>
      </w:r>
      <w:r w:rsidR="00A92F36">
        <w:t xml:space="preserve">and Kirgizstan presented the contribution </w:t>
      </w:r>
      <w:r w:rsidR="00A92F36" w:rsidRPr="00A92F36">
        <w:t>on streamlining resolutions</w:t>
      </w:r>
      <w:r w:rsidR="00A92F36">
        <w:t xml:space="preserve"> to 3</w:t>
      </w:r>
      <w:r w:rsidR="00A92F36" w:rsidRPr="00A92F36">
        <w:rPr>
          <w:vertAlign w:val="superscript"/>
        </w:rPr>
        <w:t>d</w:t>
      </w:r>
      <w:r w:rsidR="00A92F36">
        <w:t xml:space="preserve"> CWG SFP meeting in September 20025 </w:t>
      </w:r>
      <w:r w:rsidR="00A92F36" w:rsidRPr="00A92F36">
        <w:t>(</w:t>
      </w:r>
      <w:r w:rsidR="00A92F36" w:rsidRPr="0075045D">
        <w:rPr>
          <w:i/>
          <w:iCs/>
        </w:rPr>
        <w:t xml:space="preserve">see </w:t>
      </w:r>
      <w:r w:rsidR="0075045D">
        <w:rPr>
          <w:i/>
          <w:iCs/>
        </w:rPr>
        <w:t xml:space="preserve">document </w:t>
      </w:r>
      <w:r w:rsidR="00A92F36" w:rsidRPr="0075045D">
        <w:rPr>
          <w:rStyle w:val="Hyperlink"/>
          <w:i/>
          <w:iCs/>
        </w:rPr>
        <w:t>CWG-SFP-3/12</w:t>
      </w:r>
      <w:r w:rsidR="00A92F36" w:rsidRPr="0075045D">
        <w:rPr>
          <w:i/>
          <w:iCs/>
        </w:rPr>
        <w:t>)</w:t>
      </w:r>
      <w:r w:rsidR="00A92F36">
        <w:t xml:space="preserve"> with </w:t>
      </w:r>
      <w:r w:rsidR="00A92F36" w:rsidRPr="00A92F36">
        <w:rPr>
          <w:lang w:val="en-US"/>
        </w:rPr>
        <w:t>a preliminary analysis and comparison of Resolutions PP 191, ITU-R 75, WTSA 18 and WTDC 59.</w:t>
      </w:r>
    </w:p>
    <w:p w14:paraId="27BBD91F" w14:textId="600F85A6" w:rsidR="00A92F36" w:rsidRPr="005A624A" w:rsidRDefault="00A92F36" w:rsidP="0075045D">
      <w:pPr>
        <w:tabs>
          <w:tab w:val="clear" w:pos="567"/>
          <w:tab w:val="clear" w:pos="1134"/>
          <w:tab w:val="clear" w:pos="1701"/>
          <w:tab w:val="clear" w:pos="2268"/>
          <w:tab w:val="clear" w:pos="2835"/>
        </w:tabs>
        <w:overflowPunct/>
        <w:autoSpaceDE/>
        <w:autoSpaceDN/>
        <w:adjustRightInd/>
        <w:spacing w:before="0"/>
        <w:jc w:val="both"/>
        <w:textAlignment w:val="auto"/>
        <w:rPr>
          <w:i/>
          <w:iCs/>
        </w:rPr>
      </w:pPr>
      <w:r w:rsidRPr="00A92F36">
        <w:t xml:space="preserve">The </w:t>
      </w:r>
      <w:r>
        <w:t xml:space="preserve">CWG SFP </w:t>
      </w:r>
      <w:r w:rsidRPr="00A92F36">
        <w:t xml:space="preserve">members </w:t>
      </w:r>
      <w:r w:rsidRPr="005A624A">
        <w:rPr>
          <w:i/>
          <w:iCs/>
        </w:rPr>
        <w:t>endorsed continuing a voluntary, member-driven streamlining approach; the Chair tasked Brazil to coordinate informal consultations (no line-by-line reopening) on the Guidelines to harmonize the outcomes of PP resolutions and decision to make explicit that they are voluntary and non-binding.</w:t>
      </w:r>
    </w:p>
    <w:p w14:paraId="2FA0B43D" w14:textId="7DA8BFD9" w:rsidR="00976CAC" w:rsidRDefault="00976CAC" w:rsidP="0075045D">
      <w:pPr>
        <w:tabs>
          <w:tab w:val="clear" w:pos="567"/>
          <w:tab w:val="clear" w:pos="1134"/>
          <w:tab w:val="clear" w:pos="1701"/>
          <w:tab w:val="clear" w:pos="2268"/>
          <w:tab w:val="clear" w:pos="2835"/>
        </w:tabs>
        <w:overflowPunct/>
        <w:autoSpaceDE/>
        <w:autoSpaceDN/>
        <w:adjustRightInd/>
        <w:spacing w:before="0"/>
        <w:jc w:val="both"/>
        <w:textAlignment w:val="auto"/>
      </w:pPr>
      <w:r>
        <w:t>No comments have not been received on the proposals.</w:t>
      </w:r>
    </w:p>
    <w:p w14:paraId="52674F47" w14:textId="77777777" w:rsidR="00204CC8" w:rsidRDefault="00204CC8" w:rsidP="0075045D">
      <w:pPr>
        <w:tabs>
          <w:tab w:val="clear" w:pos="567"/>
          <w:tab w:val="clear" w:pos="1134"/>
          <w:tab w:val="clear" w:pos="1701"/>
          <w:tab w:val="clear" w:pos="2268"/>
          <w:tab w:val="clear" w:pos="2835"/>
        </w:tabs>
        <w:overflowPunct/>
        <w:autoSpaceDE/>
        <w:autoSpaceDN/>
        <w:adjustRightInd/>
        <w:spacing w:before="0"/>
        <w:jc w:val="both"/>
        <w:textAlignment w:val="auto"/>
      </w:pPr>
    </w:p>
    <w:p w14:paraId="0F268F61" w14:textId="1BA1EA6C" w:rsidR="00976CAC" w:rsidRDefault="00976CAC"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Pr>
          <w:lang w:val="en-US"/>
        </w:rPr>
        <w:t>The Russian Federation proposed t</w:t>
      </w:r>
      <w:r w:rsidRPr="00976CAC">
        <w:rPr>
          <w:lang w:val="en-US"/>
        </w:rPr>
        <w:t>he substantive modifications</w:t>
      </w:r>
      <w:r>
        <w:rPr>
          <w:lang w:val="en-US"/>
        </w:rPr>
        <w:t xml:space="preserve"> </w:t>
      </w:r>
      <w:r w:rsidRPr="00976CAC">
        <w:rPr>
          <w:lang w:val="en-US"/>
        </w:rPr>
        <w:t xml:space="preserve">to Resolution 191 </w:t>
      </w:r>
      <w:r>
        <w:rPr>
          <w:lang w:val="en-US"/>
        </w:rPr>
        <w:t>“</w:t>
      </w:r>
      <w:r w:rsidRPr="00976CAC">
        <w:t>Strategy for the coordination of efforts among the three Sectors of the Union</w:t>
      </w:r>
      <w:r>
        <w:t xml:space="preserve">” </w:t>
      </w:r>
      <w:r w:rsidR="005A624A">
        <w:t>(</w:t>
      </w:r>
      <w:r>
        <w:t xml:space="preserve">see document </w:t>
      </w:r>
      <w:r w:rsidR="005A624A" w:rsidRPr="005A624A">
        <w:t>CWG-FHR-22/26</w:t>
      </w:r>
      <w:r w:rsidR="005A624A">
        <w:t xml:space="preserve">)  </w:t>
      </w:r>
      <w:r w:rsidR="005A624A">
        <w:rPr>
          <w:lang w:val="en-US"/>
        </w:rPr>
        <w:t>based on</w:t>
      </w:r>
      <w:r w:rsidRPr="00976CAC">
        <w:rPr>
          <w:lang w:val="en-US"/>
        </w:rPr>
        <w:t xml:space="preserve"> streamlining references to relevant Sector</w:t>
      </w:r>
      <w:r>
        <w:rPr>
          <w:lang w:val="en-US"/>
        </w:rPr>
        <w:t xml:space="preserve"> </w:t>
      </w:r>
      <w:r w:rsidRPr="00976CAC">
        <w:rPr>
          <w:lang w:val="en-US"/>
        </w:rPr>
        <w:t>resolutions with the intention of taking into account the interests of the Sectors, which may</w:t>
      </w:r>
      <w:r>
        <w:rPr>
          <w:lang w:val="en-US"/>
        </w:rPr>
        <w:t xml:space="preserve"> </w:t>
      </w:r>
      <w:r w:rsidRPr="00976CAC">
        <w:rPr>
          <w:lang w:val="en-US"/>
        </w:rPr>
        <w:t xml:space="preserve">allow the cancellation or </w:t>
      </w:r>
      <w:r w:rsidRPr="00976CAC">
        <w:rPr>
          <w:lang w:val="en-US"/>
        </w:rPr>
        <w:lastRenderedPageBreak/>
        <w:t>significant reduction of the relevant Sectoral resolutions</w:t>
      </w:r>
      <w:r w:rsidR="005A624A">
        <w:rPr>
          <w:lang w:val="en-US"/>
        </w:rPr>
        <w:t xml:space="preserve"> after PP-26 at RA-27, WTSA-28 and WTDC-29 accordingly.</w:t>
      </w:r>
    </w:p>
    <w:p w14:paraId="5DEEBBED" w14:textId="00130FD1" w:rsidR="005A624A" w:rsidRDefault="005A624A"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A624A">
        <w:rPr>
          <w:lang w:val="en-US"/>
        </w:rPr>
        <w:t xml:space="preserve">This proposal is based on the compilation of </w:t>
      </w:r>
      <w:r>
        <w:rPr>
          <w:lang w:val="en-US"/>
        </w:rPr>
        <w:t xml:space="preserve">relevant </w:t>
      </w:r>
      <w:r w:rsidRPr="005A624A">
        <w:rPr>
          <w:lang w:val="en-US"/>
        </w:rPr>
        <w:t>PP and Sectoral resolutions presented to ISCG</w:t>
      </w:r>
      <w:r>
        <w:rPr>
          <w:lang w:val="en-US"/>
        </w:rPr>
        <w:t xml:space="preserve"> </w:t>
      </w:r>
      <w:r w:rsidRPr="005A624A">
        <w:rPr>
          <w:lang w:val="en-US"/>
        </w:rPr>
        <w:t xml:space="preserve">(see </w:t>
      </w:r>
      <w:r w:rsidRPr="005A624A">
        <w:rPr>
          <w:rStyle w:val="Hyperlink"/>
          <w:i/>
          <w:iCs/>
        </w:rPr>
        <w:t>A</w:t>
      </w:r>
      <w:r w:rsidR="006B3F80" w:rsidRPr="006B3F80">
        <w:rPr>
          <w:rStyle w:val="Hyperlink"/>
          <w:i/>
          <w:iCs/>
        </w:rPr>
        <w:t xml:space="preserve">dditional document </w:t>
      </w:r>
      <w:r w:rsidRPr="006B3F80">
        <w:rPr>
          <w:rStyle w:val="Hyperlink"/>
          <w:i/>
          <w:iCs/>
        </w:rPr>
        <w:t>1</w:t>
      </w:r>
      <w:r w:rsidR="006B3F80" w:rsidRPr="006B3F80">
        <w:rPr>
          <w:rStyle w:val="Hyperlink"/>
          <w:i/>
          <w:iCs/>
        </w:rPr>
        <w:t xml:space="preserve"> to document ISCG/26-1/</w:t>
      </w:r>
      <w:proofErr w:type="spellStart"/>
      <w:r w:rsidR="006B3F80" w:rsidRPr="006B3F80">
        <w:rPr>
          <w:rStyle w:val="Hyperlink"/>
          <w:i/>
          <w:iCs/>
        </w:rPr>
        <w:t>ru</w:t>
      </w:r>
      <w:proofErr w:type="spellEnd"/>
      <w:r w:rsidRPr="005A624A">
        <w:rPr>
          <w:lang w:val="en-US"/>
        </w:rPr>
        <w:t>).</w:t>
      </w:r>
    </w:p>
    <w:p w14:paraId="777C0A48" w14:textId="77777777" w:rsidR="00204CC8" w:rsidRDefault="00204CC8"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p>
    <w:p w14:paraId="3226099C" w14:textId="2E8B15F2" w:rsidR="005E266E" w:rsidRPr="005E266E" w:rsidRDefault="005A624A"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Pr>
          <w:lang w:val="en-US"/>
        </w:rPr>
        <w:t xml:space="preserve">The Russian Federation also </w:t>
      </w:r>
      <w:r w:rsidR="005E266E">
        <w:rPr>
          <w:lang w:val="en-US"/>
        </w:rPr>
        <w:t xml:space="preserve">prepared </w:t>
      </w:r>
      <w:r w:rsidR="005E266E" w:rsidRPr="005E266E">
        <w:rPr>
          <w:lang w:val="en-US"/>
        </w:rPr>
        <w:t>proposals for modifications to be made to</w:t>
      </w:r>
    </w:p>
    <w:p w14:paraId="58354859" w14:textId="59A88844" w:rsidR="005E266E" w:rsidRP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E266E">
        <w:rPr>
          <w:lang w:val="en-US"/>
        </w:rPr>
        <w:t>Resolution 154 (Rev. Bucharest,2022) of the Plenipotentiary conference</w:t>
      </w:r>
      <w:r>
        <w:rPr>
          <w:lang w:val="en-US"/>
        </w:rPr>
        <w:t xml:space="preserve"> “</w:t>
      </w:r>
      <w:r w:rsidR="009E7830" w:rsidRPr="009E7830">
        <w:t>Use of the six official languages of the Union on an equa</w:t>
      </w:r>
      <w:r w:rsidR="009E7830">
        <w:t>l</w:t>
      </w:r>
      <w:r w:rsidR="009E7830" w:rsidRPr="009E7830">
        <w:t xml:space="preserve"> </w:t>
      </w:r>
      <w:r w:rsidR="0075045D" w:rsidRPr="009E7830">
        <w:t>footing</w:t>
      </w:r>
      <w:r w:rsidR="0075045D">
        <w:rPr>
          <w:lang w:val="en-US"/>
        </w:rPr>
        <w:t>“</w:t>
      </w:r>
      <w:r w:rsidRPr="005E266E">
        <w:rPr>
          <w:lang w:val="en-US"/>
        </w:rPr>
        <w:t>,</w:t>
      </w:r>
      <w:r w:rsidR="009E7830">
        <w:rPr>
          <w:lang w:val="en-US"/>
        </w:rPr>
        <w:t xml:space="preserve"> </w:t>
      </w:r>
      <w:r>
        <w:rPr>
          <w:lang w:val="en-US"/>
        </w:rPr>
        <w:t>(</w:t>
      </w:r>
      <w:r w:rsidRPr="0075045D">
        <w:rPr>
          <w:i/>
          <w:iCs/>
          <w:lang w:val="en-US"/>
        </w:rPr>
        <w:t>see document</w:t>
      </w:r>
      <w:r>
        <w:rPr>
          <w:lang w:val="en-US"/>
        </w:rPr>
        <w:t xml:space="preserve"> </w:t>
      </w:r>
      <w:r w:rsidRPr="0075045D">
        <w:rPr>
          <w:rStyle w:val="Hyperlink"/>
          <w:i/>
          <w:iCs/>
        </w:rPr>
        <w:t>CWG-LANG-17/6</w:t>
      </w:r>
      <w:r>
        <w:t>)</w:t>
      </w:r>
      <w:r w:rsidR="009E7830">
        <w:t xml:space="preserve">. </w:t>
      </w:r>
      <w:r w:rsidRPr="005E266E">
        <w:rPr>
          <w:lang w:val="en-US"/>
        </w:rPr>
        <w:t>The modifications</w:t>
      </w:r>
      <w:r>
        <w:rPr>
          <w:lang w:val="en-US"/>
        </w:rPr>
        <w:t xml:space="preserve"> </w:t>
      </w:r>
      <w:r w:rsidRPr="005E266E">
        <w:rPr>
          <w:lang w:val="en-US"/>
        </w:rPr>
        <w:t>proposed to Resolution 154 are aimed at streamlining references to relevant Sectoral</w:t>
      </w:r>
      <w:r>
        <w:rPr>
          <w:lang w:val="en-US"/>
        </w:rPr>
        <w:t xml:space="preserve"> </w:t>
      </w:r>
      <w:r w:rsidRPr="005E266E">
        <w:rPr>
          <w:lang w:val="en-US"/>
        </w:rPr>
        <w:t>resolutions with the intention of taking into account the interests of the Sectors, which may</w:t>
      </w:r>
      <w:r>
        <w:rPr>
          <w:lang w:val="en-US"/>
        </w:rPr>
        <w:t xml:space="preserve"> </w:t>
      </w:r>
      <w:r w:rsidRPr="005E266E">
        <w:rPr>
          <w:lang w:val="en-US"/>
        </w:rPr>
        <w:t>allow the cancellation or significant reduction of the relevant Sectoral resolutions.</w:t>
      </w:r>
    </w:p>
    <w:p w14:paraId="2969227E" w14:textId="537B5711" w:rsidR="005E266E" w:rsidRP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E266E">
        <w:rPr>
          <w:lang w:val="en-US"/>
        </w:rPr>
        <w:t>This proposal is submitted in conjunction with the proposal to revise Council Resolution 1386</w:t>
      </w:r>
      <w:r>
        <w:rPr>
          <w:lang w:val="en-US"/>
        </w:rPr>
        <w:t xml:space="preserve"> “</w:t>
      </w:r>
      <w:r w:rsidRPr="005E266E">
        <w:t>ITU Coordination Committee for Terminology (ITU CCT</w:t>
      </w:r>
      <w:r>
        <w:t>}”</w:t>
      </w:r>
      <w:r w:rsidRPr="005E266E">
        <w:rPr>
          <w:lang w:val="en-US"/>
        </w:rPr>
        <w:t xml:space="preserve"> </w:t>
      </w:r>
      <w:r>
        <w:rPr>
          <w:lang w:val="en-US"/>
        </w:rPr>
        <w:t>(</w:t>
      </w:r>
      <w:r w:rsidRPr="0075045D">
        <w:rPr>
          <w:i/>
          <w:iCs/>
          <w:lang w:val="en-US"/>
        </w:rPr>
        <w:t>see document</w:t>
      </w:r>
      <w:r>
        <w:rPr>
          <w:lang w:val="en-US"/>
        </w:rPr>
        <w:t xml:space="preserve"> </w:t>
      </w:r>
      <w:r w:rsidRPr="0075045D">
        <w:rPr>
          <w:rStyle w:val="Hyperlink"/>
          <w:i/>
          <w:iCs/>
        </w:rPr>
        <w:t>CWG-LANG-17/5</w:t>
      </w:r>
      <w:r>
        <w:t xml:space="preserve">) </w:t>
      </w:r>
      <w:r w:rsidRPr="005E266E">
        <w:rPr>
          <w:lang w:val="en-US"/>
        </w:rPr>
        <w:t xml:space="preserve">and is based on the compilation of PP and Sectoral resolutions presented in the </w:t>
      </w:r>
      <w:r w:rsidR="006B3F80" w:rsidRPr="005A624A">
        <w:rPr>
          <w:rStyle w:val="Hyperlink"/>
          <w:i/>
          <w:iCs/>
        </w:rPr>
        <w:t>A</w:t>
      </w:r>
      <w:r w:rsidR="006B3F80" w:rsidRPr="006B3F80">
        <w:rPr>
          <w:rStyle w:val="Hyperlink"/>
          <w:i/>
          <w:iCs/>
        </w:rPr>
        <w:t xml:space="preserve">dditional document </w:t>
      </w:r>
      <w:r w:rsidR="006B3F80">
        <w:rPr>
          <w:rStyle w:val="Hyperlink"/>
          <w:i/>
          <w:iCs/>
        </w:rPr>
        <w:t>2</w:t>
      </w:r>
      <w:r w:rsidR="006B3F80" w:rsidRPr="006B3F80">
        <w:rPr>
          <w:rStyle w:val="Hyperlink"/>
          <w:i/>
          <w:iCs/>
        </w:rPr>
        <w:t xml:space="preserve"> to document ISCG/26-1/</w:t>
      </w:r>
      <w:proofErr w:type="spellStart"/>
      <w:r w:rsidR="006B3F80" w:rsidRPr="006B3F80">
        <w:rPr>
          <w:rStyle w:val="Hyperlink"/>
          <w:i/>
          <w:iCs/>
        </w:rPr>
        <w:t>ru</w:t>
      </w:r>
      <w:proofErr w:type="spellEnd"/>
      <w:r w:rsidRPr="005E266E">
        <w:rPr>
          <w:lang w:val="en-US"/>
        </w:rPr>
        <w:t>.</w:t>
      </w:r>
    </w:p>
    <w:p w14:paraId="415CF312" w14:textId="77777777" w:rsidR="005E266E" w:rsidRP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E266E">
        <w:rPr>
          <w:lang w:val="en-US"/>
        </w:rPr>
        <w:t>If it is agreed at PP-26, it will be reasonable to request RA-27 and WTSA-28 to consider</w:t>
      </w:r>
    </w:p>
    <w:p w14:paraId="25E5D554" w14:textId="24B02689" w:rsidR="005E266E" w:rsidRP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E266E">
        <w:rPr>
          <w:lang w:val="en-US"/>
        </w:rPr>
        <w:t>modification of Resolution ITU-R 36-6 and WTSA Resolution 67 (Rev. New Delhi, 2024)</w:t>
      </w:r>
      <w:r w:rsidR="009E7830">
        <w:rPr>
          <w:lang w:val="en-US"/>
        </w:rPr>
        <w:t>,</w:t>
      </w:r>
    </w:p>
    <w:p w14:paraId="7D35BE8B" w14:textId="14C321AD" w:rsid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5E266E">
        <w:rPr>
          <w:lang w:val="en-US"/>
        </w:rPr>
        <w:t>accordingly</w:t>
      </w:r>
      <w:r w:rsidR="009E7830">
        <w:rPr>
          <w:lang w:val="en-US"/>
        </w:rPr>
        <w:t>,</w:t>
      </w:r>
      <w:r w:rsidRPr="005E266E">
        <w:rPr>
          <w:lang w:val="en-US"/>
        </w:rPr>
        <w:t xml:space="preserve"> or suppress these resolutions with relevant modification of Resolutions 1</w:t>
      </w:r>
      <w:r>
        <w:rPr>
          <w:lang w:val="en-US"/>
        </w:rPr>
        <w:t xml:space="preserve"> of the Sectors.</w:t>
      </w:r>
    </w:p>
    <w:p w14:paraId="3AA6D8BF" w14:textId="77777777" w:rsidR="005E266E" w:rsidRDefault="005E266E"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p>
    <w:p w14:paraId="7C0BBD91" w14:textId="1B8CE6F2" w:rsidR="009E7830" w:rsidRDefault="009E7830" w:rsidP="0075045D">
      <w:pPr>
        <w:tabs>
          <w:tab w:val="clear" w:pos="567"/>
          <w:tab w:val="clear" w:pos="1134"/>
          <w:tab w:val="clear" w:pos="1701"/>
          <w:tab w:val="clear" w:pos="2268"/>
          <w:tab w:val="clear" w:pos="2835"/>
        </w:tabs>
        <w:overflowPunct/>
        <w:autoSpaceDE/>
        <w:autoSpaceDN/>
        <w:adjustRightInd/>
        <w:spacing w:before="0"/>
        <w:jc w:val="both"/>
        <w:textAlignment w:val="auto"/>
        <w:rPr>
          <w:b/>
          <w:bCs/>
          <w:lang w:val="en-US"/>
        </w:rPr>
      </w:pPr>
      <w:r w:rsidRPr="009E7830">
        <w:rPr>
          <w:b/>
          <w:bCs/>
          <w:lang w:val="en-US"/>
        </w:rPr>
        <w:t>II</w:t>
      </w:r>
      <w:r w:rsidRPr="009E7830">
        <w:rPr>
          <w:b/>
          <w:bCs/>
          <w:lang w:val="en-US"/>
        </w:rPr>
        <w:tab/>
        <w:t>Proposals</w:t>
      </w:r>
    </w:p>
    <w:p w14:paraId="05C9B34B" w14:textId="77777777" w:rsidR="009E7830" w:rsidRDefault="009E7830" w:rsidP="0075045D">
      <w:pPr>
        <w:tabs>
          <w:tab w:val="clear" w:pos="567"/>
          <w:tab w:val="clear" w:pos="1134"/>
          <w:tab w:val="clear" w:pos="1701"/>
          <w:tab w:val="clear" w:pos="2268"/>
          <w:tab w:val="clear" w:pos="2835"/>
        </w:tabs>
        <w:overflowPunct/>
        <w:autoSpaceDE/>
        <w:autoSpaceDN/>
        <w:adjustRightInd/>
        <w:spacing w:before="0"/>
        <w:jc w:val="both"/>
        <w:textAlignment w:val="auto"/>
        <w:rPr>
          <w:b/>
          <w:bCs/>
          <w:lang w:val="en-US"/>
        </w:rPr>
      </w:pPr>
    </w:p>
    <w:p w14:paraId="0027DB18" w14:textId="759366F6" w:rsidR="009E7830" w:rsidRDefault="009E7830"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sidRPr="009E7830">
        <w:rPr>
          <w:lang w:val="en-US"/>
        </w:rPr>
        <w:t xml:space="preserve">2.1  </w:t>
      </w:r>
      <w:r>
        <w:rPr>
          <w:lang w:val="en-US"/>
        </w:rPr>
        <w:t xml:space="preserve"> </w:t>
      </w:r>
      <w:r w:rsidR="0075045D">
        <w:rPr>
          <w:lang w:val="en-US"/>
        </w:rPr>
        <w:t>T</w:t>
      </w:r>
      <w:r>
        <w:rPr>
          <w:lang w:val="en-US"/>
        </w:rPr>
        <w:t>o consider proposals and provide comments for the proposed approach for streamlining</w:t>
      </w:r>
      <w:r w:rsidR="0075045D">
        <w:rPr>
          <w:lang w:val="en-US"/>
        </w:rPr>
        <w:t>.</w:t>
      </w:r>
    </w:p>
    <w:p w14:paraId="265589D3" w14:textId="709657FC" w:rsidR="009E7830" w:rsidRDefault="009E7830" w:rsidP="0075045D">
      <w:pPr>
        <w:tabs>
          <w:tab w:val="clear" w:pos="567"/>
          <w:tab w:val="clear" w:pos="1134"/>
          <w:tab w:val="clear" w:pos="1701"/>
          <w:tab w:val="clear" w:pos="2268"/>
          <w:tab w:val="clear" w:pos="2835"/>
        </w:tabs>
        <w:overflowPunct/>
        <w:autoSpaceDE/>
        <w:autoSpaceDN/>
        <w:adjustRightInd/>
        <w:spacing w:before="0"/>
        <w:jc w:val="both"/>
        <w:textAlignment w:val="auto"/>
        <w:rPr>
          <w:lang w:val="en-US"/>
        </w:rPr>
      </w:pPr>
      <w:r>
        <w:rPr>
          <w:lang w:val="en-US"/>
        </w:rPr>
        <w:t xml:space="preserve">2.2   </w:t>
      </w:r>
      <w:r w:rsidR="0075045D">
        <w:rPr>
          <w:lang w:val="en-US"/>
        </w:rPr>
        <w:t>T</w:t>
      </w:r>
      <w:r>
        <w:rPr>
          <w:lang w:val="en-US"/>
        </w:rPr>
        <w:t xml:space="preserve">o propose other resolutions for </w:t>
      </w:r>
      <w:r w:rsidR="0075045D">
        <w:rPr>
          <w:lang w:val="en-US"/>
        </w:rPr>
        <w:t xml:space="preserve">possible </w:t>
      </w:r>
      <w:r>
        <w:rPr>
          <w:lang w:val="en-US"/>
        </w:rPr>
        <w:t>streamlining</w:t>
      </w:r>
      <w:r w:rsidR="0075045D">
        <w:rPr>
          <w:lang w:val="en-US"/>
        </w:rPr>
        <w:t>.</w:t>
      </w:r>
    </w:p>
    <w:p w14:paraId="74961BBE" w14:textId="70CAF1D2" w:rsidR="009E7830" w:rsidRDefault="009E7830" w:rsidP="0075045D">
      <w:pPr>
        <w:tabs>
          <w:tab w:val="clear" w:pos="567"/>
          <w:tab w:val="clear" w:pos="1134"/>
          <w:tab w:val="clear" w:pos="1701"/>
          <w:tab w:val="clear" w:pos="2268"/>
          <w:tab w:val="clear" w:pos="2835"/>
        </w:tabs>
        <w:overflowPunct/>
        <w:autoSpaceDE/>
        <w:autoSpaceDN/>
        <w:adjustRightInd/>
        <w:spacing w:before="0"/>
        <w:jc w:val="both"/>
        <w:textAlignment w:val="auto"/>
      </w:pPr>
      <w:r>
        <w:rPr>
          <w:lang w:val="en-US"/>
        </w:rPr>
        <w:t xml:space="preserve">2.3   </w:t>
      </w:r>
      <w:r w:rsidR="0075045D">
        <w:rPr>
          <w:lang w:val="en-US"/>
        </w:rPr>
        <w:t>The Russian Federation could support an appointment Prof.</w:t>
      </w:r>
      <w:r w:rsidR="00000269">
        <w:rPr>
          <w:lang w:val="en-US"/>
        </w:rPr>
        <w:t xml:space="preserve"> </w:t>
      </w:r>
      <w:r w:rsidR="0075045D">
        <w:rPr>
          <w:lang w:val="en-US"/>
        </w:rPr>
        <w:t>Dr.</w:t>
      </w:r>
      <w:r w:rsidR="00000269">
        <w:rPr>
          <w:lang w:val="en-US"/>
        </w:rPr>
        <w:t xml:space="preserve"> </w:t>
      </w:r>
      <w:r w:rsidR="0075045D">
        <w:rPr>
          <w:lang w:val="en-US"/>
        </w:rPr>
        <w:t>V.</w:t>
      </w:r>
      <w:r w:rsidR="00000269">
        <w:rPr>
          <w:lang w:val="en-US"/>
        </w:rPr>
        <w:t xml:space="preserve"> </w:t>
      </w:r>
      <w:r w:rsidR="0075045D">
        <w:rPr>
          <w:lang w:val="en-US"/>
        </w:rPr>
        <w:t xml:space="preserve">Minkin </w:t>
      </w:r>
      <w:r w:rsidR="0075045D" w:rsidRPr="0075045D">
        <w:rPr>
          <w:lang w:val="en-US"/>
        </w:rPr>
        <w:t xml:space="preserve">as a </w:t>
      </w:r>
      <w:r w:rsidR="0075045D" w:rsidRPr="0075045D">
        <w:t xml:space="preserve">rapporteur for </w:t>
      </w:r>
      <w:r w:rsidR="0075045D">
        <w:t xml:space="preserve">the </w:t>
      </w:r>
      <w:r w:rsidR="0075045D" w:rsidRPr="0075045D">
        <w:t>group</w:t>
      </w:r>
      <w:r w:rsidR="0075045D">
        <w:t xml:space="preserve"> </w:t>
      </w:r>
      <w:r w:rsidR="0075045D" w:rsidRPr="0075045D">
        <w:t>for the streamlining of sectoral and PP resolutions</w:t>
      </w:r>
      <w:r w:rsidR="0075045D">
        <w:t>, if ISCG members are interested in its work and be active in that.</w:t>
      </w:r>
      <w:bookmarkEnd w:id="6"/>
    </w:p>
    <w:sectPr w:rsidR="009E7830" w:rsidSect="008F163A">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4359" w14:textId="77777777" w:rsidR="00890859" w:rsidRDefault="00890859">
      <w:r>
        <w:separator/>
      </w:r>
    </w:p>
  </w:endnote>
  <w:endnote w:type="continuationSeparator" w:id="0">
    <w:p w14:paraId="6197A573" w14:textId="77777777" w:rsidR="00890859" w:rsidRDefault="0089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76D9E" w:rsidRPr="00A76D9E" w14:paraId="1444CD1C" w14:textId="77777777" w:rsidTr="009533DA">
      <w:trPr>
        <w:jc w:val="center"/>
      </w:trPr>
      <w:tc>
        <w:tcPr>
          <w:tcW w:w="1803" w:type="dxa"/>
          <w:vAlign w:val="center"/>
        </w:tcPr>
        <w:p w14:paraId="4CB31881" w14:textId="77777777" w:rsidR="00A76D9E" w:rsidRPr="00A76D9E" w:rsidRDefault="00A76D9E" w:rsidP="00A76D9E">
          <w:pPr>
            <w:pStyle w:val="Footer"/>
            <w:rPr>
              <w:rFonts w:eastAsia="Times New Roman" w:cs="Times New Roman"/>
              <w:szCs w:val="20"/>
            </w:rPr>
          </w:pPr>
        </w:p>
      </w:tc>
      <w:tc>
        <w:tcPr>
          <w:tcW w:w="8261" w:type="dxa"/>
        </w:tcPr>
        <w:p w14:paraId="0DBFDB18" w14:textId="5203A54D" w:rsidR="00A76D9E" w:rsidRPr="00A76D9E" w:rsidRDefault="00A76D9E" w:rsidP="00A76D9E">
          <w:pPr>
            <w:pStyle w:val="Footer"/>
            <w:rPr>
              <w:rFonts w:eastAsia="Times New Roman" w:cs="Times New Roman"/>
              <w:b/>
              <w:bCs/>
              <w:szCs w:val="20"/>
              <w:lang w:val="es-ES"/>
            </w:rPr>
          </w:pPr>
          <w:r w:rsidRPr="00A76D9E">
            <w:rPr>
              <w:rFonts w:eastAsia="Times New Roman" w:cs="Times New Roman"/>
              <w:bCs/>
              <w:szCs w:val="20"/>
              <w:lang w:val="fr-CH"/>
            </w:rPr>
            <w:tab/>
          </w:r>
          <w:r w:rsidRPr="00A76D9E">
            <w:rPr>
              <w:rFonts w:eastAsia="Times New Roman" w:cs="Times New Roman"/>
              <w:bCs/>
              <w:szCs w:val="20"/>
              <w:lang w:val="es-ES"/>
            </w:rPr>
            <w:t>ISCG/26-1/</w:t>
          </w:r>
          <w:r>
            <w:rPr>
              <w:rFonts w:eastAsia="Times New Roman" w:cs="Times New Roman"/>
              <w:bCs/>
              <w:szCs w:val="20"/>
              <w:lang w:val="es-ES"/>
            </w:rPr>
            <w:t>7</w:t>
          </w:r>
          <w:r w:rsidRPr="00A76D9E">
            <w:rPr>
              <w:rFonts w:eastAsia="Times New Roman" w:cs="Times New Roman"/>
              <w:bCs/>
              <w:szCs w:val="20"/>
              <w:lang w:val="es-ES"/>
            </w:rPr>
            <w:t>-E</w:t>
          </w:r>
          <w:r w:rsidRPr="00A76D9E">
            <w:rPr>
              <w:rFonts w:eastAsia="Times New Roman" w:cs="Times New Roman"/>
              <w:bCs/>
              <w:szCs w:val="20"/>
              <w:lang w:val="es-ES"/>
            </w:rPr>
            <w:tab/>
          </w:r>
          <w:r w:rsidRPr="00A76D9E">
            <w:fldChar w:fldCharType="begin"/>
          </w:r>
          <w:r w:rsidRPr="00A76D9E">
            <w:rPr>
              <w:rFonts w:eastAsia="Times New Roman" w:cs="Times New Roman"/>
              <w:szCs w:val="20"/>
              <w:lang w:val="es-ES"/>
            </w:rPr>
            <w:instrText>PAGE</w:instrText>
          </w:r>
          <w:r w:rsidRPr="00A76D9E">
            <w:fldChar w:fldCharType="separate"/>
          </w:r>
          <w:r w:rsidRPr="00A76D9E">
            <w:rPr>
              <w:rFonts w:eastAsia="Times New Roman" w:cs="Times New Roman"/>
              <w:szCs w:val="20"/>
              <w:lang w:val="es-ES"/>
            </w:rPr>
            <w:t>1</w:t>
          </w:r>
          <w:r w:rsidRPr="00A76D9E">
            <w:fldChar w:fldCharType="end"/>
          </w:r>
        </w:p>
      </w:tc>
    </w:tr>
  </w:tbl>
  <w:p w14:paraId="59F0EE94" w14:textId="77777777" w:rsidR="00A76D9E" w:rsidRDefault="00A76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A76D9E" w:rsidRPr="00870C17" w14:paraId="4273C3DB" w14:textId="77777777" w:rsidTr="009533DA">
      <w:trPr>
        <w:jc w:val="center"/>
      </w:trPr>
      <w:tc>
        <w:tcPr>
          <w:tcW w:w="7326" w:type="dxa"/>
          <w:vAlign w:val="center"/>
        </w:tcPr>
        <w:p w14:paraId="74C3CCC7" w14:textId="77777777" w:rsidR="00A76D9E" w:rsidRPr="00D74BFC" w:rsidRDefault="00A76D9E" w:rsidP="00A76D9E">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1693E2E2" w14:textId="77777777" w:rsidR="00A76D9E" w:rsidRPr="000F6AB8" w:rsidRDefault="00A76D9E" w:rsidP="00A76D9E">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DA2689F" w14:textId="77777777" w:rsidR="00A76D9E" w:rsidRDefault="00A76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081F" w14:textId="77777777" w:rsidR="00890859" w:rsidRDefault="00890859">
      <w:r>
        <w:t>____________________</w:t>
      </w:r>
    </w:p>
  </w:footnote>
  <w:footnote w:type="continuationSeparator" w:id="0">
    <w:p w14:paraId="15BE235C" w14:textId="77777777" w:rsidR="00890859" w:rsidRDefault="0089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76B4F" w:rsidRPr="00784011" w14:paraId="7D05A28A" w14:textId="77777777" w:rsidTr="00EB6249">
      <w:trPr>
        <w:trHeight w:val="1304"/>
        <w:jc w:val="center"/>
      </w:trPr>
      <w:tc>
        <w:tcPr>
          <w:tcW w:w="6546" w:type="dxa"/>
        </w:tcPr>
        <w:p w14:paraId="6AED6F72" w14:textId="037E225B" w:rsidR="00576B4F" w:rsidRPr="009621F8" w:rsidRDefault="00576B4F" w:rsidP="00576B4F">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5C397261" wp14:editId="19AA31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E648" id="Rectangle 2" o:spid="_x0000_s1026" style="position:absolute;margin-left:44.9pt;margin-top:5pt;width:130.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6840A42C" wp14:editId="12E71DA7">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31D95B35" w14:textId="77777777" w:rsidR="00576B4F" w:rsidRDefault="00576B4F" w:rsidP="00576B4F">
          <w:pPr>
            <w:pStyle w:val="Header"/>
            <w:jc w:val="right"/>
            <w:rPr>
              <w:rFonts w:ascii="Arial" w:hAnsi="Arial" w:cs="Arial"/>
              <w:b/>
              <w:bCs/>
              <w:color w:val="009CD6"/>
              <w:szCs w:val="18"/>
            </w:rPr>
          </w:pPr>
        </w:p>
        <w:p w14:paraId="7A8CBE37" w14:textId="77777777" w:rsidR="00576B4F" w:rsidRDefault="00576B4F" w:rsidP="00576B4F">
          <w:pPr>
            <w:pStyle w:val="Header"/>
            <w:jc w:val="right"/>
            <w:rPr>
              <w:rFonts w:ascii="Arial" w:hAnsi="Arial" w:cs="Arial"/>
              <w:b/>
              <w:bCs/>
              <w:color w:val="009CD6"/>
              <w:szCs w:val="18"/>
            </w:rPr>
          </w:pPr>
        </w:p>
        <w:p w14:paraId="046A4C81" w14:textId="77777777" w:rsidR="00576B4F" w:rsidRPr="00784011" w:rsidRDefault="00576B4F" w:rsidP="00576B4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7A1857F1" w14:textId="18F8BE53" w:rsidR="008F163A" w:rsidRDefault="00576B4F">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0AACBDDD" wp14:editId="7C2BB920">
              <wp:simplePos x="0" y="0"/>
              <wp:positionH relativeFrom="column">
                <wp:posOffset>389255</wp:posOffset>
              </wp:positionH>
              <wp:positionV relativeFrom="paragraph">
                <wp:posOffset>-849630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2D278EE4" w14:textId="77777777" w:rsidR="00576B4F" w:rsidRDefault="00576B4F" w:rsidP="00576B4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ACBDDD" id="_x0000_t202" coordsize="21600,21600" o:spt="202" path="m,l,21600r21600,l21600,xe">
              <v:stroke joinstyle="miter"/>
              <v:path gradientshapeok="t" o:connecttype="rect"/>
            </v:shapetype>
            <v:shape id="Text Box 2" o:spid="_x0000_s1026" type="#_x0000_t202" style="position:absolute;left:0;text-align:left;margin-left:30.65pt;margin-top:-66.9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" fillcolor="window" stroked="f">
              <v:textbox style="mso-fit-shape-to-text:t" inset="1mm">
                <w:txbxContent>
                  <w:p w14:paraId="2D278EE4" w14:textId="77777777" w:rsidR="00576B4F" w:rsidRDefault="00576B4F" w:rsidP="00576B4F">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7F753EF9" wp14:editId="64A0FD10">
              <wp:simplePos x="0" y="0"/>
              <wp:positionH relativeFrom="page">
                <wp:posOffset>14605</wp:posOffset>
              </wp:positionH>
              <wp:positionV relativeFrom="topMargin">
                <wp:posOffset>570230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D703" id="Rectangle 5" o:spid="_x0000_s1026" style="position:absolute;margin-left:1.15pt;margin-top:44.9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0269"/>
    <w:rsid w:val="00003A6D"/>
    <w:rsid w:val="000041A9"/>
    <w:rsid w:val="00004C8C"/>
    <w:rsid w:val="00006DB2"/>
    <w:rsid w:val="000120E4"/>
    <w:rsid w:val="000210D4"/>
    <w:rsid w:val="00024572"/>
    <w:rsid w:val="000525A1"/>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545E8"/>
    <w:rsid w:val="0016259B"/>
    <w:rsid w:val="0017539C"/>
    <w:rsid w:val="00175AC2"/>
    <w:rsid w:val="0017609F"/>
    <w:rsid w:val="00196FFD"/>
    <w:rsid w:val="001A7D1D"/>
    <w:rsid w:val="001B0595"/>
    <w:rsid w:val="001B51DD"/>
    <w:rsid w:val="001C628E"/>
    <w:rsid w:val="001D62DF"/>
    <w:rsid w:val="001E0F7B"/>
    <w:rsid w:val="001E0FBE"/>
    <w:rsid w:val="001E5FE7"/>
    <w:rsid w:val="00204CC8"/>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76B4F"/>
    <w:rsid w:val="005800BC"/>
    <w:rsid w:val="00582442"/>
    <w:rsid w:val="005A335D"/>
    <w:rsid w:val="005A624A"/>
    <w:rsid w:val="005B0869"/>
    <w:rsid w:val="005C13D4"/>
    <w:rsid w:val="005E266E"/>
    <w:rsid w:val="005E2BD5"/>
    <w:rsid w:val="005E4F47"/>
    <w:rsid w:val="005F3269"/>
    <w:rsid w:val="005F7BEB"/>
    <w:rsid w:val="006048F5"/>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3F80"/>
    <w:rsid w:val="006B6680"/>
    <w:rsid w:val="006B6DCC"/>
    <w:rsid w:val="006C2E4B"/>
    <w:rsid w:val="00701C70"/>
    <w:rsid w:val="00702DEF"/>
    <w:rsid w:val="00706861"/>
    <w:rsid w:val="00722C25"/>
    <w:rsid w:val="007247CF"/>
    <w:rsid w:val="00726B8C"/>
    <w:rsid w:val="00727C44"/>
    <w:rsid w:val="007307F0"/>
    <w:rsid w:val="0075045D"/>
    <w:rsid w:val="0075051B"/>
    <w:rsid w:val="00757A85"/>
    <w:rsid w:val="0077110E"/>
    <w:rsid w:val="00775655"/>
    <w:rsid w:val="007849D5"/>
    <w:rsid w:val="00793188"/>
    <w:rsid w:val="00794D34"/>
    <w:rsid w:val="00806E3C"/>
    <w:rsid w:val="00813E5E"/>
    <w:rsid w:val="00816C2C"/>
    <w:rsid w:val="0083581B"/>
    <w:rsid w:val="00845E3A"/>
    <w:rsid w:val="00855E52"/>
    <w:rsid w:val="00860EED"/>
    <w:rsid w:val="00863874"/>
    <w:rsid w:val="00864AFF"/>
    <w:rsid w:val="00865925"/>
    <w:rsid w:val="00870C17"/>
    <w:rsid w:val="00872B5C"/>
    <w:rsid w:val="00875FD1"/>
    <w:rsid w:val="00877BF2"/>
    <w:rsid w:val="00884F3A"/>
    <w:rsid w:val="00890859"/>
    <w:rsid w:val="00891503"/>
    <w:rsid w:val="008A2F06"/>
    <w:rsid w:val="008B4A6A"/>
    <w:rsid w:val="008C7E27"/>
    <w:rsid w:val="008F163A"/>
    <w:rsid w:val="008F3822"/>
    <w:rsid w:val="008F7448"/>
    <w:rsid w:val="0090147A"/>
    <w:rsid w:val="0090389B"/>
    <w:rsid w:val="009173EF"/>
    <w:rsid w:val="00932906"/>
    <w:rsid w:val="00932B94"/>
    <w:rsid w:val="00961860"/>
    <w:rsid w:val="00961B0B"/>
    <w:rsid w:val="00962D33"/>
    <w:rsid w:val="00976CAC"/>
    <w:rsid w:val="009B38C3"/>
    <w:rsid w:val="009B44BD"/>
    <w:rsid w:val="009E17BD"/>
    <w:rsid w:val="009E485A"/>
    <w:rsid w:val="009E7830"/>
    <w:rsid w:val="00A04CEC"/>
    <w:rsid w:val="00A27F92"/>
    <w:rsid w:val="00A32257"/>
    <w:rsid w:val="00A36D20"/>
    <w:rsid w:val="00A43C03"/>
    <w:rsid w:val="00A46CD0"/>
    <w:rsid w:val="00A514A4"/>
    <w:rsid w:val="00A52C84"/>
    <w:rsid w:val="00A55622"/>
    <w:rsid w:val="00A76D9E"/>
    <w:rsid w:val="00A83502"/>
    <w:rsid w:val="00A92F36"/>
    <w:rsid w:val="00AB0E78"/>
    <w:rsid w:val="00AC6BFA"/>
    <w:rsid w:val="00AD15B3"/>
    <w:rsid w:val="00AD3606"/>
    <w:rsid w:val="00AD4A3D"/>
    <w:rsid w:val="00AE47A8"/>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6F5D"/>
    <w:rsid w:val="00C01189"/>
    <w:rsid w:val="00C27DB8"/>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42ECD"/>
    <w:rsid w:val="00E4728B"/>
    <w:rsid w:val="00E545C6"/>
    <w:rsid w:val="00E60F04"/>
    <w:rsid w:val="00E63EFF"/>
    <w:rsid w:val="00E65B24"/>
    <w:rsid w:val="00E854E4"/>
    <w:rsid w:val="00E85B67"/>
    <w:rsid w:val="00E86DBF"/>
    <w:rsid w:val="00EA1733"/>
    <w:rsid w:val="00EB0D6F"/>
    <w:rsid w:val="00EB2232"/>
    <w:rsid w:val="00EC5337"/>
    <w:rsid w:val="00EC7C07"/>
    <w:rsid w:val="00EE49E8"/>
    <w:rsid w:val="00EF17E1"/>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
    <w:basedOn w:val="DefaultParagraphFont"/>
    <w:rsid w:val="00813E5E"/>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qFormat/>
    <w:rsid w:val="00813E5E"/>
    <w:pPr>
      <w:spacing w:before="720"/>
      <w:jc w:val="center"/>
    </w:pPr>
    <w:rPr>
      <w:caps/>
      <w:sz w:val="28"/>
    </w:rPr>
  </w:style>
  <w:style w:type="paragraph" w:customStyle="1" w:styleId="Annextitle">
    <w:name w:val="Annex_title"/>
    <w:basedOn w:val="Normal"/>
    <w:next w:val="Normal"/>
    <w:uiPriority w:val="99"/>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character" w:customStyle="1" w:styleId="href">
    <w:name w:val="href"/>
    <w:basedOn w:val="DefaultParagraphFont"/>
    <w:rsid w:val="00BF6F5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BF6F5D"/>
    <w:rPr>
      <w:rFonts w:ascii="Calibri" w:hAnsi="Calibri"/>
      <w:sz w:val="24"/>
      <w:lang w:val="en-GB" w:eastAsia="en-US"/>
    </w:rPr>
  </w:style>
  <w:style w:type="paragraph" w:customStyle="1" w:styleId="Reasons">
    <w:name w:val="Reasons"/>
    <w:basedOn w:val="Normal"/>
    <w:qFormat/>
    <w:rsid w:val="00BF6F5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RestitleChar">
    <w:name w:val="Res_title Char"/>
    <w:link w:val="Restitle"/>
    <w:rsid w:val="00BF6F5D"/>
    <w:rPr>
      <w:rFonts w:ascii="Calibri" w:hAnsi="Calibri"/>
      <w:b/>
      <w:sz w:val="28"/>
      <w:lang w:val="en-GB" w:eastAsia="en-US"/>
    </w:rPr>
  </w:style>
  <w:style w:type="character" w:customStyle="1" w:styleId="CallChar">
    <w:name w:val="Call Char"/>
    <w:link w:val="Call"/>
    <w:rsid w:val="00BF6F5D"/>
    <w:rPr>
      <w:rFonts w:ascii="Calibri" w:hAnsi="Calibri"/>
      <w:i/>
      <w:sz w:val="24"/>
      <w:lang w:val="en-GB" w:eastAsia="en-US"/>
    </w:rPr>
  </w:style>
  <w:style w:type="character" w:styleId="CommentReference">
    <w:name w:val="annotation reference"/>
    <w:basedOn w:val="DefaultParagraphFont"/>
    <w:semiHidden/>
    <w:unhideWhenUsed/>
    <w:rsid w:val="00BF6F5D"/>
    <w:rPr>
      <w:sz w:val="16"/>
      <w:szCs w:val="16"/>
    </w:rPr>
  </w:style>
  <w:style w:type="paragraph" w:styleId="CommentText">
    <w:name w:val="annotation text"/>
    <w:basedOn w:val="Normal"/>
    <w:link w:val="CommentTextChar"/>
    <w:semiHidden/>
    <w:unhideWhenUsed/>
    <w:rsid w:val="00BF6F5D"/>
    <w:rPr>
      <w:sz w:val="20"/>
    </w:rPr>
  </w:style>
  <w:style w:type="character" w:customStyle="1" w:styleId="CommentTextChar">
    <w:name w:val="Comment Text Char"/>
    <w:basedOn w:val="DefaultParagraphFont"/>
    <w:link w:val="CommentText"/>
    <w:semiHidden/>
    <w:rsid w:val="00BF6F5D"/>
    <w:rPr>
      <w:rFonts w:ascii="Calibri" w:hAnsi="Calibri"/>
      <w:lang w:val="en-GB" w:eastAsia="en-US"/>
    </w:rPr>
  </w:style>
  <w:style w:type="character" w:customStyle="1" w:styleId="ResNoChar">
    <w:name w:val="Res_No Char"/>
    <w:link w:val="ResNo"/>
    <w:rsid w:val="00BF6F5D"/>
    <w:rPr>
      <w:rFonts w:ascii="Calibri" w:hAnsi="Calibri"/>
      <w:caps/>
      <w:sz w:val="28"/>
      <w:lang w:val="en-GB" w:eastAsia="en-US"/>
    </w:rPr>
  </w:style>
  <w:style w:type="character" w:customStyle="1" w:styleId="NormalaftertitleChar">
    <w:name w:val="Normal after title Char"/>
    <w:link w:val="Normalaftertitle"/>
    <w:locked/>
    <w:rsid w:val="00BF6F5D"/>
    <w:rPr>
      <w:rFonts w:ascii="Calibri" w:hAnsi="Calibri"/>
      <w:sz w:val="24"/>
      <w:lang w:val="en-GB" w:eastAsia="en-US"/>
    </w:rPr>
  </w:style>
  <w:style w:type="character" w:customStyle="1" w:styleId="enumlev1Char">
    <w:name w:val="enumlev1 Char"/>
    <w:link w:val="enumlev1"/>
    <w:qFormat/>
    <w:rsid w:val="00BF6F5D"/>
    <w:rPr>
      <w:rFonts w:ascii="Calibri" w:hAnsi="Calibri"/>
      <w:sz w:val="24"/>
      <w:lang w:val="en-GB" w:eastAsia="en-US"/>
    </w:rPr>
  </w:style>
  <w:style w:type="paragraph" w:styleId="Revision">
    <w:name w:val="Revision"/>
    <w:hidden/>
    <w:uiPriority w:val="99"/>
    <w:semiHidden/>
    <w:rsid w:val="00BF6F5D"/>
    <w:rPr>
      <w:rFonts w:ascii="Calibri" w:hAnsi="Calibri"/>
      <w:sz w:val="24"/>
      <w:lang w:val="en-GB" w:eastAsia="en-US"/>
    </w:rPr>
  </w:style>
  <w:style w:type="character" w:customStyle="1" w:styleId="AnnexNoChar">
    <w:name w:val="Annex_No Char"/>
    <w:basedOn w:val="DefaultParagraphFont"/>
    <w:link w:val="AnnexNo"/>
    <w:rsid w:val="00BF6F5D"/>
    <w:rPr>
      <w:rFonts w:ascii="Calibri" w:hAnsi="Calibri"/>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general-secretariat/ties/ISCGDocumentLibrary/2nd%20Meeting%202025/ISCG-25-2-04-Streamlining_PP_and_Sectoral_Resolutions_Russian%20Fed.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3</TotalTime>
  <Pages>2</Pages>
  <Words>590</Words>
  <Characters>3366</Characters>
  <Application>Microsoft Office Word</Application>
  <DocSecurity>0</DocSecurity>
  <Lines>67</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5</cp:revision>
  <dcterms:created xsi:type="dcterms:W3CDTF">2026-01-15T13:50:00Z</dcterms:created>
  <dcterms:modified xsi:type="dcterms:W3CDTF">2026-01-16T14:47:00Z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