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5" w:tblpY="2317"/>
        <w:tblW w:w="9640" w:type="dxa"/>
        <w:tblLayout w:type="fixed"/>
        <w:tblLook w:val="0000" w:firstRow="0" w:lastRow="0" w:firstColumn="0" w:lastColumn="0" w:noHBand="0" w:noVBand="0"/>
      </w:tblPr>
      <w:tblGrid>
        <w:gridCol w:w="1596"/>
        <w:gridCol w:w="2799"/>
        <w:gridCol w:w="638"/>
        <w:gridCol w:w="1063"/>
        <w:gridCol w:w="3544"/>
      </w:tblGrid>
      <w:tr w:rsidR="00AD3606" w:rsidRPr="004B51C8" w14:paraId="75738ABB" w14:textId="77777777" w:rsidTr="00A12786">
        <w:trPr>
          <w:cantSplit/>
          <w:trHeight w:val="23"/>
        </w:trPr>
        <w:tc>
          <w:tcPr>
            <w:tcW w:w="4395" w:type="dxa"/>
            <w:gridSpan w:val="2"/>
            <w:vMerge w:val="restart"/>
            <w:tcMar>
              <w:left w:w="0" w:type="dxa"/>
            </w:tcMar>
          </w:tcPr>
          <w:p w14:paraId="333D3DBA" w14:textId="77777777" w:rsidR="00AD3606" w:rsidRPr="00147C54" w:rsidRDefault="00AD3606" w:rsidP="00A12786">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gridSpan w:val="3"/>
          </w:tcPr>
          <w:p w14:paraId="4F75CE2E" w14:textId="727B419E" w:rsidR="00AD3606" w:rsidRPr="00301AEE" w:rsidRDefault="00E85B67" w:rsidP="00A12786">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6C7016">
              <w:rPr>
                <w:b/>
                <w:lang w:val="fr-FR"/>
              </w:rPr>
              <w:t>5</w:t>
            </w:r>
            <w:r w:rsidR="005241E0">
              <w:rPr>
                <w:b/>
                <w:lang w:val="fr-FR"/>
              </w:rPr>
              <w:t>-E</w:t>
            </w:r>
          </w:p>
        </w:tc>
      </w:tr>
      <w:tr w:rsidR="00AD3606" w:rsidRPr="00147C54" w14:paraId="49AA1FBD" w14:textId="77777777" w:rsidTr="00A12786">
        <w:trPr>
          <w:cantSplit/>
        </w:trPr>
        <w:tc>
          <w:tcPr>
            <w:tcW w:w="4395" w:type="dxa"/>
            <w:gridSpan w:val="2"/>
            <w:vMerge/>
          </w:tcPr>
          <w:p w14:paraId="6C9E27D5" w14:textId="77777777" w:rsidR="00AD3606" w:rsidRPr="00301AEE" w:rsidRDefault="00AD3606" w:rsidP="00A12786">
            <w:pPr>
              <w:tabs>
                <w:tab w:val="left" w:pos="851"/>
              </w:tabs>
              <w:spacing w:line="240" w:lineRule="atLeast"/>
              <w:rPr>
                <w:b/>
                <w:lang w:val="fr-FR"/>
              </w:rPr>
            </w:pPr>
            <w:bookmarkStart w:id="6" w:name="ddate" w:colFirst="1" w:colLast="1"/>
            <w:bookmarkEnd w:id="0"/>
            <w:bookmarkEnd w:id="1"/>
          </w:p>
        </w:tc>
        <w:tc>
          <w:tcPr>
            <w:tcW w:w="5245" w:type="dxa"/>
            <w:gridSpan w:val="3"/>
          </w:tcPr>
          <w:p w14:paraId="0A6B18FC" w14:textId="1F8C8B6C" w:rsidR="00AD3606" w:rsidRPr="00147C54" w:rsidRDefault="00887AFA" w:rsidP="00A12786">
            <w:pPr>
              <w:tabs>
                <w:tab w:val="left" w:pos="851"/>
              </w:tabs>
              <w:spacing w:before="0"/>
              <w:jc w:val="right"/>
              <w:rPr>
                <w:b/>
              </w:rPr>
            </w:pPr>
            <w:r>
              <w:rPr>
                <w:b/>
              </w:rPr>
              <w:t>28 January 2026</w:t>
            </w:r>
          </w:p>
        </w:tc>
      </w:tr>
      <w:tr w:rsidR="00AD3606" w:rsidRPr="00147C54" w14:paraId="245EED5B" w14:textId="77777777" w:rsidTr="00A12786">
        <w:trPr>
          <w:cantSplit/>
          <w:trHeight w:val="23"/>
        </w:trPr>
        <w:tc>
          <w:tcPr>
            <w:tcW w:w="4395" w:type="dxa"/>
            <w:gridSpan w:val="2"/>
            <w:vMerge/>
          </w:tcPr>
          <w:p w14:paraId="1E90653D" w14:textId="77777777" w:rsidR="00AD3606" w:rsidRPr="00147C54" w:rsidRDefault="00AD3606" w:rsidP="00A12786">
            <w:pPr>
              <w:tabs>
                <w:tab w:val="left" w:pos="851"/>
              </w:tabs>
              <w:spacing w:line="240" w:lineRule="atLeast"/>
              <w:rPr>
                <w:b/>
              </w:rPr>
            </w:pPr>
            <w:bookmarkStart w:id="7" w:name="dorlang" w:colFirst="1" w:colLast="1"/>
            <w:bookmarkEnd w:id="6"/>
          </w:p>
        </w:tc>
        <w:tc>
          <w:tcPr>
            <w:tcW w:w="5245" w:type="dxa"/>
            <w:gridSpan w:val="3"/>
          </w:tcPr>
          <w:p w14:paraId="248884E4" w14:textId="77777777" w:rsidR="00AD3606" w:rsidRPr="00147C54" w:rsidRDefault="00891503" w:rsidP="00A12786">
            <w:pPr>
              <w:tabs>
                <w:tab w:val="left" w:pos="851"/>
              </w:tabs>
              <w:spacing w:before="0" w:line="240" w:lineRule="atLeast"/>
              <w:jc w:val="right"/>
              <w:rPr>
                <w:b/>
              </w:rPr>
            </w:pPr>
            <w:r w:rsidRPr="00147C54">
              <w:rPr>
                <w:b/>
              </w:rPr>
              <w:t>English only</w:t>
            </w:r>
          </w:p>
        </w:tc>
      </w:tr>
      <w:tr w:rsidR="00472BAD" w:rsidRPr="00147C54" w14:paraId="453B6052" w14:textId="77777777" w:rsidTr="00A12786">
        <w:trPr>
          <w:cantSplit/>
          <w:trHeight w:val="23"/>
        </w:trPr>
        <w:tc>
          <w:tcPr>
            <w:tcW w:w="4395" w:type="dxa"/>
            <w:gridSpan w:val="2"/>
          </w:tcPr>
          <w:p w14:paraId="68C47D52" w14:textId="77777777" w:rsidR="00472BAD" w:rsidRPr="00147C54" w:rsidRDefault="00472BAD" w:rsidP="00A12786">
            <w:pPr>
              <w:tabs>
                <w:tab w:val="left" w:pos="851"/>
              </w:tabs>
              <w:spacing w:line="240" w:lineRule="atLeast"/>
              <w:rPr>
                <w:b/>
              </w:rPr>
            </w:pPr>
          </w:p>
        </w:tc>
        <w:tc>
          <w:tcPr>
            <w:tcW w:w="5245" w:type="dxa"/>
            <w:gridSpan w:val="3"/>
          </w:tcPr>
          <w:p w14:paraId="550894A5" w14:textId="77777777" w:rsidR="00472BAD" w:rsidRPr="00147C54" w:rsidRDefault="00472BAD" w:rsidP="00A12786">
            <w:pPr>
              <w:tabs>
                <w:tab w:val="left" w:pos="851"/>
              </w:tabs>
              <w:spacing w:before="0" w:line="240" w:lineRule="atLeast"/>
              <w:jc w:val="right"/>
              <w:rPr>
                <w:b/>
              </w:rPr>
            </w:pPr>
          </w:p>
        </w:tc>
      </w:tr>
      <w:tr w:rsidR="00AD3606" w:rsidRPr="00147C54" w14:paraId="02CE4872" w14:textId="77777777" w:rsidTr="00A12786">
        <w:trPr>
          <w:cantSplit/>
        </w:trPr>
        <w:tc>
          <w:tcPr>
            <w:tcW w:w="9640" w:type="dxa"/>
            <w:gridSpan w:val="5"/>
            <w:tcMar>
              <w:left w:w="0" w:type="dxa"/>
            </w:tcMar>
          </w:tcPr>
          <w:p w14:paraId="11EB1697" w14:textId="7E639992" w:rsidR="00AD3606" w:rsidRPr="00147C54" w:rsidRDefault="00006DB2" w:rsidP="00A12786">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BB6B93" w:rsidRPr="00BB6B93">
              <w:t>the secretariat</w:t>
            </w:r>
          </w:p>
        </w:tc>
      </w:tr>
      <w:tr w:rsidR="00AD3606" w:rsidRPr="00A11707" w14:paraId="16B8590D" w14:textId="77777777" w:rsidTr="00A12786">
        <w:trPr>
          <w:cantSplit/>
        </w:trPr>
        <w:tc>
          <w:tcPr>
            <w:tcW w:w="9640" w:type="dxa"/>
            <w:gridSpan w:val="5"/>
            <w:tcMar>
              <w:left w:w="0" w:type="dxa"/>
            </w:tcMar>
          </w:tcPr>
          <w:p w14:paraId="3EBDE99F" w14:textId="3093CE3D" w:rsidR="00AD3606" w:rsidRPr="006E03AA" w:rsidRDefault="00FF5E19" w:rsidP="00A12786">
            <w:pPr>
              <w:pStyle w:val="Subtitle"/>
              <w:framePr w:hSpace="0" w:wrap="auto" w:xAlign="left" w:yAlign="inline"/>
              <w:rPr>
                <w:lang w:val="fr-FR"/>
              </w:rPr>
            </w:pPr>
            <w:bookmarkStart w:id="9" w:name="dtitle1" w:colFirst="0" w:colLast="0"/>
            <w:bookmarkEnd w:id="8"/>
            <w:r w:rsidRPr="006E03AA">
              <w:rPr>
                <w:lang w:val="fr-FR"/>
              </w:rPr>
              <w:t xml:space="preserve">UPDATES ON </w:t>
            </w:r>
            <w:r w:rsidR="005C3AE0" w:rsidRPr="005C3AE0">
              <w:rPr>
                <w:lang w:val="fr-FR"/>
              </w:rPr>
              <w:t xml:space="preserve">SUSTAINABLE </w:t>
            </w:r>
            <w:r w:rsidR="006E03AA" w:rsidRPr="006E03AA">
              <w:rPr>
                <w:lang w:val="fr-FR"/>
              </w:rPr>
              <w:t>DIGITAL TRANSFORMATION RAPPORTEUR</w:t>
            </w:r>
            <w:r w:rsidR="006E03AA">
              <w:rPr>
                <w:lang w:val="fr-FR"/>
              </w:rPr>
              <w:t xml:space="preserve"> GROUP</w:t>
            </w:r>
          </w:p>
        </w:tc>
      </w:tr>
      <w:tr w:rsidR="00AD3606" w:rsidRPr="00147C54" w14:paraId="738924AE" w14:textId="77777777" w:rsidTr="00A12786">
        <w:trPr>
          <w:cantSplit/>
        </w:trPr>
        <w:tc>
          <w:tcPr>
            <w:tcW w:w="9640" w:type="dxa"/>
            <w:gridSpan w:val="5"/>
            <w:tcBorders>
              <w:top w:val="single" w:sz="4" w:space="0" w:color="auto"/>
              <w:bottom w:val="single" w:sz="4" w:space="0" w:color="auto"/>
            </w:tcBorders>
            <w:tcMar>
              <w:left w:w="0" w:type="dxa"/>
            </w:tcMar>
          </w:tcPr>
          <w:p w14:paraId="393CFB80" w14:textId="34BAE991" w:rsidR="005241E0" w:rsidRPr="005241E0" w:rsidRDefault="00F16BAB" w:rsidP="00A12786">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E13E81" w:rsidRPr="000D19E9">
              <w:rPr>
                <w:sz w:val="26"/>
                <w:szCs w:val="26"/>
              </w:rPr>
              <w:t>X</w:t>
            </w:r>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B910F2" w:rsidRPr="005241E0" w14:paraId="14D83C7C" w14:textId="77777777" w:rsidTr="00A12786">
        <w:trPr>
          <w:cantSplit/>
        </w:trPr>
        <w:tc>
          <w:tcPr>
            <w:tcW w:w="1596" w:type="dxa"/>
            <w:tcBorders>
              <w:top w:val="single" w:sz="4" w:space="0" w:color="auto"/>
              <w:bottom w:val="single" w:sz="4" w:space="0" w:color="auto"/>
            </w:tcBorders>
            <w:tcMar>
              <w:left w:w="0" w:type="dxa"/>
            </w:tcMar>
          </w:tcPr>
          <w:p w14:paraId="2073844E" w14:textId="1C691879" w:rsidR="00B910F2" w:rsidRPr="005241E0" w:rsidRDefault="00B910F2" w:rsidP="00A12786">
            <w:pPr>
              <w:spacing w:before="160" w:after="120"/>
              <w:rPr>
                <w:b/>
                <w:bCs/>
                <w:sz w:val="26"/>
                <w:szCs w:val="26"/>
                <w:lang w:val="it-IT"/>
              </w:rPr>
            </w:pPr>
            <w:r>
              <w:rPr>
                <w:b/>
                <w:bCs/>
                <w:sz w:val="26"/>
                <w:szCs w:val="26"/>
                <w:lang w:val="it-IT"/>
              </w:rPr>
              <w:t xml:space="preserve">Contact:                                                                         </w:t>
            </w:r>
          </w:p>
        </w:tc>
        <w:tc>
          <w:tcPr>
            <w:tcW w:w="3437" w:type="dxa"/>
            <w:gridSpan w:val="2"/>
            <w:tcBorders>
              <w:top w:val="single" w:sz="4" w:space="0" w:color="auto"/>
              <w:bottom w:val="single" w:sz="4" w:space="0" w:color="auto"/>
            </w:tcBorders>
          </w:tcPr>
          <w:p w14:paraId="68CCE10E" w14:textId="77777777" w:rsidR="00EB06A4" w:rsidRPr="00C205AE" w:rsidRDefault="00EB06A4" w:rsidP="00A12786">
            <w:pPr>
              <w:spacing w:before="0"/>
              <w:rPr>
                <w:rFonts w:cs="Calibri"/>
                <w:szCs w:val="24"/>
                <w:lang w:val="fr-FR"/>
              </w:rPr>
            </w:pPr>
            <w:r w:rsidRPr="00C205AE">
              <w:rPr>
                <w:rFonts w:cs="Calibri"/>
                <w:szCs w:val="24"/>
                <w:lang w:val="fr-FR"/>
              </w:rPr>
              <w:t>Cristina Bueti</w:t>
            </w:r>
          </w:p>
          <w:p w14:paraId="0AA77111" w14:textId="5402F7F4" w:rsidR="00B910F2" w:rsidRPr="00EB06A4" w:rsidRDefault="00EB06A4" w:rsidP="00A12786">
            <w:pPr>
              <w:spacing w:before="0"/>
              <w:rPr>
                <w:rFonts w:cs="Calibri"/>
                <w:sz w:val="26"/>
                <w:szCs w:val="26"/>
                <w:lang w:val="fr-FR"/>
              </w:rPr>
            </w:pPr>
            <w:r w:rsidRPr="00C205AE">
              <w:rPr>
                <w:rFonts w:cs="Calibri"/>
                <w:szCs w:val="24"/>
                <w:lang w:val="fr-FR"/>
              </w:rPr>
              <w:t>Focal Point on Digital Transformation</w:t>
            </w:r>
            <w:r w:rsidRPr="00C205AE">
              <w:rPr>
                <w:rFonts w:cs="Calibri"/>
                <w:szCs w:val="24"/>
                <w:lang w:val="fr-FR"/>
              </w:rPr>
              <w:br/>
              <w:t>TSB</w:t>
            </w:r>
          </w:p>
        </w:tc>
        <w:tc>
          <w:tcPr>
            <w:tcW w:w="1063" w:type="dxa"/>
            <w:tcBorders>
              <w:top w:val="single" w:sz="4" w:space="0" w:color="auto"/>
              <w:bottom w:val="single" w:sz="4" w:space="0" w:color="auto"/>
            </w:tcBorders>
          </w:tcPr>
          <w:p w14:paraId="54A94CA7" w14:textId="06DCAB09" w:rsidR="00B910F2" w:rsidRPr="005241E0" w:rsidRDefault="00B910F2" w:rsidP="00A12786">
            <w:pPr>
              <w:spacing w:before="160" w:after="120"/>
              <w:rPr>
                <w:b/>
                <w:bCs/>
                <w:sz w:val="26"/>
                <w:szCs w:val="26"/>
                <w:lang w:val="it-IT"/>
              </w:rPr>
            </w:pPr>
            <w:r>
              <w:rPr>
                <w:b/>
                <w:bCs/>
                <w:sz w:val="26"/>
                <w:szCs w:val="26"/>
                <w:lang w:val="it-IT"/>
              </w:rPr>
              <w:t>E-mail:</w:t>
            </w:r>
          </w:p>
        </w:tc>
        <w:tc>
          <w:tcPr>
            <w:tcW w:w="3544" w:type="dxa"/>
            <w:tcBorders>
              <w:top w:val="single" w:sz="4" w:space="0" w:color="auto"/>
              <w:bottom w:val="single" w:sz="4" w:space="0" w:color="auto"/>
            </w:tcBorders>
          </w:tcPr>
          <w:p w14:paraId="6F51167A" w14:textId="64F3D6BD" w:rsidR="00B910F2" w:rsidRPr="00C205AE" w:rsidRDefault="00FF5E19" w:rsidP="00A12786">
            <w:pPr>
              <w:spacing w:before="160" w:after="120"/>
              <w:rPr>
                <w:b/>
                <w:bCs/>
                <w:szCs w:val="24"/>
                <w:lang w:val="it-IT"/>
              </w:rPr>
            </w:pPr>
            <w:hyperlink r:id="rId11" w:history="1">
              <w:r w:rsidRPr="00C205AE">
                <w:rPr>
                  <w:rStyle w:val="Hyperlink"/>
                  <w:rFonts w:cs="Calibri"/>
                  <w:szCs w:val="24"/>
                  <w:lang w:val="it-IT"/>
                </w:rPr>
                <w:t>cristina.bueti@itu.int</w:t>
              </w:r>
            </w:hyperlink>
            <w:r w:rsidRPr="00C205AE">
              <w:rPr>
                <w:rFonts w:cs="Calibri"/>
                <w:szCs w:val="24"/>
                <w:lang w:val="it-IT"/>
              </w:rPr>
              <w:t xml:space="preserve">   </w:t>
            </w:r>
          </w:p>
        </w:tc>
      </w:tr>
    </w:tbl>
    <w:p w14:paraId="469525C2" w14:textId="77777777" w:rsidR="00E227F3" w:rsidRPr="005241E0" w:rsidRDefault="00E227F3">
      <w:pPr>
        <w:tabs>
          <w:tab w:val="clear" w:pos="567"/>
          <w:tab w:val="clear" w:pos="1134"/>
          <w:tab w:val="clear" w:pos="1701"/>
          <w:tab w:val="clear" w:pos="2268"/>
          <w:tab w:val="clear" w:pos="2835"/>
        </w:tabs>
        <w:overflowPunct/>
        <w:autoSpaceDE/>
        <w:autoSpaceDN/>
        <w:adjustRightInd/>
        <w:spacing w:before="0"/>
        <w:textAlignment w:val="auto"/>
        <w:rPr>
          <w:lang w:val="it-IT"/>
        </w:rPr>
      </w:pPr>
      <w:bookmarkStart w:id="10" w:name="_Hlk133421428"/>
      <w:bookmarkEnd w:id="2"/>
      <w:bookmarkEnd w:id="9"/>
    </w:p>
    <w:bookmarkEnd w:id="3"/>
    <w:bookmarkEnd w:id="4"/>
    <w:p w14:paraId="62D64C9B" w14:textId="77777777" w:rsidR="0090147A" w:rsidRPr="005241E0" w:rsidRDefault="005241E0">
      <w:pPr>
        <w:tabs>
          <w:tab w:val="clear" w:pos="567"/>
          <w:tab w:val="clear" w:pos="1134"/>
          <w:tab w:val="clear" w:pos="1701"/>
          <w:tab w:val="clear" w:pos="2268"/>
          <w:tab w:val="clear" w:pos="2835"/>
        </w:tabs>
        <w:overflowPunct/>
        <w:autoSpaceDE/>
        <w:autoSpaceDN/>
        <w:adjustRightInd/>
        <w:spacing w:before="0"/>
        <w:textAlignment w:val="auto"/>
        <w:rPr>
          <w:b/>
          <w:lang w:val="it-IT"/>
        </w:rPr>
      </w:pPr>
      <w:r w:rsidRPr="005241E0">
        <w:rPr>
          <w:lang w:val="it-IT"/>
        </w:rPr>
        <w:tab/>
      </w:r>
      <w:r>
        <w:rPr>
          <w:lang w:val="it-IT"/>
        </w:rPr>
        <w:tab/>
      </w:r>
      <w:r>
        <w:rPr>
          <w:lang w:val="it-IT"/>
        </w:rPr>
        <w:tab/>
      </w:r>
    </w:p>
    <w:bookmarkEnd w:id="5"/>
    <w:bookmarkEnd w:id="10"/>
    <w:p w14:paraId="7D2C8E8F" w14:textId="27082ABB" w:rsidR="006E7514" w:rsidRPr="006E7514" w:rsidRDefault="006E7514" w:rsidP="00726458">
      <w:pPr>
        <w:rPr>
          <w:b/>
          <w:bCs/>
        </w:rPr>
      </w:pPr>
      <w:r w:rsidRPr="006E7514">
        <w:rPr>
          <w:b/>
          <w:bCs/>
        </w:rPr>
        <w:t xml:space="preserve">1. </w:t>
      </w:r>
      <w:r>
        <w:rPr>
          <w:b/>
          <w:bCs/>
        </w:rPr>
        <w:t xml:space="preserve"> </w:t>
      </w:r>
      <w:r w:rsidRPr="006E7514">
        <w:rPr>
          <w:b/>
          <w:bCs/>
        </w:rPr>
        <w:t xml:space="preserve">Introduction </w:t>
      </w:r>
      <w:r>
        <w:rPr>
          <w:b/>
          <w:bCs/>
        </w:rPr>
        <w:t xml:space="preserve"> </w:t>
      </w:r>
    </w:p>
    <w:p w14:paraId="157A02C9" w14:textId="5DD63142" w:rsidR="00726458" w:rsidRDefault="00726458" w:rsidP="00726458">
      <w:r>
        <w:t>The Rapporteur Group on Sustainable Digital Transformation (RG-DT) was approved as part of the TSAG structure for the new study period (2025–2028) at the TSAG meeting held from 26 to 30 May 2025 in Geneva.</w:t>
      </w:r>
    </w:p>
    <w:p w14:paraId="04C98635" w14:textId="77777777" w:rsidR="00726458" w:rsidRDefault="00726458" w:rsidP="00726458"/>
    <w:p w14:paraId="27E901F7" w14:textId="28BA3689" w:rsidR="00705ED6" w:rsidRPr="00C205AE" w:rsidRDefault="00705ED6" w:rsidP="00726458">
      <w:pPr>
        <w:rPr>
          <w:b/>
          <w:bCs/>
        </w:rPr>
      </w:pPr>
      <w:r w:rsidRPr="00C205AE">
        <w:rPr>
          <w:b/>
          <w:bCs/>
        </w:rPr>
        <w:t xml:space="preserve">2.  </w:t>
      </w:r>
      <w:r w:rsidR="00F718AD" w:rsidRPr="00C205AE">
        <w:rPr>
          <w:b/>
          <w:bCs/>
        </w:rPr>
        <w:t>Rapporteur, Associate Rapporteurs and Secretariat</w:t>
      </w:r>
    </w:p>
    <w:p w14:paraId="772A6705" w14:textId="422E40AC" w:rsidR="00BA271C" w:rsidRDefault="00726458" w:rsidP="00726458">
      <w:r>
        <w:t>The Rapporteur, Associate Rapporteurs, and Secretariat of the Group are as follows</w:t>
      </w:r>
      <w:r w:rsidR="000D5519">
        <w:t>:</w:t>
      </w:r>
    </w:p>
    <w:p w14:paraId="4AE45670" w14:textId="77777777" w:rsidR="00726458" w:rsidRDefault="00726458" w:rsidP="00726458"/>
    <w:tbl>
      <w:tblPr>
        <w:tblStyle w:val="TableGrid"/>
        <w:tblW w:w="0" w:type="auto"/>
        <w:tblLook w:val="04A0" w:firstRow="1" w:lastRow="0" w:firstColumn="1" w:lastColumn="0" w:noHBand="0" w:noVBand="1"/>
      </w:tblPr>
      <w:tblGrid>
        <w:gridCol w:w="2605"/>
        <w:gridCol w:w="6456"/>
      </w:tblGrid>
      <w:tr w:rsidR="0059354A" w:rsidRPr="0059354A" w14:paraId="5A380368" w14:textId="77777777" w:rsidTr="0059354A">
        <w:tc>
          <w:tcPr>
            <w:tcW w:w="2605" w:type="dxa"/>
          </w:tcPr>
          <w:p w14:paraId="4C88E7F5" w14:textId="6A444D69" w:rsidR="0059354A" w:rsidRPr="00DA644A" w:rsidRDefault="0059354A" w:rsidP="0059354A">
            <w:pPr>
              <w:spacing w:before="0"/>
              <w:rPr>
                <w:b/>
                <w:bCs/>
              </w:rPr>
            </w:pPr>
            <w:r w:rsidRPr="00DA644A">
              <w:rPr>
                <w:b/>
                <w:bCs/>
              </w:rPr>
              <w:t>Rapporteur</w:t>
            </w:r>
          </w:p>
        </w:tc>
        <w:tc>
          <w:tcPr>
            <w:tcW w:w="6456" w:type="dxa"/>
          </w:tcPr>
          <w:p w14:paraId="794C7C83" w14:textId="77777777" w:rsidR="0059354A" w:rsidRDefault="0059354A" w:rsidP="0059354A">
            <w:pPr>
              <w:spacing w:before="0"/>
            </w:pPr>
            <w:r>
              <w:t>Ahmed SAID</w:t>
            </w:r>
          </w:p>
          <w:p w14:paraId="1DE576B0" w14:textId="77777777" w:rsidR="0059354A" w:rsidRDefault="0059354A" w:rsidP="0059354A">
            <w:pPr>
              <w:spacing w:before="0"/>
            </w:pPr>
            <w:r>
              <w:t>National Telecommunication Regulatory Authority (NTRA)</w:t>
            </w:r>
          </w:p>
          <w:p w14:paraId="07070712" w14:textId="77777777" w:rsidR="0059354A" w:rsidRDefault="0059354A" w:rsidP="0059354A">
            <w:pPr>
              <w:spacing w:before="0"/>
            </w:pPr>
            <w:r>
              <w:t>Egypt</w:t>
            </w:r>
          </w:p>
          <w:p w14:paraId="33A6FBCE" w14:textId="77777777" w:rsidR="0059354A" w:rsidRDefault="0059354A" w:rsidP="0059354A">
            <w:pPr>
              <w:spacing w:before="0"/>
            </w:pPr>
            <w:r>
              <w:t>Tel: +20 100 252 7334</w:t>
            </w:r>
          </w:p>
          <w:p w14:paraId="3B37795F" w14:textId="6F0E41A6" w:rsidR="0059354A" w:rsidRPr="001A74CD" w:rsidRDefault="0059354A" w:rsidP="0059354A">
            <w:pPr>
              <w:spacing w:before="0"/>
            </w:pPr>
            <w:r w:rsidRPr="001A74CD">
              <w:t xml:space="preserve">Email: </w:t>
            </w:r>
            <w:hyperlink r:id="rId12" w:history="1">
              <w:r w:rsidRPr="001A74CD">
                <w:rPr>
                  <w:rStyle w:val="Hyperlink"/>
                </w:rPr>
                <w:t>asaid@tra.gov.eg</w:t>
              </w:r>
            </w:hyperlink>
            <w:r w:rsidRPr="001A74CD">
              <w:t xml:space="preserve"> </w:t>
            </w:r>
          </w:p>
        </w:tc>
      </w:tr>
      <w:tr w:rsidR="0059354A" w:rsidRPr="0059354A" w14:paraId="17B88EDE" w14:textId="77777777" w:rsidTr="0059354A">
        <w:tc>
          <w:tcPr>
            <w:tcW w:w="2605" w:type="dxa"/>
            <w:vMerge w:val="restart"/>
          </w:tcPr>
          <w:p w14:paraId="74C57327" w14:textId="77777777" w:rsidR="0059354A" w:rsidRPr="00DA644A" w:rsidRDefault="0059354A" w:rsidP="0059354A">
            <w:pPr>
              <w:spacing w:before="0"/>
              <w:rPr>
                <w:b/>
                <w:bCs/>
              </w:rPr>
            </w:pPr>
            <w:r w:rsidRPr="00DA644A">
              <w:rPr>
                <w:b/>
                <w:bCs/>
              </w:rPr>
              <w:t>Associate rapporteur</w:t>
            </w:r>
          </w:p>
          <w:p w14:paraId="31E79B14" w14:textId="77777777" w:rsidR="0059354A" w:rsidRPr="00DA644A" w:rsidRDefault="0059354A" w:rsidP="0059354A">
            <w:pPr>
              <w:spacing w:before="0"/>
              <w:rPr>
                <w:b/>
                <w:bCs/>
                <w:lang w:val="fr-FR"/>
              </w:rPr>
            </w:pPr>
          </w:p>
        </w:tc>
        <w:tc>
          <w:tcPr>
            <w:tcW w:w="6456" w:type="dxa"/>
          </w:tcPr>
          <w:p w14:paraId="75F235EA" w14:textId="3FB18DF5" w:rsidR="0059354A" w:rsidRDefault="0059354A" w:rsidP="0059354A">
            <w:pPr>
              <w:spacing w:before="0"/>
            </w:pPr>
            <w:r>
              <w:t>Jasim AL ALI</w:t>
            </w:r>
          </w:p>
          <w:p w14:paraId="680B4193" w14:textId="77777777" w:rsidR="0059354A" w:rsidRDefault="0059354A" w:rsidP="0059354A">
            <w:pPr>
              <w:spacing w:before="0"/>
            </w:pPr>
            <w:r>
              <w:t>Telecommunications and Digital Government Regulatory Authority (TDRA)</w:t>
            </w:r>
          </w:p>
          <w:p w14:paraId="12DF9014" w14:textId="77777777" w:rsidR="0059354A" w:rsidRDefault="0059354A" w:rsidP="0059354A">
            <w:pPr>
              <w:spacing w:before="0"/>
            </w:pPr>
            <w:r>
              <w:t>United Arab Emirates</w:t>
            </w:r>
          </w:p>
          <w:p w14:paraId="1D351021" w14:textId="14F239C1" w:rsidR="0059354A" w:rsidRPr="001A74CD" w:rsidRDefault="0059354A" w:rsidP="0059354A">
            <w:pPr>
              <w:spacing w:before="0"/>
            </w:pPr>
            <w:r w:rsidRPr="001A74CD">
              <w:t xml:space="preserve">Email: </w:t>
            </w:r>
            <w:hyperlink r:id="rId13" w:history="1">
              <w:r w:rsidRPr="001A74CD">
                <w:rPr>
                  <w:rStyle w:val="Hyperlink"/>
                </w:rPr>
                <w:t>j.ali.ahmad@gmail.com</w:t>
              </w:r>
            </w:hyperlink>
            <w:r w:rsidRPr="001A74CD">
              <w:t xml:space="preserve"> </w:t>
            </w:r>
          </w:p>
        </w:tc>
      </w:tr>
      <w:tr w:rsidR="0059354A" w:rsidRPr="0059354A" w14:paraId="3110B57A" w14:textId="77777777" w:rsidTr="0059354A">
        <w:tc>
          <w:tcPr>
            <w:tcW w:w="2605" w:type="dxa"/>
            <w:vMerge/>
          </w:tcPr>
          <w:p w14:paraId="460121F2" w14:textId="77777777" w:rsidR="0059354A" w:rsidRPr="001A74CD" w:rsidRDefault="0059354A" w:rsidP="0059354A">
            <w:pPr>
              <w:spacing w:before="0"/>
            </w:pPr>
          </w:p>
        </w:tc>
        <w:tc>
          <w:tcPr>
            <w:tcW w:w="6456" w:type="dxa"/>
          </w:tcPr>
          <w:p w14:paraId="16F3F33D" w14:textId="77777777" w:rsidR="0059354A" w:rsidRDefault="0059354A" w:rsidP="0059354A">
            <w:pPr>
              <w:spacing w:before="0"/>
            </w:pPr>
            <w:r>
              <w:t>Cynthia LESUFI</w:t>
            </w:r>
          </w:p>
          <w:p w14:paraId="27C7212F" w14:textId="77777777" w:rsidR="0059354A" w:rsidRDefault="0059354A" w:rsidP="0059354A">
            <w:pPr>
              <w:spacing w:before="0"/>
            </w:pPr>
            <w:r>
              <w:t>South Africa</w:t>
            </w:r>
          </w:p>
          <w:p w14:paraId="1D50E07E" w14:textId="77777777" w:rsidR="0059354A" w:rsidRDefault="0059354A" w:rsidP="0059354A">
            <w:pPr>
              <w:spacing w:before="0"/>
            </w:pPr>
            <w:r>
              <w:t>Tel: +41228495424</w:t>
            </w:r>
          </w:p>
          <w:p w14:paraId="34801775" w14:textId="61F9A114" w:rsidR="0059354A" w:rsidRPr="0059354A" w:rsidRDefault="0059354A" w:rsidP="0059354A">
            <w:pPr>
              <w:spacing w:before="0"/>
              <w:rPr>
                <w:lang w:val="fr-FR"/>
              </w:rPr>
            </w:pPr>
            <w:r w:rsidRPr="0059354A">
              <w:rPr>
                <w:lang w:val="fr-FR"/>
              </w:rPr>
              <w:lastRenderedPageBreak/>
              <w:t xml:space="preserve">Email: </w:t>
            </w:r>
            <w:hyperlink r:id="rId14" w:history="1">
              <w:r w:rsidRPr="0059354A">
                <w:rPr>
                  <w:rStyle w:val="Hyperlink"/>
                  <w:lang w:val="fr-FR"/>
                </w:rPr>
                <w:t>clesufi@dtps.gov.za</w:t>
              </w:r>
            </w:hyperlink>
            <w:r w:rsidRPr="0059354A">
              <w:rPr>
                <w:lang w:val="fr-FR"/>
              </w:rPr>
              <w:t xml:space="preserve"> </w:t>
            </w:r>
          </w:p>
        </w:tc>
      </w:tr>
      <w:tr w:rsidR="0059354A" w:rsidRPr="0059354A" w14:paraId="6CC94E2A" w14:textId="77777777" w:rsidTr="0059354A">
        <w:tc>
          <w:tcPr>
            <w:tcW w:w="2605" w:type="dxa"/>
            <w:vMerge/>
          </w:tcPr>
          <w:p w14:paraId="34A8C908" w14:textId="77777777" w:rsidR="0059354A" w:rsidRPr="0059354A" w:rsidRDefault="0059354A" w:rsidP="0059354A">
            <w:pPr>
              <w:spacing w:before="0"/>
              <w:rPr>
                <w:lang w:val="fr-FR"/>
              </w:rPr>
            </w:pPr>
          </w:p>
        </w:tc>
        <w:tc>
          <w:tcPr>
            <w:tcW w:w="6456" w:type="dxa"/>
          </w:tcPr>
          <w:p w14:paraId="02A53559" w14:textId="77777777" w:rsidR="0059354A" w:rsidRDefault="0059354A" w:rsidP="0059354A">
            <w:pPr>
              <w:spacing w:before="0"/>
            </w:pPr>
            <w:proofErr w:type="spellStart"/>
            <w:r>
              <w:t>Nurona</w:t>
            </w:r>
            <w:proofErr w:type="spellEnd"/>
            <w:r>
              <w:t xml:space="preserve"> MAKHMUDOVA</w:t>
            </w:r>
          </w:p>
          <w:p w14:paraId="16FC44F7" w14:textId="77777777" w:rsidR="0059354A" w:rsidRDefault="0059354A" w:rsidP="0059354A">
            <w:pPr>
              <w:spacing w:before="0"/>
            </w:pPr>
            <w:r>
              <w:t>Ministry of Digital Technologies of the Republic of Uzbekistan</w:t>
            </w:r>
          </w:p>
          <w:p w14:paraId="66EE82F5" w14:textId="77777777" w:rsidR="0059354A" w:rsidRPr="0059354A" w:rsidRDefault="0059354A" w:rsidP="0059354A">
            <w:pPr>
              <w:spacing w:before="0"/>
              <w:rPr>
                <w:lang w:val="fr-FR"/>
              </w:rPr>
            </w:pPr>
            <w:proofErr w:type="spellStart"/>
            <w:r w:rsidRPr="0059354A">
              <w:rPr>
                <w:lang w:val="fr-FR"/>
              </w:rPr>
              <w:t>Uzbekistan</w:t>
            </w:r>
            <w:proofErr w:type="spellEnd"/>
          </w:p>
          <w:p w14:paraId="4A34F5DF" w14:textId="21949FCF" w:rsidR="0059354A" w:rsidRPr="0059354A" w:rsidRDefault="0059354A" w:rsidP="0059354A">
            <w:pPr>
              <w:spacing w:before="0"/>
              <w:rPr>
                <w:lang w:val="fr-FR"/>
              </w:rPr>
            </w:pPr>
            <w:r w:rsidRPr="0059354A">
              <w:rPr>
                <w:lang w:val="fr-FR"/>
              </w:rPr>
              <w:t xml:space="preserve">Email: </w:t>
            </w:r>
            <w:hyperlink r:id="rId15" w:history="1">
              <w:r w:rsidRPr="00544CD3">
                <w:rPr>
                  <w:rStyle w:val="Hyperlink"/>
                  <w:lang w:val="fr-FR"/>
                </w:rPr>
                <w:t>n.maxmudova@digital.uz</w:t>
              </w:r>
            </w:hyperlink>
            <w:r>
              <w:rPr>
                <w:lang w:val="fr-FR"/>
              </w:rPr>
              <w:t xml:space="preserve"> </w:t>
            </w:r>
          </w:p>
        </w:tc>
      </w:tr>
      <w:tr w:rsidR="0059354A" w:rsidRPr="00DA644A" w14:paraId="223F2714" w14:textId="77777777" w:rsidTr="0059354A">
        <w:tc>
          <w:tcPr>
            <w:tcW w:w="2605" w:type="dxa"/>
          </w:tcPr>
          <w:p w14:paraId="6D758F3C" w14:textId="3B7F2E21" w:rsidR="0059354A" w:rsidRPr="00DA644A" w:rsidRDefault="00DA644A" w:rsidP="0059354A">
            <w:pPr>
              <w:spacing w:before="0"/>
              <w:rPr>
                <w:b/>
                <w:bCs/>
                <w:lang w:val="fr-FR"/>
              </w:rPr>
            </w:pPr>
            <w:r w:rsidRPr="00DA644A">
              <w:rPr>
                <w:b/>
                <w:bCs/>
                <w:lang w:val="fr-FR"/>
              </w:rPr>
              <w:t>Counsellor</w:t>
            </w:r>
          </w:p>
        </w:tc>
        <w:tc>
          <w:tcPr>
            <w:tcW w:w="6456" w:type="dxa"/>
          </w:tcPr>
          <w:p w14:paraId="08B15F1D" w14:textId="59AEFAD0" w:rsidR="00DA644A" w:rsidRPr="00DA644A" w:rsidRDefault="00DA644A" w:rsidP="00DA644A">
            <w:pPr>
              <w:spacing w:before="0"/>
            </w:pPr>
            <w:r w:rsidRPr="00DA644A">
              <w:t>Venkatesen MAUREE</w:t>
            </w:r>
          </w:p>
          <w:p w14:paraId="179A837A" w14:textId="77777777" w:rsidR="00DA644A" w:rsidRPr="00DA644A" w:rsidRDefault="00DA644A" w:rsidP="00DA644A">
            <w:pPr>
              <w:spacing w:before="0"/>
            </w:pPr>
            <w:r w:rsidRPr="00DA644A">
              <w:t>International Telecommunication Union</w:t>
            </w:r>
          </w:p>
          <w:p w14:paraId="1DB28BAE" w14:textId="77777777" w:rsidR="00DA644A" w:rsidRPr="00DA644A" w:rsidRDefault="00DA644A" w:rsidP="00DA644A">
            <w:pPr>
              <w:spacing w:before="0"/>
              <w:rPr>
                <w:lang w:val="fr-FR"/>
              </w:rPr>
            </w:pPr>
            <w:r w:rsidRPr="00DA644A">
              <w:rPr>
                <w:lang w:val="fr-FR"/>
              </w:rPr>
              <w:t>ITU/TSB</w:t>
            </w:r>
          </w:p>
          <w:p w14:paraId="21FE4F31" w14:textId="77777777" w:rsidR="00DA644A" w:rsidRPr="00DA644A" w:rsidRDefault="00DA644A" w:rsidP="00DA644A">
            <w:pPr>
              <w:spacing w:before="0"/>
            </w:pPr>
            <w:r w:rsidRPr="00DA644A">
              <w:t>Tel: +41 22 730 5591</w:t>
            </w:r>
          </w:p>
          <w:p w14:paraId="5204EE84" w14:textId="24AEB5C8" w:rsidR="0059354A" w:rsidRPr="00DA644A" w:rsidRDefault="00DA644A" w:rsidP="00DA644A">
            <w:pPr>
              <w:spacing w:before="0"/>
              <w:rPr>
                <w:lang w:val="fr-FR"/>
              </w:rPr>
            </w:pPr>
            <w:r w:rsidRPr="00DA644A">
              <w:rPr>
                <w:lang w:val="fr-FR"/>
              </w:rPr>
              <w:t xml:space="preserve">Email: </w:t>
            </w:r>
            <w:hyperlink r:id="rId16" w:history="1">
              <w:r w:rsidRPr="00DA644A">
                <w:rPr>
                  <w:rStyle w:val="Hyperlink"/>
                  <w:lang w:val="fr-FR"/>
                </w:rPr>
                <w:t>vijay.mauree@itu.int</w:t>
              </w:r>
            </w:hyperlink>
            <w:r w:rsidRPr="00DA644A">
              <w:rPr>
                <w:lang w:val="fr-FR"/>
              </w:rPr>
              <w:t xml:space="preserve"> </w:t>
            </w:r>
          </w:p>
        </w:tc>
      </w:tr>
    </w:tbl>
    <w:p w14:paraId="37B05722" w14:textId="77777777" w:rsidR="0059354A" w:rsidRDefault="0059354A" w:rsidP="004B51C8">
      <w:pPr>
        <w:rPr>
          <w:lang w:val="fr-FR"/>
        </w:rPr>
      </w:pPr>
    </w:p>
    <w:p w14:paraId="239B3073" w14:textId="659F9966" w:rsidR="00F718AD" w:rsidRPr="00154FC7" w:rsidRDefault="00F718AD" w:rsidP="004B51C8">
      <w:pPr>
        <w:rPr>
          <w:b/>
          <w:bCs/>
        </w:rPr>
      </w:pPr>
      <w:r w:rsidRPr="00154FC7">
        <w:rPr>
          <w:b/>
          <w:bCs/>
        </w:rPr>
        <w:t>3.  Terms of Reference</w:t>
      </w:r>
    </w:p>
    <w:p w14:paraId="3C353B26" w14:textId="37A6AF24" w:rsidR="0059354A" w:rsidRDefault="00154FC7" w:rsidP="0059354A">
      <w:r w:rsidRPr="00154FC7">
        <w:t xml:space="preserve">The </w:t>
      </w:r>
      <w:r>
        <w:t xml:space="preserve">following </w:t>
      </w:r>
      <w:r w:rsidRPr="00154FC7">
        <w:t>Terms of Reference (</w:t>
      </w:r>
      <w:proofErr w:type="spellStart"/>
      <w:r w:rsidRPr="00154FC7">
        <w:t>ToR</w:t>
      </w:r>
      <w:proofErr w:type="spellEnd"/>
      <w:r w:rsidRPr="00154FC7">
        <w:t>) of the Rapporteur Group have been agreed and are available at</w:t>
      </w:r>
      <w:r w:rsidR="00DA644A">
        <w:t xml:space="preserve">: </w:t>
      </w:r>
      <w:hyperlink r:id="rId17" w:anchor="RG-DT" w:history="1">
        <w:r w:rsidR="008B0598" w:rsidRPr="00544CD3">
          <w:rPr>
            <w:rStyle w:val="Hyperlink"/>
          </w:rPr>
          <w:t>https://www.itu.int/en/ITU-T/tsag/2025-2028/Pages/Rapporteur-Groups.aspx#RG-DT</w:t>
        </w:r>
      </w:hyperlink>
      <w:r w:rsidR="008B0598">
        <w:t xml:space="preserve"> </w:t>
      </w:r>
    </w:p>
    <w:p w14:paraId="195739AE" w14:textId="77777777" w:rsidR="008B0598" w:rsidRDefault="008B0598" w:rsidP="008B0598">
      <w:pPr>
        <w:pStyle w:val="ListParagraph"/>
        <w:numPr>
          <w:ilvl w:val="0"/>
          <w:numId w:val="2"/>
        </w:numPr>
        <w:ind w:left="562" w:hanging="562"/>
      </w:pPr>
      <w:r>
        <w:t>Identify the definitions, concepts, system architectures, use-cases, fundamental underlying technologies, interoperability, and the ecosystem aspects of relevance for digital transformation required to achieve a successful sustainable digital transformation as per Strategic Goal 2 of PP Res. 71</w:t>
      </w:r>
    </w:p>
    <w:p w14:paraId="424C801C" w14:textId="77777777" w:rsidR="008B0598" w:rsidRDefault="008B0598" w:rsidP="008B0598">
      <w:pPr>
        <w:pStyle w:val="ListParagraph"/>
        <w:numPr>
          <w:ilvl w:val="0"/>
          <w:numId w:val="2"/>
        </w:numPr>
        <w:ind w:left="562" w:hanging="562"/>
      </w:pPr>
      <w:r>
        <w:t xml:space="preserve">Consolidate all guidelines, recommendations, technical reports, best practices and use cases developed by ITU-T on sustainable digital transformation, </w:t>
      </w:r>
      <w:proofErr w:type="gramStart"/>
      <w:r>
        <w:t>through the use of</w:t>
      </w:r>
      <w:proofErr w:type="gramEnd"/>
      <w:r>
        <w:t xml:space="preserve"> ITU web-based tools, and to identify strategies and mechanisms to facilitate and allow Member States to proactively use these tools to hasten the transfer of knowledge.</w:t>
      </w:r>
    </w:p>
    <w:p w14:paraId="0BDB78FC" w14:textId="77777777" w:rsidR="008B0598" w:rsidRDefault="008B0598" w:rsidP="008B0598">
      <w:pPr>
        <w:pStyle w:val="ListParagraph"/>
        <w:numPr>
          <w:ilvl w:val="0"/>
          <w:numId w:val="2"/>
        </w:numPr>
        <w:ind w:left="562" w:hanging="562"/>
      </w:pPr>
      <w:r>
        <w:t>Update the gap analysis, as needed, with activities and studies on digital transformation</w:t>
      </w:r>
    </w:p>
    <w:p w14:paraId="7DBD019B" w14:textId="77777777" w:rsidR="008B0598" w:rsidRDefault="008B0598" w:rsidP="008B0598">
      <w:pPr>
        <w:pStyle w:val="ListParagraph"/>
        <w:numPr>
          <w:ilvl w:val="0"/>
          <w:numId w:val="2"/>
        </w:numPr>
        <w:ind w:left="562" w:hanging="562"/>
      </w:pPr>
      <w:r>
        <w:t>Liaise as necessary to foster cooperation and collaboration with other recognized bodies and standards development organizations (SDOs), with the Radiocommunication Sector, the Telecommunication Development Sector, and the General Secretariat.</w:t>
      </w:r>
    </w:p>
    <w:p w14:paraId="56F3A200" w14:textId="77777777" w:rsidR="008B0598" w:rsidRDefault="008B0598" w:rsidP="008B0598">
      <w:pPr>
        <w:pStyle w:val="ListParagraph"/>
        <w:numPr>
          <w:ilvl w:val="0"/>
          <w:numId w:val="2"/>
        </w:numPr>
        <w:ind w:left="562" w:hanging="562"/>
      </w:pPr>
      <w:r>
        <w:t>Collaborate with the TDAG and the Intersectoral Coordination Group on digital transformation and provide TDAG with the information pertaining to the two first bullets to identify needs of developing countries for supporting documentation of ITU-T Recommendations (such as guidelines, technical report etc), related to sustainable digital transformation</w:t>
      </w:r>
    </w:p>
    <w:p w14:paraId="5B9ABC3B" w14:textId="77777777" w:rsidR="008B0598" w:rsidRDefault="008B0598" w:rsidP="008B0598">
      <w:pPr>
        <w:pStyle w:val="ListParagraph"/>
        <w:numPr>
          <w:ilvl w:val="0"/>
          <w:numId w:val="2"/>
        </w:numPr>
        <w:ind w:left="562" w:hanging="562"/>
      </w:pPr>
      <w:r>
        <w:t>Monitor and progress, as far as digital transformation is concerned, the implementation of:</w:t>
      </w:r>
    </w:p>
    <w:p w14:paraId="5A34024B" w14:textId="77777777" w:rsidR="008B0598" w:rsidRDefault="008B0598" w:rsidP="008B0598">
      <w:pPr>
        <w:pStyle w:val="ListParagraph"/>
        <w:numPr>
          <w:ilvl w:val="1"/>
          <w:numId w:val="2"/>
        </w:numPr>
      </w:pPr>
      <w:r>
        <w:t>​WTSA-24 Resolution 106 (Enhancing standardization activities on sustainable digital transformation)</w:t>
      </w:r>
    </w:p>
    <w:p w14:paraId="1848CF70" w14:textId="77777777" w:rsidR="008B0598" w:rsidRDefault="008B0598" w:rsidP="008B0598">
      <w:pPr>
        <w:pStyle w:val="ListParagraph"/>
        <w:numPr>
          <w:ilvl w:val="1"/>
          <w:numId w:val="2"/>
        </w:numPr>
      </w:pPr>
      <w:r>
        <w:t>WTSA-24 Resolution 58 (Encouraging the creation and enhancement of national computer incident response teams, particularly for developing countries)</w:t>
      </w:r>
    </w:p>
    <w:p w14:paraId="3C4ACD82" w14:textId="77777777" w:rsidR="008B0598" w:rsidRDefault="008B0598" w:rsidP="008B0598">
      <w:pPr>
        <w:pStyle w:val="ListParagraph"/>
        <w:numPr>
          <w:ilvl w:val="1"/>
          <w:numId w:val="2"/>
        </w:numPr>
      </w:pPr>
      <w:r>
        <w:t>WTSA-24 Resolution 69 (Non</w:t>
      </w:r>
      <w:r w:rsidRPr="008B0598">
        <w:rPr>
          <w:rFonts w:ascii="Cambria Math" w:hAnsi="Cambria Math" w:cs="Cambria Math"/>
        </w:rPr>
        <w:t>‑</w:t>
      </w:r>
      <w:r>
        <w:t>discriminatory access and use of Internet resources and telecommunications/information and communication technologies)</w:t>
      </w:r>
    </w:p>
    <w:p w14:paraId="1CBADB8E" w14:textId="77777777" w:rsidR="008B0598" w:rsidRDefault="008B0598" w:rsidP="008B0598">
      <w:pPr>
        <w:pStyle w:val="ListParagraph"/>
        <w:numPr>
          <w:ilvl w:val="1"/>
          <w:numId w:val="2"/>
        </w:numPr>
      </w:pPr>
      <w:r>
        <w:lastRenderedPageBreak/>
        <w:t>WTSA-24 Resolution 86 (Facilitating the implementation of the Smart Africa Manifesto)​​</w:t>
      </w:r>
    </w:p>
    <w:p w14:paraId="716441B5" w14:textId="47859C92" w:rsidR="0059354A" w:rsidRDefault="008B0598" w:rsidP="008B0598">
      <w:pPr>
        <w:pStyle w:val="ListParagraph"/>
        <w:numPr>
          <w:ilvl w:val="0"/>
          <w:numId w:val="2"/>
        </w:numPr>
        <w:ind w:left="562" w:hanging="562"/>
      </w:pPr>
      <w:r>
        <w:t>Coordinate the discussion and preparation of TSAG proposals for WTSA-28 regarding sustainable digital transformation resolutions, including their streamlining (see Table 1 for related Resolutions, Opinions, Actions).</w:t>
      </w:r>
    </w:p>
    <w:p w14:paraId="04B8F00B" w14:textId="4A4A1427" w:rsidR="0059354A" w:rsidRDefault="0059354A" w:rsidP="0059354A"/>
    <w:p w14:paraId="6855C570" w14:textId="21272CAB" w:rsidR="00887AFA" w:rsidRPr="00DA644A" w:rsidRDefault="00887AFA" w:rsidP="00887AFA">
      <w:pPr>
        <w:jc w:val="center"/>
      </w:pPr>
      <w:r>
        <w:t>________________</w:t>
      </w:r>
    </w:p>
    <w:sectPr w:rsidR="00887AFA" w:rsidRPr="00DA644A"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907E" w14:textId="77777777" w:rsidR="006E286D" w:rsidRDefault="006E286D">
      <w:r>
        <w:separator/>
      </w:r>
    </w:p>
  </w:endnote>
  <w:endnote w:type="continuationSeparator" w:id="0">
    <w:p w14:paraId="04972F40" w14:textId="77777777" w:rsidR="006E286D" w:rsidRDefault="006E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02B00D61"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322854" w:rsidRPr="00322854">
            <w:rPr>
              <w:bCs/>
              <w:lang w:val="es-ES"/>
            </w:rPr>
            <w:t>ISCG/26-1/</w:t>
          </w:r>
          <w:r w:rsidR="00322854">
            <w:rPr>
              <w:bCs/>
              <w:lang w:val="es-ES"/>
            </w:rPr>
            <w:t>5</w:t>
          </w:r>
          <w:r w:rsidR="00322854" w:rsidRPr="00322854">
            <w:rPr>
              <w:bCs/>
              <w:lang w:val="es-ES"/>
            </w:rPr>
            <w:t>-E</w:t>
          </w:r>
          <w:r w:rsidR="00322854" w:rsidRPr="00322854">
            <w:rPr>
              <w:bCs/>
              <w:lang w:val="es-ES"/>
            </w:rPr>
            <w:tab/>
            <w:t>2</w:t>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57D5" w14:textId="77777777" w:rsidR="006E286D" w:rsidRDefault="006E286D">
      <w:r>
        <w:t>____________________</w:t>
      </w:r>
    </w:p>
  </w:footnote>
  <w:footnote w:type="continuationSeparator" w:id="0">
    <w:p w14:paraId="69E37235" w14:textId="77777777" w:rsidR="006E286D" w:rsidRDefault="006E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11707" w:rsidRPr="00784011" w14:paraId="11C913A5" w14:textId="77777777" w:rsidTr="00EB6249">
      <w:trPr>
        <w:trHeight w:val="1304"/>
        <w:jc w:val="center"/>
      </w:trPr>
      <w:tc>
        <w:tcPr>
          <w:tcW w:w="6546" w:type="dxa"/>
        </w:tcPr>
        <w:p w14:paraId="024DE26E" w14:textId="13719670" w:rsidR="00A11707" w:rsidRPr="009621F8" w:rsidRDefault="00A11707" w:rsidP="00A11707">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6A035AA2" wp14:editId="6003E495">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A3A52"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5B6E28CF" wp14:editId="2C207A85">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00F43583" w14:textId="77777777" w:rsidR="00A11707" w:rsidRDefault="00A11707" w:rsidP="00A11707">
          <w:pPr>
            <w:pStyle w:val="Header"/>
            <w:jc w:val="right"/>
            <w:rPr>
              <w:rFonts w:ascii="Arial" w:hAnsi="Arial" w:cs="Arial"/>
              <w:b/>
              <w:bCs/>
              <w:color w:val="009CD6"/>
              <w:szCs w:val="18"/>
            </w:rPr>
          </w:pPr>
        </w:p>
        <w:p w14:paraId="33B581C3" w14:textId="77777777" w:rsidR="00A11707" w:rsidRDefault="00A11707" w:rsidP="00A11707">
          <w:pPr>
            <w:pStyle w:val="Header"/>
            <w:jc w:val="right"/>
            <w:rPr>
              <w:rFonts w:ascii="Arial" w:hAnsi="Arial" w:cs="Arial"/>
              <w:b/>
              <w:bCs/>
              <w:color w:val="009CD6"/>
              <w:szCs w:val="18"/>
            </w:rPr>
          </w:pPr>
        </w:p>
        <w:p w14:paraId="553FF5E4" w14:textId="58AA3633" w:rsidR="00A11707" w:rsidRPr="00784011" w:rsidRDefault="00A11707" w:rsidP="00A1170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07A50029" w:rsidR="00AD3606" w:rsidRDefault="00A11707">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6F6D4A0D" wp14:editId="2ABD4ED1">
              <wp:simplePos x="0" y="0"/>
              <wp:positionH relativeFrom="column">
                <wp:posOffset>405130</wp:posOffset>
              </wp:positionH>
              <wp:positionV relativeFrom="paragraph">
                <wp:posOffset>-852805</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7644EF86" w14:textId="77777777" w:rsidR="00A11707" w:rsidRDefault="00A11707" w:rsidP="00A11707">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6D4A0D" id="_x0000_t202" coordsize="21600,21600" o:spt="202" path="m,l,21600r21600,l21600,xe">
              <v:stroke joinstyle="miter"/>
              <v:path gradientshapeok="t" o:connecttype="rect"/>
            </v:shapetype>
            <v:shape id="Text Box 2" o:spid="_x0000_s1026" type="#_x0000_t202" style="position:absolute;left:0;text-align:left;margin-left:31.9pt;margin-top:-67.15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BPwlzS4wAAAAsBAAAPAAAAZHJzL2Rvd25yZXYueG1sTI/BTsMwEETvSPyD&#10;tUhcUOukiQyEOBUCIaigB0o5cHPjJYmI7ch2mvD3LCe47c6OZt6W69n07Ig+dM5KSJcJMLS1051t&#10;JOzfHhZXwEJUVqveWZTwjQHW1elJqQrtJvuKx11sGIXYUCgJbYxDwXmoWzQqLN2Alm6fzhsVafUN&#10;115NFG56vkoSwY3qLDW0asC7Fuuv3WgkPK8unsT9S/6+9+P2Yzs8qo2ehJTnZ/PtDbCIc/wzwy8+&#10;oUNFTAc3Wh1YL0FkRB4lLNIsz4CRI7++pOFAkkhS4FXJ//9Q/QAAAP//AwBQSwECLQAUAAYACAAA&#10;ACEAtoM4kv4AAADhAQAAEwAAAAAAAAAAAAAAAAAAAAAAW0NvbnRlbnRfVHlwZXNdLnhtbFBLAQIt&#10;ABQABgAIAAAAIQA4/SH/1gAAAJQBAAALAAAAAAAAAAAAAAAAAC8BAABfcmVscy8ucmVsc1BLAQIt&#10;ABQABgAIAAAAIQAj0BuyGgIAAAYEAAAOAAAAAAAAAAAAAAAAAC4CAABkcnMvZTJvRG9jLnhtbFBL&#10;AQItABQABgAIAAAAIQBPwlzS4wAAAAsBAAAPAAAAAAAAAAAAAAAAAHQEAABkcnMvZG93bnJldi54&#10;bWxQSwUGAAAAAAQABADzAAAAhAUAAAAA&#10;" fillcolor="window" stroked="f">
              <v:textbox style="mso-fit-shape-to-text:t" inset="1mm">
                <w:txbxContent>
                  <w:p w14:paraId="7644EF86" w14:textId="77777777" w:rsidR="00A11707" w:rsidRDefault="00A11707" w:rsidP="00A11707">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133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B02A3"/>
    <w:multiLevelType w:val="hybridMultilevel"/>
    <w:tmpl w:val="88EA1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96862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4572"/>
    <w:rsid w:val="000525A1"/>
    <w:rsid w:val="00063016"/>
    <w:rsid w:val="00066795"/>
    <w:rsid w:val="00076AF6"/>
    <w:rsid w:val="00085CF2"/>
    <w:rsid w:val="000A1525"/>
    <w:rsid w:val="000B1705"/>
    <w:rsid w:val="000B66F2"/>
    <w:rsid w:val="000D5519"/>
    <w:rsid w:val="000D75B2"/>
    <w:rsid w:val="000F6AB8"/>
    <w:rsid w:val="001121F5"/>
    <w:rsid w:val="00130599"/>
    <w:rsid w:val="00131E18"/>
    <w:rsid w:val="001400DC"/>
    <w:rsid w:val="00140CE1"/>
    <w:rsid w:val="00147C54"/>
    <w:rsid w:val="001545E8"/>
    <w:rsid w:val="00154FC7"/>
    <w:rsid w:val="0016259B"/>
    <w:rsid w:val="0017539C"/>
    <w:rsid w:val="00175AC2"/>
    <w:rsid w:val="0017609F"/>
    <w:rsid w:val="001A74CD"/>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854"/>
    <w:rsid w:val="00322D0D"/>
    <w:rsid w:val="00356734"/>
    <w:rsid w:val="00361465"/>
    <w:rsid w:val="00365D86"/>
    <w:rsid w:val="003877F5"/>
    <w:rsid w:val="003942D4"/>
    <w:rsid w:val="0039514F"/>
    <w:rsid w:val="003958A8"/>
    <w:rsid w:val="003B29C2"/>
    <w:rsid w:val="003C20CA"/>
    <w:rsid w:val="003C2533"/>
    <w:rsid w:val="003D2E43"/>
    <w:rsid w:val="003D41A6"/>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9354A"/>
    <w:rsid w:val="005A335D"/>
    <w:rsid w:val="005B0869"/>
    <w:rsid w:val="005C13D4"/>
    <w:rsid w:val="005C3AE0"/>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6C7016"/>
    <w:rsid w:val="006E03AA"/>
    <w:rsid w:val="006E286D"/>
    <w:rsid w:val="006E7514"/>
    <w:rsid w:val="00701C70"/>
    <w:rsid w:val="00702DEF"/>
    <w:rsid w:val="00705ED6"/>
    <w:rsid w:val="00706861"/>
    <w:rsid w:val="00722C25"/>
    <w:rsid w:val="007247CF"/>
    <w:rsid w:val="00726458"/>
    <w:rsid w:val="00726B8C"/>
    <w:rsid w:val="00727C44"/>
    <w:rsid w:val="007307F0"/>
    <w:rsid w:val="0075051B"/>
    <w:rsid w:val="00757A85"/>
    <w:rsid w:val="0077110E"/>
    <w:rsid w:val="00775655"/>
    <w:rsid w:val="007849D5"/>
    <w:rsid w:val="00793188"/>
    <w:rsid w:val="00794D34"/>
    <w:rsid w:val="00806E3C"/>
    <w:rsid w:val="00813E5E"/>
    <w:rsid w:val="00816C2C"/>
    <w:rsid w:val="0083581B"/>
    <w:rsid w:val="00855E52"/>
    <w:rsid w:val="00860EED"/>
    <w:rsid w:val="00863874"/>
    <w:rsid w:val="00864AFF"/>
    <w:rsid w:val="00865925"/>
    <w:rsid w:val="00870C17"/>
    <w:rsid w:val="00872B5C"/>
    <w:rsid w:val="00875FD1"/>
    <w:rsid w:val="00877BF2"/>
    <w:rsid w:val="00884F3A"/>
    <w:rsid w:val="00887AFA"/>
    <w:rsid w:val="00891503"/>
    <w:rsid w:val="008A2F06"/>
    <w:rsid w:val="008B0598"/>
    <w:rsid w:val="008B4A6A"/>
    <w:rsid w:val="008C7E27"/>
    <w:rsid w:val="008F3822"/>
    <w:rsid w:val="008F7448"/>
    <w:rsid w:val="0090147A"/>
    <w:rsid w:val="0090389B"/>
    <w:rsid w:val="00905FCD"/>
    <w:rsid w:val="009173EF"/>
    <w:rsid w:val="00932906"/>
    <w:rsid w:val="00961860"/>
    <w:rsid w:val="00961B0B"/>
    <w:rsid w:val="00962D33"/>
    <w:rsid w:val="00966A1D"/>
    <w:rsid w:val="009B38C3"/>
    <w:rsid w:val="009B44BD"/>
    <w:rsid w:val="009E17BD"/>
    <w:rsid w:val="009E485A"/>
    <w:rsid w:val="00A04CEC"/>
    <w:rsid w:val="00A11707"/>
    <w:rsid w:val="00A12786"/>
    <w:rsid w:val="00A27F92"/>
    <w:rsid w:val="00A32257"/>
    <w:rsid w:val="00A36D20"/>
    <w:rsid w:val="00A43C03"/>
    <w:rsid w:val="00A46CD0"/>
    <w:rsid w:val="00A514A4"/>
    <w:rsid w:val="00A52C84"/>
    <w:rsid w:val="00A55622"/>
    <w:rsid w:val="00A83502"/>
    <w:rsid w:val="00AC6BFA"/>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10F2"/>
    <w:rsid w:val="00BA271C"/>
    <w:rsid w:val="00BA3A51"/>
    <w:rsid w:val="00BB6B93"/>
    <w:rsid w:val="00BC251A"/>
    <w:rsid w:val="00BD032B"/>
    <w:rsid w:val="00BD0614"/>
    <w:rsid w:val="00BD094B"/>
    <w:rsid w:val="00BE2640"/>
    <w:rsid w:val="00C01189"/>
    <w:rsid w:val="00C205AE"/>
    <w:rsid w:val="00C27DB8"/>
    <w:rsid w:val="00C374DE"/>
    <w:rsid w:val="00C47AD4"/>
    <w:rsid w:val="00C52D81"/>
    <w:rsid w:val="00C55198"/>
    <w:rsid w:val="00C725C6"/>
    <w:rsid w:val="00C922C7"/>
    <w:rsid w:val="00C951B1"/>
    <w:rsid w:val="00CA6393"/>
    <w:rsid w:val="00CB18FF"/>
    <w:rsid w:val="00CB24AA"/>
    <w:rsid w:val="00CD0C08"/>
    <w:rsid w:val="00CD3C91"/>
    <w:rsid w:val="00CE03FB"/>
    <w:rsid w:val="00CE433C"/>
    <w:rsid w:val="00CF0161"/>
    <w:rsid w:val="00CF33F3"/>
    <w:rsid w:val="00D06183"/>
    <w:rsid w:val="00D143DF"/>
    <w:rsid w:val="00D22C42"/>
    <w:rsid w:val="00D27CC4"/>
    <w:rsid w:val="00D45669"/>
    <w:rsid w:val="00D464CC"/>
    <w:rsid w:val="00D522F6"/>
    <w:rsid w:val="00D65041"/>
    <w:rsid w:val="00D67039"/>
    <w:rsid w:val="00D74BFC"/>
    <w:rsid w:val="00D86E6C"/>
    <w:rsid w:val="00DA644A"/>
    <w:rsid w:val="00DB00D5"/>
    <w:rsid w:val="00DB1936"/>
    <w:rsid w:val="00DB384B"/>
    <w:rsid w:val="00DB7172"/>
    <w:rsid w:val="00DF0189"/>
    <w:rsid w:val="00E06FD5"/>
    <w:rsid w:val="00E10E80"/>
    <w:rsid w:val="00E124F0"/>
    <w:rsid w:val="00E13E81"/>
    <w:rsid w:val="00E227F3"/>
    <w:rsid w:val="00E4728B"/>
    <w:rsid w:val="00E545C6"/>
    <w:rsid w:val="00E60F04"/>
    <w:rsid w:val="00E63EFF"/>
    <w:rsid w:val="00E65B24"/>
    <w:rsid w:val="00E854E4"/>
    <w:rsid w:val="00E85B67"/>
    <w:rsid w:val="00E86DBF"/>
    <w:rsid w:val="00EA1733"/>
    <w:rsid w:val="00EB06A4"/>
    <w:rsid w:val="00EB0D6F"/>
    <w:rsid w:val="00EB2232"/>
    <w:rsid w:val="00EC389E"/>
    <w:rsid w:val="00EC5337"/>
    <w:rsid w:val="00EC7C07"/>
    <w:rsid w:val="00EE49E8"/>
    <w:rsid w:val="00F10B59"/>
    <w:rsid w:val="00F119DF"/>
    <w:rsid w:val="00F16BAB"/>
    <w:rsid w:val="00F2150A"/>
    <w:rsid w:val="00F231D8"/>
    <w:rsid w:val="00F37FD8"/>
    <w:rsid w:val="00F44C00"/>
    <w:rsid w:val="00F45D2C"/>
    <w:rsid w:val="00F46C5F"/>
    <w:rsid w:val="00F552AD"/>
    <w:rsid w:val="00F632C0"/>
    <w:rsid w:val="00F66A26"/>
    <w:rsid w:val="00F70249"/>
    <w:rsid w:val="00F718AD"/>
    <w:rsid w:val="00F73B2C"/>
    <w:rsid w:val="00F74694"/>
    <w:rsid w:val="00F86596"/>
    <w:rsid w:val="00F93FD4"/>
    <w:rsid w:val="00F94A63"/>
    <w:rsid w:val="00FA1C28"/>
    <w:rsid w:val="00FA5795"/>
    <w:rsid w:val="00FB1279"/>
    <w:rsid w:val="00FB6B76"/>
    <w:rsid w:val="00FB7596"/>
    <w:rsid w:val="00FE4077"/>
    <w:rsid w:val="00FE500D"/>
    <w:rsid w:val="00FE77D2"/>
    <w:rsid w:val="00FF5E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54A"/>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basedOn w:val="Normal"/>
    <w:uiPriority w:val="34"/>
    <w:qFormat/>
    <w:rsid w:val="008B0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li.ahmad@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aid@tra.gov.eg" TargetMode="External"/><Relationship Id="rId17" Type="http://schemas.openxmlformats.org/officeDocument/2006/relationships/hyperlink" Target="https://www.itu.int/en/ITU-T/tsag/2025-2028/Pages/Rapporteur-Groups.aspx" TargetMode="External"/><Relationship Id="rId2" Type="http://schemas.openxmlformats.org/officeDocument/2006/relationships/customXml" Target="../customXml/item2.xml"/><Relationship Id="rId16" Type="http://schemas.openxmlformats.org/officeDocument/2006/relationships/hyperlink" Target="mailto:vijay.mauree@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tina.bueti@itu.int" TargetMode="External"/><Relationship Id="rId5" Type="http://schemas.openxmlformats.org/officeDocument/2006/relationships/numbering" Target="numbering.xml"/><Relationship Id="rId15" Type="http://schemas.openxmlformats.org/officeDocument/2006/relationships/hyperlink" Target="mailto:n.maxmudova@digital.u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sufi@dtps.gov.z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2.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ISCG-TEMPLATE</Template>
  <TotalTime>7</TotalTime>
  <Pages>3</Pages>
  <Words>463</Words>
  <Characters>3621</Characters>
  <Application>Microsoft Office Word</Application>
  <DocSecurity>0</DocSecurity>
  <Lines>134</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7</cp:revision>
  <dcterms:created xsi:type="dcterms:W3CDTF">2026-01-15T13:59:00Z</dcterms:created>
  <dcterms:modified xsi:type="dcterms:W3CDTF">2026-01-16T14:44:00Z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