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216C6122"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B57C59">
              <w:rPr>
                <w:b/>
                <w:lang w:val="fr-FR"/>
              </w:rPr>
              <w:t>3</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760A2CB" w:rsidR="00AD3606" w:rsidRPr="00147C54" w:rsidRDefault="00B57C59" w:rsidP="00C07ECC">
            <w:pPr>
              <w:tabs>
                <w:tab w:val="left" w:pos="851"/>
              </w:tabs>
              <w:spacing w:before="0"/>
              <w:jc w:val="right"/>
              <w:rPr>
                <w:b/>
              </w:rPr>
            </w:pPr>
            <w:r>
              <w:rPr>
                <w:b/>
              </w:rPr>
              <w:t>28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45AA9C0E" w:rsidR="007E04A5" w:rsidRPr="00147C54" w:rsidRDefault="007E04A5" w:rsidP="00C07ECC">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B57C59">
              <w:t xml:space="preserve">the </w:t>
            </w:r>
            <w:r>
              <w:t xml:space="preserve">Coordinator on Climate Change </w:t>
            </w:r>
          </w:p>
        </w:tc>
      </w:tr>
      <w:bookmarkEnd w:id="8"/>
      <w:tr w:rsidR="007E04A5" w:rsidRPr="00147C54" w14:paraId="16B8590D" w14:textId="77777777" w:rsidTr="00C07ECC">
        <w:trPr>
          <w:cantSplit/>
        </w:trPr>
        <w:tc>
          <w:tcPr>
            <w:tcW w:w="9639" w:type="dxa"/>
            <w:gridSpan w:val="2"/>
            <w:tcMar>
              <w:left w:w="0" w:type="dxa"/>
            </w:tcMar>
          </w:tcPr>
          <w:p w14:paraId="3EBDE99F" w14:textId="03CAA23A" w:rsidR="007E04A5" w:rsidRPr="00147C54" w:rsidRDefault="007E04A5" w:rsidP="00C07ECC">
            <w:pPr>
              <w:pStyle w:val="Subtitle"/>
              <w:framePr w:hSpace="0" w:wrap="auto" w:xAlign="left" w:yAlign="inline"/>
            </w:pPr>
            <w:r w:rsidRPr="005115F0">
              <w:rPr>
                <w:caps/>
              </w:rPr>
              <w:t>Climate Change Report</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393CFB80" w14:textId="7311F6B0" w:rsidR="005241E0" w:rsidRP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B57C59">
              <w:rPr>
                <w:sz w:val="26"/>
                <w:szCs w:val="26"/>
              </w:rPr>
              <w:t>X</w:t>
            </w:r>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5241E0" w:rsidRPr="00E94C5C" w14:paraId="14D83C7C" w14:textId="77777777" w:rsidTr="00C07ECC">
        <w:trPr>
          <w:cantSplit/>
        </w:trPr>
        <w:tc>
          <w:tcPr>
            <w:tcW w:w="9639" w:type="dxa"/>
            <w:gridSpan w:val="2"/>
            <w:tcBorders>
              <w:top w:val="single" w:sz="4" w:space="0" w:color="auto"/>
              <w:bottom w:val="single" w:sz="4" w:space="0" w:color="auto"/>
            </w:tcBorders>
            <w:tcMar>
              <w:left w:w="0" w:type="dxa"/>
            </w:tcMar>
          </w:tcPr>
          <w:p w14:paraId="6F51167A" w14:textId="0CE58073" w:rsidR="005241E0" w:rsidRPr="005241E0" w:rsidRDefault="005241E0" w:rsidP="00C07ECC">
            <w:pPr>
              <w:spacing w:before="0"/>
              <w:rPr>
                <w:b/>
                <w:bCs/>
                <w:sz w:val="26"/>
                <w:szCs w:val="26"/>
                <w:lang w:val="it-IT"/>
              </w:rPr>
            </w:pPr>
            <w:r>
              <w:rPr>
                <w:b/>
                <w:bCs/>
                <w:sz w:val="26"/>
                <w:szCs w:val="26"/>
                <w:lang w:val="it-IT"/>
              </w:rPr>
              <w:t xml:space="preserve">Contact:  </w:t>
            </w:r>
            <w:r w:rsidR="007E04A5" w:rsidRPr="00B57C59">
              <w:rPr>
                <w:szCs w:val="24"/>
                <w:lang w:val="it-IT"/>
              </w:rPr>
              <w:t>Paolo Gemma</w:t>
            </w:r>
            <w:r>
              <w:rPr>
                <w:b/>
                <w:bCs/>
                <w:sz w:val="26"/>
                <w:szCs w:val="26"/>
                <w:lang w:val="it-IT"/>
              </w:rPr>
              <w:t xml:space="preserve">                 </w:t>
            </w:r>
            <w:r w:rsidR="007E04A5">
              <w:rPr>
                <w:b/>
                <w:bCs/>
                <w:sz w:val="26"/>
                <w:szCs w:val="26"/>
                <w:lang w:val="it-IT"/>
              </w:rPr>
              <w:t xml:space="preserve">             </w:t>
            </w:r>
            <w:r>
              <w:rPr>
                <w:b/>
                <w:bCs/>
                <w:sz w:val="26"/>
                <w:szCs w:val="26"/>
                <w:lang w:val="it-IT"/>
              </w:rPr>
              <w:t xml:space="preserve"> E-mail:</w:t>
            </w:r>
            <w:r w:rsidR="007E04A5">
              <w:rPr>
                <w:b/>
                <w:bCs/>
                <w:sz w:val="26"/>
                <w:szCs w:val="26"/>
                <w:lang w:val="it-IT"/>
              </w:rPr>
              <w:t xml:space="preserve"> </w:t>
            </w:r>
            <w:r w:rsidR="007E04A5">
              <w:fldChar w:fldCharType="begin"/>
            </w:r>
            <w:r w:rsidR="007E04A5" w:rsidRPr="00E94C5C">
              <w:rPr>
                <w:lang w:val="fr-CH"/>
              </w:rPr>
              <w:instrText>HYPERLINK "mailto:paolo.gemma@huawei.com"</w:instrText>
            </w:r>
            <w:r w:rsidR="007E04A5">
              <w:fldChar w:fldCharType="separate"/>
            </w:r>
            <w:r w:rsidR="007E04A5" w:rsidRPr="00B57C59">
              <w:rPr>
                <w:rStyle w:val="Hyperlink"/>
                <w:szCs w:val="24"/>
                <w:lang w:val="it-IT"/>
              </w:rPr>
              <w:t>paolo.gemma@huawei.com</w:t>
            </w:r>
            <w:r w:rsidR="007E04A5">
              <w:fldChar w:fldCharType="end"/>
            </w:r>
            <w:r w:rsidR="007E04A5" w:rsidRPr="00B57C59">
              <w:rPr>
                <w:szCs w:val="24"/>
                <w:lang w:val="it-IT"/>
              </w:rPr>
              <w:br/>
            </w:r>
            <w:r w:rsidR="007E04A5" w:rsidRPr="007E04A5">
              <w:rPr>
                <w:sz w:val="26"/>
                <w:szCs w:val="26"/>
                <w:lang w:val="it-IT"/>
              </w:rPr>
              <w:t xml:space="preserve">                  </w:t>
            </w:r>
            <w:r w:rsidR="007E04A5" w:rsidRPr="00B57C59">
              <w:rPr>
                <w:szCs w:val="24"/>
                <w:lang w:val="it-IT"/>
              </w:rPr>
              <w:t>Huawei</w:t>
            </w:r>
          </w:p>
        </w:tc>
      </w:tr>
      <w:tr w:rsidR="007E04A5" w:rsidRPr="00B57C59" w14:paraId="2A09D73C" w14:textId="77777777" w:rsidTr="00C07ECC">
        <w:trPr>
          <w:cantSplit/>
        </w:trPr>
        <w:tc>
          <w:tcPr>
            <w:tcW w:w="9639" w:type="dxa"/>
            <w:gridSpan w:val="2"/>
            <w:tcBorders>
              <w:top w:val="single" w:sz="4" w:space="0" w:color="auto"/>
              <w:bottom w:val="single" w:sz="4" w:space="0" w:color="auto"/>
            </w:tcBorders>
            <w:tcMar>
              <w:left w:w="0" w:type="dxa"/>
            </w:tcMar>
          </w:tcPr>
          <w:p w14:paraId="7A80F926" w14:textId="77777777" w:rsidR="00B57C59" w:rsidRDefault="007E04A5" w:rsidP="00C07ECC">
            <w:pPr>
              <w:spacing w:before="0"/>
              <w:rPr>
                <w:sz w:val="26"/>
                <w:szCs w:val="26"/>
                <w:lang w:val="fr-FR"/>
              </w:rPr>
            </w:pPr>
            <w:r w:rsidRPr="00B57C59">
              <w:rPr>
                <w:b/>
                <w:bCs/>
                <w:sz w:val="26"/>
                <w:szCs w:val="26"/>
                <w:lang w:val="fr-FR"/>
              </w:rPr>
              <w:t xml:space="preserve">Contact: </w:t>
            </w:r>
            <w:r w:rsidRPr="00B57C59">
              <w:rPr>
                <w:szCs w:val="24"/>
                <w:lang w:val="fr-FR"/>
              </w:rPr>
              <w:t>Jean-Manuel Canet</w:t>
            </w:r>
            <w:r w:rsidRPr="00B57C59">
              <w:rPr>
                <w:sz w:val="26"/>
                <w:szCs w:val="26"/>
                <w:lang w:val="fr-FR"/>
              </w:rPr>
              <w:tab/>
            </w:r>
            <w:r w:rsidRPr="00B57C59">
              <w:rPr>
                <w:sz w:val="26"/>
                <w:szCs w:val="26"/>
                <w:lang w:val="fr-FR"/>
              </w:rPr>
              <w:tab/>
            </w:r>
            <w:r w:rsidRPr="00B57C59">
              <w:rPr>
                <w:b/>
                <w:bCs/>
                <w:sz w:val="26"/>
                <w:szCs w:val="26"/>
                <w:lang w:val="fr-FR"/>
              </w:rPr>
              <w:t xml:space="preserve"> E-mail:</w:t>
            </w:r>
            <w:r w:rsidRPr="00B57C59">
              <w:rPr>
                <w:sz w:val="26"/>
                <w:szCs w:val="26"/>
                <w:lang w:val="fr-FR"/>
              </w:rPr>
              <w:t xml:space="preserve"> </w:t>
            </w:r>
            <w:r w:rsidRPr="00B57C59">
              <w:rPr>
                <w:lang w:val="fr-FR"/>
              </w:rPr>
              <w:t xml:space="preserve"> </w:t>
            </w:r>
            <w:hyperlink r:id="rId11" w:history="1">
              <w:r w:rsidRPr="00B57C59">
                <w:rPr>
                  <w:rStyle w:val="Hyperlink"/>
                  <w:szCs w:val="24"/>
                  <w:lang w:val="fr-FR"/>
                </w:rPr>
                <w:t>jean-manuel.canet@orange.com</w:t>
              </w:r>
            </w:hyperlink>
            <w:r w:rsidRPr="00B57C59">
              <w:rPr>
                <w:sz w:val="26"/>
                <w:szCs w:val="26"/>
                <w:lang w:val="fr-FR"/>
              </w:rPr>
              <w:tab/>
              <w:t xml:space="preserve">       </w:t>
            </w:r>
            <w:r w:rsidR="00B57C59">
              <w:rPr>
                <w:sz w:val="26"/>
                <w:szCs w:val="26"/>
                <w:lang w:val="fr-FR"/>
              </w:rPr>
              <w:t xml:space="preserve">    </w:t>
            </w:r>
          </w:p>
          <w:p w14:paraId="1A542B32" w14:textId="4497062F" w:rsidR="007E04A5" w:rsidRPr="00B57C59" w:rsidRDefault="00B57C59" w:rsidP="00C07ECC">
            <w:pPr>
              <w:spacing w:before="0"/>
              <w:rPr>
                <w:szCs w:val="24"/>
                <w:lang w:val="fr-FR"/>
              </w:rPr>
            </w:pPr>
            <w:r>
              <w:rPr>
                <w:sz w:val="26"/>
                <w:szCs w:val="26"/>
                <w:lang w:val="fr-FR"/>
              </w:rPr>
              <w:t xml:space="preserve">                </w:t>
            </w:r>
            <w:r w:rsidR="007E04A5" w:rsidRPr="00B57C59">
              <w:rPr>
                <w:szCs w:val="24"/>
                <w:lang w:val="fr-FR"/>
              </w:rPr>
              <w:t>Orange</w:t>
            </w:r>
          </w:p>
        </w:tc>
      </w:tr>
      <w:bookmarkEnd w:id="2"/>
      <w:bookmarkEnd w:id="3"/>
      <w:bookmarkEnd w:id="4"/>
      <w:bookmarkEnd w:id="5"/>
      <w:bookmarkEnd w:id="9"/>
    </w:tbl>
    <w:p w14:paraId="25883767" w14:textId="77777777" w:rsidR="00C07ECC" w:rsidRDefault="00C07ECC" w:rsidP="00BF1FDA">
      <w:pPr>
        <w:tabs>
          <w:tab w:val="clear" w:pos="567"/>
          <w:tab w:val="clear" w:pos="1134"/>
          <w:tab w:val="clear" w:pos="1701"/>
          <w:tab w:val="clear" w:pos="2268"/>
          <w:tab w:val="clear" w:pos="2835"/>
        </w:tabs>
        <w:overflowPunct/>
        <w:autoSpaceDE/>
        <w:autoSpaceDN/>
        <w:adjustRightInd/>
        <w:spacing w:before="0"/>
        <w:textAlignment w:val="auto"/>
        <w:rPr>
          <w:lang w:val="fr-FR"/>
        </w:rPr>
      </w:pPr>
    </w:p>
    <w:p w14:paraId="7A55A784" w14:textId="7EF8B016" w:rsidR="007E04A5" w:rsidRPr="005115F0" w:rsidRDefault="007E04A5" w:rsidP="00BF1FD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sidRPr="005115F0">
        <w:rPr>
          <w:rFonts w:asciiTheme="minorHAnsi" w:hAnsiTheme="minorHAnsi" w:cstheme="minorHAnsi"/>
          <w:b/>
          <w:bCs/>
          <w:szCs w:val="24"/>
          <w:lang w:val="en-US"/>
        </w:rPr>
        <w:t>Main activities from last ISCG meeting</w:t>
      </w:r>
    </w:p>
    <w:p w14:paraId="430874F4" w14:textId="77777777" w:rsidR="007E04A5" w:rsidRPr="005115F0" w:rsidRDefault="007E04A5" w:rsidP="007E04A5">
      <w:pPr>
        <w:jc w:val="both"/>
        <w:rPr>
          <w:rFonts w:asciiTheme="minorHAnsi" w:hAnsiTheme="minorHAnsi" w:cstheme="minorHAnsi"/>
          <w:b/>
          <w:bCs/>
          <w:szCs w:val="24"/>
        </w:rPr>
      </w:pPr>
      <w:r w:rsidRPr="005115F0">
        <w:rPr>
          <w:rFonts w:asciiTheme="minorHAnsi" w:hAnsiTheme="minorHAnsi" w:cstheme="minorHAnsi"/>
          <w:b/>
          <w:bCs/>
          <w:szCs w:val="24"/>
        </w:rPr>
        <w:t>Update on progress in ITU-T SG5:</w:t>
      </w:r>
    </w:p>
    <w:p w14:paraId="367B942D" w14:textId="77777777" w:rsidR="007E04A5" w:rsidRDefault="007E04A5" w:rsidP="007E04A5">
      <w:pPr>
        <w:jc w:val="both"/>
        <w:rPr>
          <w:rFonts w:asciiTheme="minorHAnsi" w:hAnsiTheme="minorHAnsi" w:cstheme="minorHAnsi"/>
          <w:szCs w:val="24"/>
        </w:rPr>
      </w:pPr>
      <w:r w:rsidRPr="005115F0">
        <w:rPr>
          <w:rFonts w:asciiTheme="minorHAnsi" w:hAnsiTheme="minorHAnsi" w:cstheme="minorHAnsi"/>
          <w:szCs w:val="24"/>
        </w:rPr>
        <w:t xml:space="preserve">ITU-T Study Group 5 </w:t>
      </w:r>
      <w:r>
        <w:rPr>
          <w:rFonts w:asciiTheme="minorHAnsi" w:hAnsiTheme="minorHAnsi" w:cstheme="minorHAnsi"/>
          <w:szCs w:val="24"/>
        </w:rPr>
        <w:t>is progressing on its work on Environmental Sustainability, Climate Action and Circular Economy and would like to provide a brief overview of the following activities:</w:t>
      </w:r>
    </w:p>
    <w:p w14:paraId="3DF04C87" w14:textId="77777777" w:rsidR="007E04A5" w:rsidRPr="00B66D92" w:rsidRDefault="007E04A5" w:rsidP="007E04A5">
      <w:pPr>
        <w:pStyle w:val="ListParagraph"/>
        <w:numPr>
          <w:ilvl w:val="0"/>
          <w:numId w:val="5"/>
        </w:numPr>
        <w:jc w:val="both"/>
        <w:rPr>
          <w:rFonts w:asciiTheme="minorHAnsi" w:hAnsiTheme="minorHAnsi" w:cstheme="minorHAnsi"/>
          <w:b/>
          <w:bCs/>
          <w:szCs w:val="24"/>
        </w:rPr>
      </w:pPr>
      <w:r w:rsidRPr="00B66D92">
        <w:rPr>
          <w:rFonts w:asciiTheme="minorHAnsi" w:hAnsiTheme="minorHAnsi" w:cstheme="minorHAnsi"/>
          <w:b/>
          <w:bCs/>
          <w:szCs w:val="24"/>
        </w:rPr>
        <w:t>The following work items are being developed together with ETSI TC EE:</w:t>
      </w:r>
    </w:p>
    <w:p w14:paraId="46B4AA23" w14:textId="77777777" w:rsidR="007E04A5" w:rsidRPr="005115F0" w:rsidRDefault="007E04A5" w:rsidP="007E04A5">
      <w:pPr>
        <w:pStyle w:val="ListParagraph"/>
        <w:numPr>
          <w:ilvl w:val="0"/>
          <w:numId w:val="2"/>
        </w:numPr>
        <w:spacing w:before="0"/>
        <w:ind w:left="714" w:hanging="357"/>
        <w:jc w:val="both"/>
        <w:rPr>
          <w:rFonts w:asciiTheme="minorHAnsi" w:hAnsiTheme="minorHAnsi" w:cstheme="minorHAnsi"/>
          <w:szCs w:val="24"/>
        </w:rPr>
      </w:pPr>
      <w:r w:rsidRPr="005115F0">
        <w:rPr>
          <w:rFonts w:asciiTheme="minorHAnsi" w:hAnsiTheme="minorHAnsi" w:cstheme="minorHAnsi"/>
          <w:szCs w:val="24"/>
        </w:rPr>
        <w:t xml:space="preserve">L.1480 </w:t>
      </w:r>
      <w:hyperlink r:id="rId12" w:tgtFrame="_blank" w:history="1">
        <w:r w:rsidRPr="005115F0">
          <w:rPr>
            <w:rFonts w:asciiTheme="minorHAnsi" w:hAnsiTheme="minorHAnsi" w:cstheme="minorHAnsi"/>
            <w:szCs w:val="24"/>
          </w:rPr>
          <w:t>DES/EE-EEPS66 (ES 204 087)</w:t>
        </w:r>
      </w:hyperlink>
      <w:r w:rsidRPr="005115F0">
        <w:rPr>
          <w:rFonts w:asciiTheme="minorHAnsi" w:hAnsiTheme="minorHAnsi" w:cstheme="minorHAnsi"/>
          <w:szCs w:val="24"/>
        </w:rPr>
        <w:t>: “Enabling the Net Zero transition: Assessing how the use of ICT solutions impact greenhouse gas emissions of other sectors”:</w:t>
      </w:r>
    </w:p>
    <w:p w14:paraId="1BEFEB6A" w14:textId="77777777" w:rsidR="007E04A5" w:rsidRDefault="007E04A5" w:rsidP="007E04A5">
      <w:pPr>
        <w:ind w:left="567"/>
        <w:jc w:val="both"/>
        <w:rPr>
          <w:rFonts w:asciiTheme="minorHAnsi" w:hAnsiTheme="minorHAnsi" w:cstheme="minorHAnsi"/>
          <w:szCs w:val="24"/>
        </w:rPr>
      </w:pPr>
      <w:r w:rsidRPr="005115F0">
        <w:rPr>
          <w:rFonts w:asciiTheme="minorHAnsi" w:hAnsiTheme="minorHAnsi" w:cstheme="minorHAnsi"/>
          <w:szCs w:val="24"/>
        </w:rPr>
        <w:t xml:space="preserve">This is a revision of existing </w:t>
      </w:r>
      <w:r>
        <w:rPr>
          <w:rFonts w:asciiTheme="minorHAnsi" w:hAnsiTheme="minorHAnsi" w:cstheme="minorHAnsi"/>
          <w:szCs w:val="24"/>
        </w:rPr>
        <w:t>R</w:t>
      </w:r>
      <w:r w:rsidRPr="005115F0">
        <w:rPr>
          <w:rFonts w:asciiTheme="minorHAnsi" w:hAnsiTheme="minorHAnsi" w:cstheme="minorHAnsi"/>
          <w:szCs w:val="24"/>
        </w:rPr>
        <w:t>ecommendation</w:t>
      </w:r>
      <w:r>
        <w:rPr>
          <w:rFonts w:asciiTheme="minorHAnsi" w:hAnsiTheme="minorHAnsi" w:cstheme="minorHAnsi"/>
          <w:szCs w:val="24"/>
        </w:rPr>
        <w:t xml:space="preserve">. This revision is being developed together with ETSI TC EE. This revision incorporates additional examples of the application of the standard and clarify some aspects of the standard. </w:t>
      </w:r>
      <w:r w:rsidRPr="005115F0">
        <w:rPr>
          <w:rFonts w:asciiTheme="minorHAnsi" w:hAnsiTheme="minorHAnsi" w:cstheme="minorHAnsi"/>
          <w:szCs w:val="24"/>
        </w:rPr>
        <w:t xml:space="preserve">The </w:t>
      </w:r>
      <w:r>
        <w:rPr>
          <w:rFonts w:asciiTheme="minorHAnsi" w:hAnsiTheme="minorHAnsi" w:cstheme="minorHAnsi"/>
          <w:szCs w:val="24"/>
        </w:rPr>
        <w:t xml:space="preserve">revision was also carried out with the </w:t>
      </w:r>
      <w:r w:rsidRPr="005115F0">
        <w:rPr>
          <w:rFonts w:asciiTheme="minorHAnsi" w:hAnsiTheme="minorHAnsi" w:cstheme="minorHAnsi"/>
          <w:szCs w:val="24"/>
        </w:rPr>
        <w:t>cooperation AIOTI that provide</w:t>
      </w:r>
      <w:r>
        <w:rPr>
          <w:rFonts w:asciiTheme="minorHAnsi" w:hAnsiTheme="minorHAnsi" w:cstheme="minorHAnsi"/>
          <w:szCs w:val="24"/>
        </w:rPr>
        <w:t>d</w:t>
      </w:r>
      <w:r w:rsidRPr="005115F0">
        <w:rPr>
          <w:rFonts w:asciiTheme="minorHAnsi" w:hAnsiTheme="minorHAnsi" w:cstheme="minorHAnsi"/>
          <w:szCs w:val="24"/>
        </w:rPr>
        <w:t xml:space="preserve"> an application example. </w:t>
      </w:r>
    </w:p>
    <w:p w14:paraId="5E270E28" w14:textId="6EF7226A" w:rsidR="007E04A5" w:rsidRPr="005115F0" w:rsidRDefault="007E04A5" w:rsidP="007E04A5">
      <w:pPr>
        <w:ind w:left="567"/>
        <w:jc w:val="both"/>
        <w:rPr>
          <w:rFonts w:asciiTheme="minorHAnsi" w:hAnsiTheme="minorHAnsi" w:cstheme="minorHAnsi"/>
          <w:szCs w:val="24"/>
          <w:lang w:val="en-US"/>
        </w:rPr>
      </w:pPr>
      <w:r>
        <w:rPr>
          <w:rFonts w:asciiTheme="minorHAnsi" w:hAnsiTheme="minorHAnsi" w:cstheme="minorHAnsi"/>
          <w:szCs w:val="24"/>
        </w:rPr>
        <w:t xml:space="preserve">This revised standard was consented in June and published in July. Technically aligned ETSI version will be published as </w:t>
      </w:r>
      <w:r w:rsidRPr="006E22C3">
        <w:rPr>
          <w:bdr w:val="none" w:sz="0" w:space="0" w:color="auto" w:frame="1"/>
        </w:rPr>
        <w:t>ES 204 087</w:t>
      </w:r>
      <w:r>
        <w:rPr>
          <w:bdr w:val="none" w:sz="0" w:space="0" w:color="auto" w:frame="1"/>
        </w:rPr>
        <w:t>.</w:t>
      </w:r>
      <w:r w:rsidRPr="005115F0">
        <w:rPr>
          <w:rFonts w:asciiTheme="minorHAnsi" w:hAnsiTheme="minorHAnsi" w:cstheme="minorHAnsi"/>
          <w:szCs w:val="24"/>
        </w:rPr>
        <w:t xml:space="preserve"> </w:t>
      </w:r>
    </w:p>
    <w:p w14:paraId="0DD0280B" w14:textId="23CC0182" w:rsidR="007E04A5" w:rsidRDefault="007130E7" w:rsidP="007E04A5">
      <w:pPr>
        <w:ind w:left="567"/>
        <w:jc w:val="both"/>
        <w:rPr>
          <w:rFonts w:asciiTheme="minorHAnsi" w:hAnsiTheme="minorHAnsi" w:cstheme="minorHAnsi"/>
          <w:szCs w:val="24"/>
        </w:rPr>
      </w:pPr>
      <w:r>
        <w:rPr>
          <w:rFonts w:asciiTheme="minorHAnsi" w:hAnsiTheme="minorHAnsi" w:cstheme="minorHAnsi"/>
          <w:szCs w:val="24"/>
        </w:rPr>
        <w:t xml:space="preserve">L.1801 </w:t>
      </w:r>
      <w:r w:rsidR="007E04A5">
        <w:rPr>
          <w:rFonts w:asciiTheme="minorHAnsi" w:hAnsiTheme="minorHAnsi" w:cstheme="minorHAnsi"/>
          <w:szCs w:val="24"/>
        </w:rPr>
        <w:t xml:space="preserve">/ </w:t>
      </w:r>
      <w:hyperlink r:id="rId13" w:tgtFrame="_blank" w:history="1">
        <w:r w:rsidR="007E04A5" w:rsidRPr="005115F0">
          <w:rPr>
            <w:rFonts w:asciiTheme="minorHAnsi" w:hAnsiTheme="minorHAnsi" w:cstheme="minorHAnsi"/>
            <w:szCs w:val="24"/>
          </w:rPr>
          <w:t>DES/EE-EEPS77 (ES 204 135)</w:t>
        </w:r>
      </w:hyperlink>
      <w:r w:rsidR="007E04A5" w:rsidRPr="005115F0">
        <w:rPr>
          <w:rFonts w:asciiTheme="minorHAnsi" w:hAnsiTheme="minorHAnsi" w:cstheme="minorHAnsi"/>
          <w:szCs w:val="24"/>
        </w:rPr>
        <w:t xml:space="preserve">: </w:t>
      </w:r>
      <w:r w:rsidR="007E04A5" w:rsidRPr="005115F0">
        <w:rPr>
          <w:rFonts w:asciiTheme="minorHAnsi" w:hAnsiTheme="minorHAnsi" w:cstheme="minorHAnsi"/>
          <w:szCs w:val="24"/>
          <w:lang w:val="en-US"/>
        </w:rPr>
        <w:t>“</w:t>
      </w:r>
      <w:r w:rsidR="007E04A5" w:rsidRPr="005115F0">
        <w:rPr>
          <w:rFonts w:asciiTheme="minorHAnsi" w:hAnsiTheme="minorHAnsi" w:cstheme="minorHAnsi"/>
          <w:szCs w:val="24"/>
        </w:rPr>
        <w:t>Guidelines for Assessing the</w:t>
      </w:r>
      <w:r w:rsidR="007E04A5">
        <w:rPr>
          <w:rFonts w:asciiTheme="minorHAnsi" w:hAnsiTheme="minorHAnsi" w:cstheme="minorHAnsi"/>
          <w:szCs w:val="24"/>
        </w:rPr>
        <w:t xml:space="preserve"> Environmental </w:t>
      </w:r>
      <w:r w:rsidR="007E04A5" w:rsidRPr="005115F0">
        <w:rPr>
          <w:rFonts w:asciiTheme="minorHAnsi" w:hAnsiTheme="minorHAnsi" w:cstheme="minorHAnsi"/>
          <w:szCs w:val="24"/>
        </w:rPr>
        <w:t xml:space="preserve"> Impact of Artificial Intelligence </w:t>
      </w:r>
      <w:r w:rsidR="007E04A5">
        <w:rPr>
          <w:rFonts w:asciiTheme="minorHAnsi" w:hAnsiTheme="minorHAnsi" w:cstheme="minorHAnsi"/>
          <w:szCs w:val="24"/>
        </w:rPr>
        <w:t>systems</w:t>
      </w:r>
      <w:r w:rsidR="007E04A5" w:rsidRPr="005115F0">
        <w:rPr>
          <w:rFonts w:asciiTheme="minorHAnsi" w:hAnsiTheme="minorHAnsi" w:cstheme="minorHAnsi"/>
          <w:szCs w:val="24"/>
        </w:rPr>
        <w:t>”</w:t>
      </w:r>
      <w:r w:rsidR="007E04A5">
        <w:rPr>
          <w:rFonts w:asciiTheme="minorHAnsi" w:hAnsiTheme="minorHAnsi" w:cstheme="minorHAnsi"/>
          <w:szCs w:val="24"/>
        </w:rPr>
        <w:t xml:space="preserve">. This Recommendation will provide a methodology on how to assess the AI environmental impact on GHG emissions, energy and water consumption, and material efficiency. </w:t>
      </w:r>
    </w:p>
    <w:p w14:paraId="5445FE75" w14:textId="39896DD0" w:rsidR="007E04A5" w:rsidRDefault="007E04A5" w:rsidP="007E04A5">
      <w:pPr>
        <w:ind w:left="567"/>
        <w:jc w:val="both"/>
        <w:rPr>
          <w:rFonts w:asciiTheme="minorHAnsi" w:hAnsiTheme="minorHAnsi" w:cstheme="minorHAnsi"/>
          <w:szCs w:val="24"/>
        </w:rPr>
      </w:pPr>
      <w:r>
        <w:rPr>
          <w:rFonts w:asciiTheme="minorHAnsi" w:hAnsiTheme="minorHAnsi" w:cstheme="minorHAnsi"/>
          <w:szCs w:val="24"/>
        </w:rPr>
        <w:t xml:space="preserve">The recommendation was consented in November 2025 meeting and is now in approval phase. The technically aligned ETSI version  </w:t>
      </w:r>
      <w:r w:rsidR="007130E7">
        <w:rPr>
          <w:rFonts w:asciiTheme="minorHAnsi" w:hAnsiTheme="minorHAnsi" w:cstheme="minorHAnsi"/>
          <w:szCs w:val="24"/>
        </w:rPr>
        <w:t>is ES 204 135 also in formal approval phase after TB approval.</w:t>
      </w:r>
    </w:p>
    <w:p w14:paraId="1B570DC5" w14:textId="6C2CCE9F" w:rsidR="007E04A5" w:rsidRPr="005115F0" w:rsidRDefault="007E04A5" w:rsidP="007E04A5">
      <w:pPr>
        <w:ind w:left="567"/>
        <w:jc w:val="both"/>
        <w:rPr>
          <w:rFonts w:asciiTheme="minorHAnsi" w:hAnsiTheme="minorHAnsi" w:cstheme="minorHAnsi"/>
          <w:szCs w:val="24"/>
          <w:lang w:val="en-US"/>
        </w:rPr>
      </w:pPr>
      <w:r w:rsidRPr="005115F0">
        <w:rPr>
          <w:rFonts w:asciiTheme="minorHAnsi" w:hAnsiTheme="minorHAnsi" w:cstheme="minorHAnsi"/>
          <w:szCs w:val="24"/>
        </w:rPr>
        <w:t xml:space="preserve">It is planned to be </w:t>
      </w:r>
      <w:r w:rsidR="007130E7">
        <w:rPr>
          <w:rFonts w:asciiTheme="minorHAnsi" w:hAnsiTheme="minorHAnsi" w:cstheme="minorHAnsi"/>
          <w:szCs w:val="24"/>
        </w:rPr>
        <w:t>published in 2026</w:t>
      </w:r>
      <w:r>
        <w:rPr>
          <w:rFonts w:asciiTheme="minorHAnsi" w:hAnsiTheme="minorHAnsi" w:cstheme="minorHAnsi"/>
          <w:szCs w:val="24"/>
        </w:rPr>
        <w:t>.</w:t>
      </w:r>
      <w:r w:rsidRPr="005115F0">
        <w:rPr>
          <w:rFonts w:asciiTheme="minorHAnsi" w:hAnsiTheme="minorHAnsi" w:cstheme="minorHAnsi"/>
          <w:szCs w:val="24"/>
        </w:rPr>
        <w:t xml:space="preserve"> </w:t>
      </w:r>
    </w:p>
    <w:p w14:paraId="6E51FA7B" w14:textId="50F9C7E7" w:rsidR="007130E7" w:rsidRDefault="007130E7" w:rsidP="007E04A5">
      <w:pPr>
        <w:ind w:left="567"/>
        <w:jc w:val="both"/>
        <w:rPr>
          <w:rFonts w:asciiTheme="minorHAnsi" w:hAnsiTheme="minorHAnsi" w:cstheme="minorHAnsi"/>
          <w:szCs w:val="24"/>
        </w:rPr>
      </w:pPr>
      <w:r>
        <w:rPr>
          <w:rFonts w:asciiTheme="minorHAnsi" w:hAnsiTheme="minorHAnsi" w:cstheme="minorHAnsi"/>
          <w:szCs w:val="24"/>
        </w:rPr>
        <w:lastRenderedPageBreak/>
        <w:t>L.1411</w:t>
      </w:r>
      <w:r w:rsidR="007E04A5" w:rsidRPr="005115F0">
        <w:rPr>
          <w:rFonts w:asciiTheme="minorHAnsi" w:hAnsiTheme="minorHAnsi" w:cstheme="minorHAnsi"/>
          <w:szCs w:val="24"/>
        </w:rPr>
        <w:t>/ES 204 085: “</w:t>
      </w:r>
      <w:r w:rsidR="007E04A5" w:rsidRPr="005115F0">
        <w:rPr>
          <w:rFonts w:asciiTheme="minorHAnsi" w:hAnsiTheme="minorHAnsi" w:cstheme="minorHAnsi"/>
          <w:szCs w:val="24"/>
          <w:shd w:val="clear" w:color="auto" w:fill="FFFFFF"/>
        </w:rPr>
        <w:t>Guidance on simplified life cycle assessments of Information and Communication Technologies” this standard cover</w:t>
      </w:r>
      <w:r w:rsidR="007E04A5">
        <w:rPr>
          <w:rFonts w:asciiTheme="minorHAnsi" w:hAnsiTheme="minorHAnsi" w:cstheme="minorHAnsi"/>
          <w:szCs w:val="24"/>
          <w:shd w:val="clear" w:color="auto" w:fill="FFFFFF"/>
        </w:rPr>
        <w:t>s</w:t>
      </w:r>
      <w:r w:rsidR="007E04A5" w:rsidRPr="005115F0">
        <w:rPr>
          <w:rFonts w:asciiTheme="minorHAnsi" w:hAnsiTheme="minorHAnsi" w:cstheme="minorHAnsi"/>
          <w:szCs w:val="24"/>
          <w:shd w:val="clear" w:color="auto" w:fill="FFFFFF"/>
        </w:rPr>
        <w:t xml:space="preserve"> the need to have “simplified”” method to perform an LCA assessment of a product in a simple way </w:t>
      </w:r>
      <w:r w:rsidR="007E04A5">
        <w:rPr>
          <w:rFonts w:asciiTheme="minorHAnsi" w:hAnsiTheme="minorHAnsi" w:cstheme="minorHAnsi"/>
          <w:szCs w:val="24"/>
          <w:shd w:val="clear" w:color="auto" w:fill="FFFFFF"/>
        </w:rPr>
        <w:t xml:space="preserve">with </w:t>
      </w:r>
      <w:r w:rsidR="007E04A5" w:rsidRPr="005115F0">
        <w:rPr>
          <w:rFonts w:asciiTheme="minorHAnsi" w:hAnsiTheme="minorHAnsi" w:cstheme="minorHAnsi"/>
          <w:szCs w:val="24"/>
          <w:shd w:val="clear" w:color="auto" w:fill="FFFFFF"/>
        </w:rPr>
        <w:t xml:space="preserve">respect to </w:t>
      </w:r>
      <w:r w:rsidR="007E04A5">
        <w:rPr>
          <w:rFonts w:asciiTheme="minorHAnsi" w:hAnsiTheme="minorHAnsi" w:cstheme="minorHAnsi"/>
          <w:szCs w:val="24"/>
          <w:shd w:val="clear" w:color="auto" w:fill="FFFFFF"/>
        </w:rPr>
        <w:t xml:space="preserve">the </w:t>
      </w:r>
      <w:r w:rsidR="007E04A5" w:rsidRPr="005115F0">
        <w:rPr>
          <w:rFonts w:asciiTheme="minorHAnsi" w:hAnsiTheme="minorHAnsi" w:cstheme="minorHAnsi"/>
          <w:szCs w:val="24"/>
          <w:shd w:val="clear" w:color="auto" w:fill="FFFFFF"/>
        </w:rPr>
        <w:t>full methodology described in L.1410</w:t>
      </w:r>
      <w:r w:rsidR="007E04A5">
        <w:rPr>
          <w:rFonts w:asciiTheme="minorHAnsi" w:hAnsiTheme="minorHAnsi" w:cstheme="minorHAnsi"/>
          <w:szCs w:val="24"/>
          <w:shd w:val="clear" w:color="auto" w:fill="FFFFFF"/>
        </w:rPr>
        <w:t>.</w:t>
      </w:r>
      <w:r w:rsidR="007E04A5" w:rsidRPr="005115F0">
        <w:rPr>
          <w:rFonts w:asciiTheme="minorHAnsi" w:hAnsiTheme="minorHAnsi" w:cstheme="minorHAnsi"/>
          <w:szCs w:val="24"/>
        </w:rPr>
        <w:t xml:space="preserve"> </w:t>
      </w:r>
    </w:p>
    <w:p w14:paraId="288F7179" w14:textId="77777777" w:rsidR="007130E7" w:rsidRDefault="007130E7" w:rsidP="007E04A5">
      <w:pPr>
        <w:ind w:left="567"/>
        <w:jc w:val="both"/>
        <w:rPr>
          <w:rFonts w:asciiTheme="minorHAnsi" w:hAnsiTheme="minorHAnsi" w:cstheme="minorHAnsi"/>
          <w:szCs w:val="24"/>
        </w:rPr>
      </w:pPr>
      <w:r>
        <w:rPr>
          <w:rFonts w:asciiTheme="minorHAnsi" w:hAnsiTheme="minorHAnsi" w:cstheme="minorHAnsi"/>
          <w:szCs w:val="24"/>
        </w:rPr>
        <w:t>The recommendation was consented in November and is actually on approval procedure. The technically aligned ETSI standard ES 204 085 was also approved at meeting level and is now on formal approval phase.</w:t>
      </w:r>
    </w:p>
    <w:p w14:paraId="64496733" w14:textId="485E48D1" w:rsidR="007130E7" w:rsidRDefault="007130E7" w:rsidP="007E04A5">
      <w:pPr>
        <w:ind w:left="567"/>
        <w:jc w:val="both"/>
        <w:rPr>
          <w:rFonts w:asciiTheme="minorHAnsi" w:hAnsiTheme="minorHAnsi" w:cstheme="minorHAnsi"/>
          <w:szCs w:val="24"/>
        </w:rPr>
      </w:pPr>
      <w:r>
        <w:rPr>
          <w:rFonts w:asciiTheme="minorHAnsi" w:hAnsiTheme="minorHAnsi" w:cstheme="minorHAnsi"/>
          <w:szCs w:val="24"/>
        </w:rPr>
        <w:t>L.1308: “</w:t>
      </w:r>
      <w:r w:rsidRPr="007130E7">
        <w:rPr>
          <w:rFonts w:asciiTheme="minorHAnsi" w:hAnsiTheme="minorHAnsi" w:cstheme="minorHAnsi"/>
          <w:szCs w:val="24"/>
        </w:rPr>
        <w:t>Guidelines for the implementation of low carbon data centres to climate change mitigation and adaptation</w:t>
      </w:r>
      <w:r>
        <w:rPr>
          <w:rFonts w:asciiTheme="minorHAnsi" w:hAnsiTheme="minorHAnsi" w:cstheme="minorHAnsi"/>
          <w:szCs w:val="24"/>
        </w:rPr>
        <w:t xml:space="preserve">” this standard </w:t>
      </w:r>
      <w:r w:rsidR="00B62127">
        <w:rPr>
          <w:rFonts w:asciiTheme="minorHAnsi" w:hAnsiTheme="minorHAnsi" w:cstheme="minorHAnsi"/>
          <w:szCs w:val="24"/>
        </w:rPr>
        <w:t>provides</w:t>
      </w:r>
      <w:r>
        <w:rPr>
          <w:rFonts w:asciiTheme="minorHAnsi" w:hAnsiTheme="minorHAnsi" w:cstheme="minorHAnsi"/>
          <w:szCs w:val="24"/>
        </w:rPr>
        <w:t xml:space="preserve"> guidelines and requirement to implement a </w:t>
      </w:r>
      <w:r w:rsidR="00B62127">
        <w:rPr>
          <w:rFonts w:asciiTheme="minorHAnsi" w:hAnsiTheme="minorHAnsi" w:cstheme="minorHAnsi"/>
          <w:szCs w:val="24"/>
        </w:rPr>
        <w:t xml:space="preserve">Low Carbon data centre continuing Study Group 5 activities on </w:t>
      </w:r>
      <w:proofErr w:type="gramStart"/>
      <w:r w:rsidR="00B62127">
        <w:rPr>
          <w:rFonts w:asciiTheme="minorHAnsi" w:hAnsiTheme="minorHAnsi" w:cstheme="minorHAnsi"/>
          <w:szCs w:val="24"/>
        </w:rPr>
        <w:t>Green</w:t>
      </w:r>
      <w:proofErr w:type="gramEnd"/>
      <w:r w:rsidR="00B62127">
        <w:rPr>
          <w:rFonts w:asciiTheme="minorHAnsi" w:hAnsiTheme="minorHAnsi" w:cstheme="minorHAnsi"/>
          <w:szCs w:val="24"/>
        </w:rPr>
        <w:t xml:space="preserve"> data Centre standardization</w:t>
      </w:r>
      <w:r>
        <w:rPr>
          <w:rFonts w:asciiTheme="minorHAnsi" w:hAnsiTheme="minorHAnsi" w:cstheme="minorHAnsi"/>
          <w:szCs w:val="24"/>
        </w:rPr>
        <w:t xml:space="preserve">. The recommendation was consented in November and is actually </w:t>
      </w:r>
      <w:r w:rsidR="00B62127">
        <w:rPr>
          <w:rFonts w:asciiTheme="minorHAnsi" w:hAnsiTheme="minorHAnsi" w:cstheme="minorHAnsi"/>
          <w:szCs w:val="24"/>
        </w:rPr>
        <w:t>approved waiting publication.</w:t>
      </w:r>
    </w:p>
    <w:p w14:paraId="5CD502DA" w14:textId="6F42575E" w:rsidR="007130E7" w:rsidRDefault="007E04A5" w:rsidP="007E04A5">
      <w:pPr>
        <w:ind w:left="360"/>
        <w:jc w:val="both"/>
        <w:rPr>
          <w:rFonts w:asciiTheme="minorHAnsi" w:hAnsiTheme="minorHAnsi" w:cstheme="minorHAnsi"/>
          <w:szCs w:val="24"/>
          <w:lang w:val="en-US"/>
        </w:rPr>
      </w:pPr>
      <w:r w:rsidRPr="005115F0">
        <w:rPr>
          <w:rFonts w:asciiTheme="minorHAnsi" w:hAnsiTheme="minorHAnsi" w:cstheme="minorHAnsi"/>
          <w:szCs w:val="24"/>
          <w:lang w:val="en-US"/>
        </w:rPr>
        <w:t xml:space="preserve">Other </w:t>
      </w:r>
      <w:r w:rsidR="007130E7">
        <w:rPr>
          <w:rFonts w:asciiTheme="minorHAnsi" w:hAnsiTheme="minorHAnsi" w:cstheme="minorHAnsi"/>
          <w:szCs w:val="24"/>
          <w:lang w:val="en-US"/>
        </w:rPr>
        <w:t xml:space="preserve">new </w:t>
      </w:r>
      <w:r>
        <w:rPr>
          <w:rFonts w:asciiTheme="minorHAnsi" w:hAnsiTheme="minorHAnsi" w:cstheme="minorHAnsi"/>
          <w:szCs w:val="24"/>
          <w:lang w:val="en-US"/>
        </w:rPr>
        <w:t>Working Items (</w:t>
      </w:r>
      <w:r w:rsidRPr="005115F0">
        <w:rPr>
          <w:rFonts w:asciiTheme="minorHAnsi" w:hAnsiTheme="minorHAnsi" w:cstheme="minorHAnsi"/>
          <w:szCs w:val="24"/>
          <w:lang w:val="en-US"/>
        </w:rPr>
        <w:t>WI</w:t>
      </w:r>
      <w:r>
        <w:rPr>
          <w:rFonts w:asciiTheme="minorHAnsi" w:hAnsiTheme="minorHAnsi" w:cstheme="minorHAnsi"/>
          <w:szCs w:val="24"/>
          <w:lang w:val="en-US"/>
        </w:rPr>
        <w:t>)</w:t>
      </w:r>
      <w:r w:rsidRPr="005115F0">
        <w:rPr>
          <w:rFonts w:asciiTheme="minorHAnsi" w:hAnsiTheme="minorHAnsi" w:cstheme="minorHAnsi"/>
          <w:szCs w:val="24"/>
          <w:lang w:val="en-US"/>
        </w:rPr>
        <w:t xml:space="preserve"> related to </w:t>
      </w:r>
      <w:r w:rsidR="007130E7">
        <w:rPr>
          <w:rFonts w:asciiTheme="minorHAnsi" w:hAnsiTheme="minorHAnsi" w:cstheme="minorHAnsi"/>
          <w:szCs w:val="24"/>
          <w:lang w:val="en-US"/>
        </w:rPr>
        <w:t>AI was approved at last Study Group 5 meeting:</w:t>
      </w:r>
    </w:p>
    <w:p w14:paraId="046BF2FD" w14:textId="77777777" w:rsidR="007130E7" w:rsidRPr="007130E7" w:rsidRDefault="007130E7" w:rsidP="007130E7">
      <w:pPr>
        <w:tabs>
          <w:tab w:val="clear" w:pos="567"/>
          <w:tab w:val="clear" w:pos="1134"/>
          <w:tab w:val="clear" w:pos="1701"/>
          <w:tab w:val="clear" w:pos="2268"/>
          <w:tab w:val="clear" w:pos="2835"/>
          <w:tab w:val="left" w:pos="2420"/>
        </w:tabs>
        <w:ind w:left="720"/>
        <w:rPr>
          <w:rFonts w:asciiTheme="minorHAnsi" w:hAnsiTheme="minorHAnsi" w:cstheme="minorHAnsi"/>
          <w:szCs w:val="24"/>
          <w:lang w:val="en-US"/>
        </w:rPr>
      </w:pPr>
      <w:proofErr w:type="spellStart"/>
      <w:r w:rsidRPr="007130E7">
        <w:rPr>
          <w:rFonts w:asciiTheme="minorHAnsi" w:hAnsiTheme="minorHAnsi" w:cstheme="minorHAnsi"/>
          <w:szCs w:val="24"/>
          <w:lang w:val="en-US"/>
        </w:rPr>
        <w:t>L.SupplExamplesAI</w:t>
      </w:r>
      <w:proofErr w:type="spellEnd"/>
      <w:r w:rsidRPr="007130E7">
        <w:rPr>
          <w:rFonts w:asciiTheme="minorHAnsi" w:hAnsiTheme="minorHAnsi" w:cstheme="minorHAnsi"/>
          <w:szCs w:val="24"/>
          <w:lang w:val="en-US"/>
        </w:rPr>
        <w:t>​​</w:t>
      </w:r>
      <w:r w:rsidRPr="007130E7">
        <w:rPr>
          <w:rFonts w:asciiTheme="minorHAnsi" w:hAnsiTheme="minorHAnsi" w:cstheme="minorHAnsi"/>
          <w:szCs w:val="24"/>
          <w:lang w:val="en-US"/>
        </w:rPr>
        <w:tab/>
        <w:t>​Examples of assessments of artificial intelligence systems</w:t>
      </w:r>
    </w:p>
    <w:p w14:paraId="3C559420" w14:textId="77777777" w:rsidR="007130E7" w:rsidRPr="007130E7" w:rsidRDefault="007130E7" w:rsidP="007130E7">
      <w:pPr>
        <w:tabs>
          <w:tab w:val="clear" w:pos="567"/>
          <w:tab w:val="clear" w:pos="1134"/>
          <w:tab w:val="clear" w:pos="1701"/>
          <w:tab w:val="clear" w:pos="2268"/>
          <w:tab w:val="clear" w:pos="2835"/>
          <w:tab w:val="left" w:pos="2420"/>
        </w:tabs>
        <w:ind w:left="720"/>
        <w:rPr>
          <w:rFonts w:asciiTheme="minorHAnsi" w:hAnsiTheme="minorHAnsi" w:cstheme="minorHAnsi"/>
          <w:szCs w:val="24"/>
          <w:lang w:val="en-US"/>
        </w:rPr>
      </w:pPr>
      <w:r w:rsidRPr="007130E7">
        <w:rPr>
          <w:rFonts w:asciiTheme="minorHAnsi" w:hAnsiTheme="minorHAnsi" w:cstheme="minorHAnsi"/>
          <w:szCs w:val="24"/>
          <w:lang w:val="en-US"/>
        </w:rPr>
        <w:t>​</w:t>
      </w:r>
      <w:proofErr w:type="spellStart"/>
      <w:r w:rsidRPr="007130E7">
        <w:rPr>
          <w:rFonts w:asciiTheme="minorHAnsi" w:hAnsiTheme="minorHAnsi" w:cstheme="minorHAnsi"/>
          <w:szCs w:val="24"/>
          <w:lang w:val="en-US"/>
        </w:rPr>
        <w:t>L.AggregatedAI</w:t>
      </w:r>
      <w:proofErr w:type="spellEnd"/>
      <w:r w:rsidRPr="007130E7">
        <w:rPr>
          <w:rFonts w:asciiTheme="minorHAnsi" w:hAnsiTheme="minorHAnsi" w:cstheme="minorHAnsi"/>
          <w:szCs w:val="24"/>
          <w:lang w:val="en-US"/>
        </w:rPr>
        <w:tab/>
        <w:t>​Guidelines for Assessing the Environmental Impact of Artificial Intelligence aggregated at worldwide, country and city level</w:t>
      </w:r>
    </w:p>
    <w:p w14:paraId="3A205CA7" w14:textId="77777777" w:rsidR="007130E7" w:rsidRPr="007130E7" w:rsidRDefault="007130E7" w:rsidP="007130E7">
      <w:pPr>
        <w:tabs>
          <w:tab w:val="clear" w:pos="567"/>
          <w:tab w:val="clear" w:pos="1134"/>
          <w:tab w:val="clear" w:pos="1701"/>
          <w:tab w:val="clear" w:pos="2268"/>
          <w:tab w:val="clear" w:pos="2835"/>
          <w:tab w:val="left" w:pos="2420"/>
        </w:tabs>
        <w:ind w:left="720"/>
        <w:rPr>
          <w:rFonts w:asciiTheme="minorHAnsi" w:hAnsiTheme="minorHAnsi" w:cstheme="minorHAnsi"/>
          <w:szCs w:val="24"/>
          <w:lang w:val="en-US"/>
        </w:rPr>
      </w:pPr>
      <w:proofErr w:type="spellStart"/>
      <w:r w:rsidRPr="007130E7">
        <w:rPr>
          <w:rFonts w:asciiTheme="minorHAnsi" w:hAnsiTheme="minorHAnsi" w:cstheme="minorHAnsi"/>
          <w:szCs w:val="24"/>
          <w:lang w:val="en-US"/>
        </w:rPr>
        <w:t>L.Score_AI</w:t>
      </w:r>
      <w:proofErr w:type="spellEnd"/>
      <w:r w:rsidRPr="007130E7">
        <w:rPr>
          <w:rFonts w:asciiTheme="minorHAnsi" w:hAnsiTheme="minorHAnsi" w:cstheme="minorHAnsi"/>
          <w:szCs w:val="24"/>
          <w:lang w:val="en-US"/>
        </w:rPr>
        <w:t>​</w:t>
      </w:r>
      <w:r w:rsidRPr="007130E7">
        <w:rPr>
          <w:rFonts w:asciiTheme="minorHAnsi" w:hAnsiTheme="minorHAnsi" w:cstheme="minorHAnsi"/>
          <w:szCs w:val="24"/>
          <w:lang w:val="en-US"/>
        </w:rPr>
        <w:tab/>
        <w:t>​Guidance for scoring artificial intelligence systems from the perspective of environmental impact</w:t>
      </w:r>
    </w:p>
    <w:p w14:paraId="00C5F848" w14:textId="77777777" w:rsidR="007130E7" w:rsidRDefault="007130E7" w:rsidP="007E04A5">
      <w:pPr>
        <w:ind w:left="360"/>
        <w:jc w:val="both"/>
        <w:rPr>
          <w:rFonts w:asciiTheme="minorHAnsi" w:hAnsiTheme="minorHAnsi" w:cstheme="minorHAnsi"/>
          <w:szCs w:val="24"/>
          <w:lang w:val="en-US"/>
        </w:rPr>
      </w:pPr>
    </w:p>
    <w:p w14:paraId="5F79E276" w14:textId="052A9B1B" w:rsidR="007E04A5" w:rsidRPr="00B66D92" w:rsidRDefault="00B62127" w:rsidP="007E04A5">
      <w:pPr>
        <w:pStyle w:val="ListParagraph"/>
        <w:numPr>
          <w:ilvl w:val="0"/>
          <w:numId w:val="5"/>
        </w:numPr>
        <w:rPr>
          <w:b/>
          <w:bCs/>
        </w:rPr>
      </w:pPr>
      <w:r>
        <w:rPr>
          <w:b/>
          <w:bCs/>
        </w:rPr>
        <w:t xml:space="preserve">COP 30   activities </w:t>
      </w:r>
    </w:p>
    <w:p w14:paraId="582160DA" w14:textId="625F8E4F" w:rsidR="005241E0" w:rsidRDefault="00B62127" w:rsidP="005241E0">
      <w:r>
        <w:t>A number of events was organized during COP 30</w:t>
      </w:r>
    </w:p>
    <w:p w14:paraId="5C433DB2" w14:textId="2B9A2E2B" w:rsidR="00B62127" w:rsidRDefault="00B62127" w:rsidP="005241E0">
      <w:r>
        <w:t>From GDA</w:t>
      </w:r>
    </w:p>
    <w:p w14:paraId="420A1B7B" w14:textId="77777777" w:rsidR="0090622B" w:rsidRPr="0090622B" w:rsidRDefault="0090622B" w:rsidP="0090622B">
      <w:pPr>
        <w:numPr>
          <w:ilvl w:val="0"/>
          <w:numId w:val="6"/>
        </w:numPr>
        <w:rPr>
          <w:lang w:val="en-US"/>
        </w:rPr>
      </w:pPr>
      <w:r w:rsidRPr="0090622B">
        <w:rPr>
          <w:lang w:val="en-US"/>
        </w:rPr>
        <w:t>High-Level Roundtable – </w:t>
      </w:r>
      <w:r w:rsidRPr="0090622B">
        <w:rPr>
          <w:i/>
          <w:iCs/>
          <w:lang w:val="en-US"/>
        </w:rPr>
        <w:t xml:space="preserve">Leadership and Action Towards a Green Digital </w:t>
      </w:r>
    </w:p>
    <w:p w14:paraId="2A021659" w14:textId="77777777" w:rsidR="0090622B" w:rsidRDefault="0090622B" w:rsidP="00F94DC7">
      <w:pPr>
        <w:numPr>
          <w:ilvl w:val="0"/>
          <w:numId w:val="7"/>
        </w:numPr>
        <w:rPr>
          <w:lang w:val="en-US"/>
        </w:rPr>
      </w:pPr>
      <w:r w:rsidRPr="0090622B">
        <w:rPr>
          <w:i/>
          <w:iCs/>
          <w:lang w:val="en-US"/>
        </w:rPr>
        <w:t>Measuring What Matters – Balancing AI Innovation, Impact, and Sustainability</w:t>
      </w:r>
      <w:r w:rsidRPr="0090622B">
        <w:rPr>
          <w:lang w:val="en-US"/>
        </w:rPr>
        <w:t> </w:t>
      </w:r>
    </w:p>
    <w:p w14:paraId="0354E7F6" w14:textId="77777777" w:rsidR="0090622B" w:rsidRDefault="0090622B" w:rsidP="009F5AD1">
      <w:pPr>
        <w:numPr>
          <w:ilvl w:val="0"/>
          <w:numId w:val="7"/>
        </w:numPr>
        <w:rPr>
          <w:lang w:val="en-US"/>
        </w:rPr>
      </w:pPr>
      <w:r w:rsidRPr="0090622B">
        <w:rPr>
          <w:i/>
          <w:iCs/>
          <w:lang w:val="en-US"/>
        </w:rPr>
        <w:t>Advancing Green Digital Action Towards a Net-Zero ICT Sector</w:t>
      </w:r>
      <w:r w:rsidRPr="0090622B">
        <w:rPr>
          <w:lang w:val="en-US"/>
        </w:rPr>
        <w:t> </w:t>
      </w:r>
    </w:p>
    <w:p w14:paraId="778C75A8" w14:textId="295333B5" w:rsidR="0090622B" w:rsidRPr="0090622B" w:rsidRDefault="0090622B" w:rsidP="0090622B">
      <w:pPr>
        <w:numPr>
          <w:ilvl w:val="0"/>
          <w:numId w:val="8"/>
        </w:numPr>
        <w:rPr>
          <w:lang w:val="en-US"/>
        </w:rPr>
      </w:pPr>
      <w:r w:rsidRPr="0090622B">
        <w:rPr>
          <w:i/>
          <w:iCs/>
          <w:lang w:val="en-US"/>
        </w:rPr>
        <w:t>Digital Pathways to a Greener Future: Empowering Climate Solutions Through Technology</w:t>
      </w:r>
      <w:r w:rsidRPr="0090622B">
        <w:rPr>
          <w:lang w:val="en-US"/>
        </w:rPr>
        <w:t> </w:t>
      </w:r>
    </w:p>
    <w:p w14:paraId="0BE54301" w14:textId="77777777" w:rsidR="002F123F" w:rsidRDefault="0090622B" w:rsidP="0090622B">
      <w:pPr>
        <w:numPr>
          <w:ilvl w:val="0"/>
          <w:numId w:val="8"/>
        </w:numPr>
        <w:rPr>
          <w:lang w:val="en-US"/>
        </w:rPr>
      </w:pPr>
      <w:r w:rsidRPr="0090622B">
        <w:rPr>
          <w:i/>
          <w:iCs/>
          <w:lang w:val="en-US"/>
        </w:rPr>
        <w:t>AI Innovation Factory</w:t>
      </w:r>
      <w:r w:rsidRPr="0090622B">
        <w:rPr>
          <w:lang w:val="en-US"/>
        </w:rPr>
        <w:t> </w:t>
      </w:r>
    </w:p>
    <w:p w14:paraId="751A719F" w14:textId="77777777" w:rsidR="002F123F" w:rsidRDefault="002F123F" w:rsidP="002F123F">
      <w:pPr>
        <w:rPr>
          <w:lang w:val="en-US"/>
        </w:rPr>
      </w:pPr>
    </w:p>
    <w:p w14:paraId="628A96B4" w14:textId="336642B9" w:rsidR="0090622B" w:rsidRPr="0090622B" w:rsidRDefault="002F123F" w:rsidP="002F123F">
      <w:pPr>
        <w:rPr>
          <w:lang w:val="en-US"/>
        </w:rPr>
      </w:pPr>
      <w:r>
        <w:rPr>
          <w:lang w:val="en-US"/>
        </w:rPr>
        <w:t>Organized by ITU</w:t>
      </w:r>
    </w:p>
    <w:p w14:paraId="7CD49F72" w14:textId="6DCDEA07" w:rsidR="005241E0" w:rsidRPr="001471C9" w:rsidRDefault="002F123F" w:rsidP="001471C9">
      <w:pPr>
        <w:numPr>
          <w:ilvl w:val="0"/>
          <w:numId w:val="8"/>
        </w:numPr>
        <w:rPr>
          <w:i/>
          <w:iCs/>
          <w:lang w:val="en-US"/>
        </w:rPr>
      </w:pPr>
      <w:r w:rsidRPr="001471C9">
        <w:rPr>
          <w:i/>
          <w:iCs/>
          <w:lang w:val="en-US"/>
        </w:rPr>
        <w:t>Fireside Chat – Creating a Circular Economy in the ICT Sector</w:t>
      </w:r>
    </w:p>
    <w:p w14:paraId="751F3977" w14:textId="4746E376" w:rsidR="002F123F" w:rsidRPr="001471C9" w:rsidRDefault="002F123F" w:rsidP="001471C9">
      <w:pPr>
        <w:numPr>
          <w:ilvl w:val="0"/>
          <w:numId w:val="8"/>
        </w:numPr>
        <w:rPr>
          <w:i/>
          <w:iCs/>
          <w:lang w:val="en-US"/>
        </w:rPr>
      </w:pPr>
      <w:r w:rsidRPr="001471C9">
        <w:rPr>
          <w:i/>
          <w:iCs/>
          <w:lang w:val="en-US"/>
        </w:rPr>
        <w:t>Fireside Chat – Energy Efficiency and Cooling Solutions for Sustainable Data Centres</w:t>
      </w:r>
    </w:p>
    <w:p w14:paraId="6F399DAE" w14:textId="436B0560" w:rsidR="001471C9" w:rsidRPr="001471C9" w:rsidRDefault="001471C9" w:rsidP="00047316">
      <w:pPr>
        <w:numPr>
          <w:ilvl w:val="0"/>
          <w:numId w:val="8"/>
        </w:numPr>
        <w:rPr>
          <w:i/>
          <w:iCs/>
          <w:lang w:val="en-US"/>
        </w:rPr>
      </w:pPr>
      <w:r w:rsidRPr="001F4CAD">
        <w:rPr>
          <w:i/>
          <w:iCs/>
          <w:lang w:val="en-US"/>
        </w:rPr>
        <w:t>Digital Enablers for Climate Action – How ICT is Powering Climate Solutions Across Sectors</w:t>
      </w:r>
    </w:p>
    <w:sectPr w:rsidR="001471C9" w:rsidRPr="001471C9"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CA63" w14:textId="77777777" w:rsidR="00934E03" w:rsidRDefault="00934E03">
      <w:r>
        <w:separator/>
      </w:r>
    </w:p>
  </w:endnote>
  <w:endnote w:type="continuationSeparator" w:id="0">
    <w:p w14:paraId="430C37D2" w14:textId="77777777" w:rsidR="00934E03" w:rsidRDefault="0093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6BD8C269"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323C48" w:rsidRPr="00323C48">
            <w:rPr>
              <w:bCs/>
              <w:lang w:val="es-ES"/>
            </w:rPr>
            <w:t>ISCG/26-1/</w:t>
          </w:r>
          <w:r w:rsidR="00323C48">
            <w:rPr>
              <w:bCs/>
              <w:lang w:val="es-ES"/>
            </w:rPr>
            <w:t>3</w:t>
          </w:r>
          <w:r w:rsidR="00323C48"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64DA" w14:textId="77777777" w:rsidR="00934E03" w:rsidRDefault="00934E03">
      <w:r>
        <w:t>____________________</w:t>
      </w:r>
    </w:p>
  </w:footnote>
  <w:footnote w:type="continuationSeparator" w:id="0">
    <w:p w14:paraId="1BC8BD73" w14:textId="77777777" w:rsidR="00934E03" w:rsidRDefault="0093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94C5C" w:rsidRPr="00784011" w14:paraId="767BE1BB" w14:textId="77777777" w:rsidTr="00EB6249">
      <w:trPr>
        <w:trHeight w:val="1304"/>
        <w:jc w:val="center"/>
      </w:trPr>
      <w:tc>
        <w:tcPr>
          <w:tcW w:w="6546" w:type="dxa"/>
        </w:tcPr>
        <w:p w14:paraId="66663794" w14:textId="4CCE55D4" w:rsidR="00E94C5C" w:rsidRPr="009621F8" w:rsidRDefault="00E94C5C" w:rsidP="00E94C5C">
          <w:pPr>
            <w:pStyle w:val="Header"/>
            <w:jc w:val="left"/>
            <w:rPr>
              <w:rFonts w:ascii="Arial" w:hAnsi="Arial" w:cs="Arial"/>
              <w:b/>
              <w:bCs/>
              <w:color w:val="009CD6"/>
              <w:sz w:val="36"/>
              <w:szCs w:val="36"/>
            </w:rPr>
          </w:pPr>
          <w:bookmarkStart w:id="10"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098FB881" wp14:editId="25B2FC17">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70DD"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1946562E" wp14:editId="3A64E2ED">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A6F08F8" w14:textId="77777777" w:rsidR="00E94C5C" w:rsidRDefault="00E94C5C" w:rsidP="00E94C5C">
          <w:pPr>
            <w:pStyle w:val="Header"/>
            <w:jc w:val="right"/>
            <w:rPr>
              <w:rFonts w:ascii="Arial" w:hAnsi="Arial" w:cs="Arial"/>
              <w:b/>
              <w:bCs/>
              <w:color w:val="009CD6"/>
              <w:szCs w:val="18"/>
            </w:rPr>
          </w:pPr>
        </w:p>
        <w:p w14:paraId="10B81AFE" w14:textId="77777777" w:rsidR="00E94C5C" w:rsidRDefault="00E94C5C" w:rsidP="00E94C5C">
          <w:pPr>
            <w:pStyle w:val="Header"/>
            <w:jc w:val="right"/>
            <w:rPr>
              <w:rFonts w:ascii="Arial" w:hAnsi="Arial" w:cs="Arial"/>
              <w:b/>
              <w:bCs/>
              <w:color w:val="009CD6"/>
              <w:szCs w:val="18"/>
            </w:rPr>
          </w:pPr>
        </w:p>
        <w:p w14:paraId="01F0305C" w14:textId="77777777" w:rsidR="00E94C5C" w:rsidRPr="00784011" w:rsidRDefault="00E94C5C" w:rsidP="00E94C5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35A38C0B" w14:textId="22BF7332" w:rsidR="00AD3606" w:rsidRDefault="00E94C5C">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637DFF7C" wp14:editId="587C9A87">
              <wp:simplePos x="0" y="0"/>
              <wp:positionH relativeFrom="column">
                <wp:posOffset>399415</wp:posOffset>
              </wp:positionH>
              <wp:positionV relativeFrom="paragraph">
                <wp:posOffset>-848995</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0F5D04EE" w14:textId="77777777"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7DFF7C" id="_x0000_t202" coordsize="21600,21600" o:spt="202" path="m,l,21600r21600,l21600,xe">
              <v:stroke joinstyle="miter"/>
              <v:path gradientshapeok="t" o:connecttype="rect"/>
            </v:shapetype>
            <v:shape id="Text Box 2" o:spid="_x0000_s1026" type="#_x0000_t202" style="position:absolute;left:0;text-align:left;margin-left:31.45pt;margin-top:-66.85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" fillcolor="window" stroked="f">
              <v:textbox style="mso-fit-shape-to-text:t" inset="1mm">
                <w:txbxContent>
                  <w:p w14:paraId="0F5D04EE" w14:textId="77777777"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133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4"/>
  </w:num>
  <w:num w:numId="3" w16cid:durableId="77482380">
    <w:abstractNumId w:val="2"/>
  </w:num>
  <w:num w:numId="4" w16cid:durableId="1704407101">
    <w:abstractNumId w:val="1"/>
  </w:num>
  <w:num w:numId="5" w16cid:durableId="16857123">
    <w:abstractNumId w:val="3"/>
  </w:num>
  <w:num w:numId="6" w16cid:durableId="1631931758">
    <w:abstractNumId w:val="7"/>
  </w:num>
  <w:num w:numId="7" w16cid:durableId="1861358016">
    <w:abstractNumId w:val="5"/>
  </w:num>
  <w:num w:numId="8" w16cid:durableId="238372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25A1"/>
    <w:rsid w:val="00063016"/>
    <w:rsid w:val="00066795"/>
    <w:rsid w:val="00076AF6"/>
    <w:rsid w:val="00085CF2"/>
    <w:rsid w:val="000A1525"/>
    <w:rsid w:val="000B1705"/>
    <w:rsid w:val="000D75B2"/>
    <w:rsid w:val="000F6AB8"/>
    <w:rsid w:val="001121F5"/>
    <w:rsid w:val="00130599"/>
    <w:rsid w:val="00131E18"/>
    <w:rsid w:val="001400DC"/>
    <w:rsid w:val="00140CE1"/>
    <w:rsid w:val="001471C9"/>
    <w:rsid w:val="00147C54"/>
    <w:rsid w:val="001545E8"/>
    <w:rsid w:val="0016259B"/>
    <w:rsid w:val="0017539C"/>
    <w:rsid w:val="00175AC2"/>
    <w:rsid w:val="0017609F"/>
    <w:rsid w:val="001A7D1D"/>
    <w:rsid w:val="001B0595"/>
    <w:rsid w:val="001B51DD"/>
    <w:rsid w:val="001C628E"/>
    <w:rsid w:val="001D62DF"/>
    <w:rsid w:val="001E0F7B"/>
    <w:rsid w:val="001E0FBE"/>
    <w:rsid w:val="001E5FE7"/>
    <w:rsid w:val="001F4CAD"/>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123F"/>
    <w:rsid w:val="002F2D06"/>
    <w:rsid w:val="0030160F"/>
    <w:rsid w:val="00301AEE"/>
    <w:rsid w:val="003145DF"/>
    <w:rsid w:val="00320223"/>
    <w:rsid w:val="00322D0D"/>
    <w:rsid w:val="00323C48"/>
    <w:rsid w:val="00356734"/>
    <w:rsid w:val="00361465"/>
    <w:rsid w:val="00365D86"/>
    <w:rsid w:val="003877F5"/>
    <w:rsid w:val="003942D4"/>
    <w:rsid w:val="0039514F"/>
    <w:rsid w:val="003958A8"/>
    <w:rsid w:val="003B29C2"/>
    <w:rsid w:val="003C20CA"/>
    <w:rsid w:val="003C2533"/>
    <w:rsid w:val="003D2E43"/>
    <w:rsid w:val="003D5A7F"/>
    <w:rsid w:val="003D635C"/>
    <w:rsid w:val="003D71D8"/>
    <w:rsid w:val="003F18F6"/>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22C25"/>
    <w:rsid w:val="007247CF"/>
    <w:rsid w:val="00726B8C"/>
    <w:rsid w:val="00727C44"/>
    <w:rsid w:val="007307F0"/>
    <w:rsid w:val="0075051B"/>
    <w:rsid w:val="00757A85"/>
    <w:rsid w:val="0077110E"/>
    <w:rsid w:val="00775655"/>
    <w:rsid w:val="007849D5"/>
    <w:rsid w:val="00793188"/>
    <w:rsid w:val="00794D34"/>
    <w:rsid w:val="007E04A5"/>
    <w:rsid w:val="00806E3C"/>
    <w:rsid w:val="00813E5E"/>
    <w:rsid w:val="00816C2C"/>
    <w:rsid w:val="0083581B"/>
    <w:rsid w:val="00855E52"/>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622B"/>
    <w:rsid w:val="009173EF"/>
    <w:rsid w:val="00932906"/>
    <w:rsid w:val="00934E03"/>
    <w:rsid w:val="00961860"/>
    <w:rsid w:val="00961B0B"/>
    <w:rsid w:val="00962D33"/>
    <w:rsid w:val="009B38C3"/>
    <w:rsid w:val="009B44BD"/>
    <w:rsid w:val="009E17BD"/>
    <w:rsid w:val="009E485A"/>
    <w:rsid w:val="00A04CEC"/>
    <w:rsid w:val="00A27F92"/>
    <w:rsid w:val="00A32257"/>
    <w:rsid w:val="00A36D20"/>
    <w:rsid w:val="00A43C03"/>
    <w:rsid w:val="00A46CD0"/>
    <w:rsid w:val="00A514A4"/>
    <w:rsid w:val="00A52C84"/>
    <w:rsid w:val="00A55622"/>
    <w:rsid w:val="00A67929"/>
    <w:rsid w:val="00A83502"/>
    <w:rsid w:val="00AA5F94"/>
    <w:rsid w:val="00AC6BFA"/>
    <w:rsid w:val="00AD15B3"/>
    <w:rsid w:val="00AD34DB"/>
    <w:rsid w:val="00AD3606"/>
    <w:rsid w:val="00AD4A3D"/>
    <w:rsid w:val="00AF6E49"/>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1FDA"/>
    <w:rsid w:val="00C01189"/>
    <w:rsid w:val="00C07ECC"/>
    <w:rsid w:val="00C27DB8"/>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94C5C"/>
    <w:rsid w:val="00EA1733"/>
    <w:rsid w:val="00EB0D6F"/>
    <w:rsid w:val="00EB2232"/>
    <w:rsid w:val="00EC5337"/>
    <w:rsid w:val="00EC7C07"/>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uiPriority w:val="34"/>
    <w:qFormat/>
    <w:rsid w:val="007E0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tsi.org/webapp/WorkProgram/Report_WorkItem.asp?WKI_ID=737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webapp/WorkProgram/Report_WorkItem.asp?WKI_ID=687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manuel.canet@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ISCG-TEMPLATE</Template>
  <TotalTime>9</TotalTime>
  <Pages>2</Pages>
  <Words>548</Words>
  <Characters>3174</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9</cp:revision>
  <dcterms:created xsi:type="dcterms:W3CDTF">2026-01-15T14:04:00Z</dcterms:created>
  <dcterms:modified xsi:type="dcterms:W3CDTF">2026-01-16T14:42:00Z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