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745D44" w14:paraId="0043AC80" w14:textId="77777777" w:rsidTr="00AD3606">
        <w:trPr>
          <w:cantSplit/>
          <w:trHeight w:val="23"/>
        </w:trPr>
        <w:tc>
          <w:tcPr>
            <w:tcW w:w="3969" w:type="dxa"/>
            <w:vMerge w:val="restart"/>
            <w:tcMar>
              <w:left w:w="0" w:type="dxa"/>
            </w:tcMar>
          </w:tcPr>
          <w:p w14:paraId="60A806D3" w14:textId="6316C87D" w:rsidR="00AD3606" w:rsidRPr="00E85629" w:rsidRDefault="00AD3606" w:rsidP="00472BAD">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291AB2A2" w14:textId="2A6B16BF" w:rsidR="00AD3606" w:rsidRPr="00A52C84" w:rsidRDefault="00AD3606" w:rsidP="00472BAD">
            <w:pPr>
              <w:tabs>
                <w:tab w:val="left" w:pos="851"/>
              </w:tabs>
              <w:spacing w:before="0" w:line="240" w:lineRule="atLeast"/>
              <w:jc w:val="right"/>
              <w:rPr>
                <w:b/>
                <w:lang w:val="fr-CH"/>
              </w:rPr>
            </w:pPr>
            <w:r w:rsidRPr="00A52C84">
              <w:rPr>
                <w:b/>
                <w:lang w:val="fr-CH"/>
              </w:rPr>
              <w:t xml:space="preserve">Document </w:t>
            </w:r>
            <w:r w:rsidR="00A028B5">
              <w:rPr>
                <w:b/>
                <w:lang w:val="fr-CH"/>
              </w:rPr>
              <w:t>EG-ITRs</w:t>
            </w:r>
            <w:r w:rsidR="00A52C84" w:rsidRPr="00A52C84">
              <w:rPr>
                <w:b/>
                <w:lang w:val="fr-CH"/>
              </w:rPr>
              <w:t>-</w:t>
            </w:r>
            <w:r w:rsidR="00093108">
              <w:rPr>
                <w:b/>
                <w:lang w:val="fr-CH"/>
              </w:rPr>
              <w:t>6</w:t>
            </w:r>
            <w:r w:rsidRPr="00A52C84">
              <w:rPr>
                <w:b/>
                <w:lang w:val="fr-CH"/>
              </w:rPr>
              <w:t>/</w:t>
            </w:r>
            <w:r w:rsidR="00FF6458">
              <w:rPr>
                <w:b/>
                <w:lang w:val="fr-CH"/>
              </w:rPr>
              <w:t>9</w:t>
            </w:r>
          </w:p>
        </w:tc>
      </w:tr>
      <w:tr w:rsidR="00AD3606" w:rsidRPr="00813E5E" w14:paraId="789B45BA" w14:textId="77777777" w:rsidTr="00AD3606">
        <w:trPr>
          <w:cantSplit/>
        </w:trPr>
        <w:tc>
          <w:tcPr>
            <w:tcW w:w="3969" w:type="dxa"/>
            <w:vMerge/>
          </w:tcPr>
          <w:p w14:paraId="3F3D4E17" w14:textId="77777777" w:rsidR="00AD3606" w:rsidRPr="00A52C84" w:rsidRDefault="00AD3606" w:rsidP="00AD3606">
            <w:pPr>
              <w:tabs>
                <w:tab w:val="left" w:pos="851"/>
              </w:tabs>
              <w:spacing w:line="240" w:lineRule="atLeast"/>
              <w:rPr>
                <w:b/>
                <w:lang w:val="fr-CH"/>
              </w:rPr>
            </w:pPr>
            <w:bookmarkStart w:id="6" w:name="ddate" w:colFirst="1" w:colLast="1"/>
            <w:bookmarkEnd w:id="0"/>
            <w:bookmarkEnd w:id="1"/>
          </w:p>
        </w:tc>
        <w:tc>
          <w:tcPr>
            <w:tcW w:w="5245" w:type="dxa"/>
          </w:tcPr>
          <w:p w14:paraId="2DE9ACEA" w14:textId="22D38774" w:rsidR="00AD3606" w:rsidRPr="00E85629" w:rsidRDefault="00FF6458" w:rsidP="00AD3606">
            <w:pPr>
              <w:tabs>
                <w:tab w:val="left" w:pos="851"/>
              </w:tabs>
              <w:spacing w:before="0"/>
              <w:jc w:val="right"/>
              <w:rPr>
                <w:b/>
              </w:rPr>
            </w:pPr>
            <w:r>
              <w:rPr>
                <w:b/>
              </w:rPr>
              <w:t>21 January 2026</w:t>
            </w:r>
          </w:p>
        </w:tc>
      </w:tr>
      <w:tr w:rsidR="00AD3606" w:rsidRPr="00813E5E" w14:paraId="58A84C4A" w14:textId="77777777" w:rsidTr="00AD3606">
        <w:trPr>
          <w:cantSplit/>
          <w:trHeight w:val="23"/>
        </w:trPr>
        <w:tc>
          <w:tcPr>
            <w:tcW w:w="3969" w:type="dxa"/>
            <w:vMerge/>
          </w:tcPr>
          <w:p w14:paraId="77CEDDAA" w14:textId="77777777" w:rsidR="00AD3606" w:rsidRPr="00813E5E" w:rsidRDefault="00AD3606" w:rsidP="00AD3606">
            <w:pPr>
              <w:tabs>
                <w:tab w:val="left" w:pos="851"/>
              </w:tabs>
              <w:spacing w:line="240" w:lineRule="atLeast"/>
              <w:rPr>
                <w:b/>
              </w:rPr>
            </w:pPr>
            <w:bookmarkStart w:id="7" w:name="dorlang" w:colFirst="1" w:colLast="1"/>
            <w:bookmarkEnd w:id="6"/>
          </w:p>
        </w:tc>
        <w:tc>
          <w:tcPr>
            <w:tcW w:w="5245" w:type="dxa"/>
          </w:tcPr>
          <w:p w14:paraId="561AAE94" w14:textId="567F29F0" w:rsidR="00AD3606" w:rsidRPr="00E85629" w:rsidRDefault="00E01B6A" w:rsidP="00AD3606">
            <w:pPr>
              <w:tabs>
                <w:tab w:val="left" w:pos="851"/>
              </w:tabs>
              <w:spacing w:before="0" w:line="240" w:lineRule="atLeast"/>
              <w:jc w:val="right"/>
              <w:rPr>
                <w:b/>
              </w:rPr>
            </w:pPr>
            <w:r>
              <w:rPr>
                <w:b/>
              </w:rPr>
              <w:t>English only</w:t>
            </w:r>
          </w:p>
        </w:tc>
      </w:tr>
      <w:tr w:rsidR="00472BAD" w:rsidRPr="00813E5E" w14:paraId="12C5EF5F" w14:textId="77777777" w:rsidTr="00AD3606">
        <w:trPr>
          <w:cantSplit/>
          <w:trHeight w:val="23"/>
        </w:trPr>
        <w:tc>
          <w:tcPr>
            <w:tcW w:w="3969" w:type="dxa"/>
          </w:tcPr>
          <w:p w14:paraId="4B839BA2" w14:textId="77777777" w:rsidR="00472BAD" w:rsidRPr="00813E5E" w:rsidRDefault="00472BAD" w:rsidP="00AD3606">
            <w:pPr>
              <w:tabs>
                <w:tab w:val="left" w:pos="851"/>
              </w:tabs>
              <w:spacing w:line="240" w:lineRule="atLeast"/>
              <w:rPr>
                <w:b/>
              </w:rPr>
            </w:pPr>
          </w:p>
        </w:tc>
        <w:tc>
          <w:tcPr>
            <w:tcW w:w="5245" w:type="dxa"/>
          </w:tcPr>
          <w:p w14:paraId="12F66D25" w14:textId="77777777" w:rsidR="00472BAD" w:rsidRDefault="00472BAD" w:rsidP="00AD3606">
            <w:pPr>
              <w:tabs>
                <w:tab w:val="left" w:pos="851"/>
              </w:tabs>
              <w:spacing w:before="0" w:line="240" w:lineRule="atLeast"/>
              <w:jc w:val="right"/>
              <w:rPr>
                <w:b/>
              </w:rPr>
            </w:pPr>
          </w:p>
        </w:tc>
      </w:tr>
      <w:tr w:rsidR="00AD3606" w:rsidRPr="00813E5E" w14:paraId="27000B2A" w14:textId="77777777" w:rsidTr="00AD3606">
        <w:trPr>
          <w:cantSplit/>
        </w:trPr>
        <w:tc>
          <w:tcPr>
            <w:tcW w:w="9214" w:type="dxa"/>
            <w:gridSpan w:val="2"/>
            <w:tcMar>
              <w:left w:w="0" w:type="dxa"/>
            </w:tcMar>
          </w:tcPr>
          <w:p w14:paraId="4E7CDB90" w14:textId="0F85CBD6" w:rsidR="00AD3606" w:rsidRPr="009D024E" w:rsidRDefault="00FF6458" w:rsidP="009D024E">
            <w:pPr>
              <w:pStyle w:val="Source"/>
              <w:framePr w:hSpace="0" w:wrap="auto" w:vAnchor="margin" w:hAnchor="text" w:xAlign="left" w:yAlign="inline"/>
            </w:pPr>
            <w:bookmarkStart w:id="8" w:name="dsource" w:colFirst="0" w:colLast="0"/>
            <w:bookmarkEnd w:id="7"/>
            <w:r>
              <w:t>Chair, EG-ITRs</w:t>
            </w:r>
          </w:p>
        </w:tc>
      </w:tr>
      <w:tr w:rsidR="00AD3606" w:rsidRPr="00813E5E" w14:paraId="2340750D" w14:textId="77777777" w:rsidTr="00AD3606">
        <w:trPr>
          <w:cantSplit/>
        </w:trPr>
        <w:tc>
          <w:tcPr>
            <w:tcW w:w="9214" w:type="dxa"/>
            <w:gridSpan w:val="2"/>
            <w:tcMar>
              <w:left w:w="0" w:type="dxa"/>
            </w:tcMar>
          </w:tcPr>
          <w:p w14:paraId="47B91AA8" w14:textId="786169DC" w:rsidR="00AD3606" w:rsidRPr="009D024E" w:rsidRDefault="00FF6458" w:rsidP="00FF6458">
            <w:pPr>
              <w:pStyle w:val="Subtitle"/>
              <w:framePr w:hSpace="0" w:wrap="auto" w:xAlign="left" w:yAlign="inline"/>
            </w:pPr>
            <w:bookmarkStart w:id="9" w:name="dtitle1" w:colFirst="0" w:colLast="0"/>
            <w:bookmarkStart w:id="10" w:name="_Hlk219908428"/>
            <w:bookmarkEnd w:id="8"/>
            <w:r w:rsidRPr="00FF6458">
              <w:t>REPORT OF THE SIXTH MEETING OF THE EXPERT GROUP ON THE INTERNATIONAL TELECOMMUNICATION REGULATIONS, 2023-2026 (EG-ITRs)</w:t>
            </w:r>
            <w:bookmarkEnd w:id="10"/>
          </w:p>
        </w:tc>
      </w:tr>
    </w:tbl>
    <w:p w14:paraId="4CDB8B60" w14:textId="77777777" w:rsidR="00E227F3" w:rsidRDefault="00E227F3">
      <w:pPr>
        <w:tabs>
          <w:tab w:val="clear" w:pos="567"/>
          <w:tab w:val="clear" w:pos="1134"/>
          <w:tab w:val="clear" w:pos="1701"/>
          <w:tab w:val="clear" w:pos="2268"/>
          <w:tab w:val="clear" w:pos="2835"/>
        </w:tabs>
        <w:overflowPunct/>
        <w:autoSpaceDE/>
        <w:autoSpaceDN/>
        <w:adjustRightInd/>
        <w:spacing w:before="0"/>
        <w:textAlignment w:val="auto"/>
      </w:pPr>
      <w:bookmarkStart w:id="11" w:name="_Hlk133421428"/>
      <w:bookmarkEnd w:id="2"/>
      <w:bookmarkEnd w:id="9"/>
    </w:p>
    <w:p w14:paraId="04E5F085" w14:textId="77777777" w:rsidR="00FF6458" w:rsidRPr="00093108" w:rsidRDefault="00FF6458">
      <w:pPr>
        <w:tabs>
          <w:tab w:val="clear" w:pos="567"/>
          <w:tab w:val="clear" w:pos="1134"/>
          <w:tab w:val="clear" w:pos="1701"/>
          <w:tab w:val="clear" w:pos="2268"/>
          <w:tab w:val="clear" w:pos="2835"/>
        </w:tabs>
        <w:overflowPunct/>
        <w:autoSpaceDE/>
        <w:autoSpaceDN/>
        <w:adjustRightInd/>
        <w:spacing w:before="0"/>
        <w:textAlignment w:val="auto"/>
      </w:pPr>
    </w:p>
    <w:bookmarkEnd w:id="3"/>
    <w:bookmarkEnd w:id="4"/>
    <w:bookmarkEnd w:id="5"/>
    <w:bookmarkEnd w:id="11"/>
    <w:p w14:paraId="7A38444D" w14:textId="77777777" w:rsidR="00FF6458" w:rsidRPr="00F41777" w:rsidRDefault="00FF6458" w:rsidP="00FF6458">
      <w:pPr>
        <w:pStyle w:val="Heading1"/>
        <w:keepNext w:val="0"/>
        <w:keepLines w:val="0"/>
        <w:tabs>
          <w:tab w:val="clear" w:pos="567"/>
          <w:tab w:val="clear" w:pos="1134"/>
          <w:tab w:val="clear" w:pos="1701"/>
          <w:tab w:val="clear" w:pos="2268"/>
          <w:tab w:val="clear" w:pos="2835"/>
        </w:tabs>
        <w:spacing w:before="600"/>
      </w:pPr>
      <w:r w:rsidRPr="00962BD6">
        <w:t>1</w:t>
      </w:r>
      <w:r w:rsidRPr="00962BD6">
        <w:tab/>
      </w:r>
      <w:r w:rsidRPr="00F41777">
        <w:t>Introduction</w:t>
      </w:r>
    </w:p>
    <w:p w14:paraId="5BA147C4" w14:textId="77777777" w:rsidR="00FF6458" w:rsidRPr="00962BD6" w:rsidRDefault="00FF6458" w:rsidP="00FF6458">
      <w:pPr>
        <w:tabs>
          <w:tab w:val="clear" w:pos="567"/>
          <w:tab w:val="clear" w:pos="1134"/>
          <w:tab w:val="clear" w:pos="1701"/>
          <w:tab w:val="clear" w:pos="2268"/>
          <w:tab w:val="clear" w:pos="2835"/>
        </w:tabs>
        <w:jc w:val="both"/>
        <w:rPr>
          <w:rFonts w:cs="Calibri"/>
          <w:szCs w:val="24"/>
        </w:rPr>
      </w:pPr>
      <w:r w:rsidRPr="00962BD6">
        <w:rPr>
          <w:rFonts w:cs="Calibri"/>
          <w:b/>
          <w:bCs/>
          <w:szCs w:val="24"/>
        </w:rPr>
        <w:t>1.1</w:t>
      </w:r>
      <w:r w:rsidRPr="00962BD6">
        <w:rPr>
          <w:rFonts w:cs="Calibri"/>
          <w:b/>
          <w:bCs/>
          <w:szCs w:val="24"/>
        </w:rPr>
        <w:tab/>
      </w:r>
      <w:r w:rsidRPr="00962BD6">
        <w:rPr>
          <w:rFonts w:cs="Calibri"/>
          <w:szCs w:val="24"/>
        </w:rPr>
        <w:t xml:space="preserve">The </w:t>
      </w:r>
      <w:r>
        <w:rPr>
          <w:rFonts w:cs="Calibri"/>
          <w:szCs w:val="24"/>
        </w:rPr>
        <w:t>sixth and final</w:t>
      </w:r>
      <w:r w:rsidRPr="00962BD6">
        <w:rPr>
          <w:rFonts w:cs="Calibri"/>
          <w:szCs w:val="24"/>
        </w:rPr>
        <w:t xml:space="preserve"> </w:t>
      </w:r>
      <w:proofErr w:type="gramStart"/>
      <w:r w:rsidRPr="00962BD6">
        <w:rPr>
          <w:rFonts w:cs="Calibri"/>
          <w:szCs w:val="24"/>
        </w:rPr>
        <w:t>meeting</w:t>
      </w:r>
      <w:proofErr w:type="gramEnd"/>
      <w:r w:rsidRPr="00962BD6">
        <w:rPr>
          <w:rFonts w:cs="Calibri"/>
          <w:szCs w:val="24"/>
        </w:rPr>
        <w:t xml:space="preserve"> of the</w:t>
      </w:r>
      <w:r w:rsidRPr="00962BD6">
        <w:rPr>
          <w:rFonts w:cs="Calibri"/>
          <w:b/>
          <w:bCs/>
          <w:szCs w:val="24"/>
        </w:rPr>
        <w:t xml:space="preserve"> </w:t>
      </w:r>
      <w:r w:rsidRPr="00962BD6">
        <w:rPr>
          <w:rFonts w:cs="Calibri"/>
          <w:szCs w:val="24"/>
        </w:rPr>
        <w:t xml:space="preserve">EG-ITRs (2023-2026) was held on </w:t>
      </w:r>
      <w:r>
        <w:rPr>
          <w:rFonts w:cs="Calibri"/>
          <w:szCs w:val="24"/>
        </w:rPr>
        <w:t xml:space="preserve">19 January </w:t>
      </w:r>
      <w:r w:rsidRPr="00962BD6">
        <w:rPr>
          <w:rFonts w:cs="Calibri"/>
          <w:szCs w:val="24"/>
        </w:rPr>
        <w:t>202</w:t>
      </w:r>
      <w:r>
        <w:rPr>
          <w:rFonts w:cs="Calibri"/>
          <w:szCs w:val="24"/>
        </w:rPr>
        <w:t>6</w:t>
      </w:r>
      <w:r w:rsidRPr="00962BD6">
        <w:rPr>
          <w:rFonts w:cs="Calibri"/>
          <w:szCs w:val="24"/>
        </w:rPr>
        <w:t xml:space="preserve">. </w:t>
      </w:r>
    </w:p>
    <w:p w14:paraId="554B058A" w14:textId="77777777" w:rsidR="00FF6458" w:rsidRPr="00292296" w:rsidRDefault="00FF6458" w:rsidP="00FF6458">
      <w:pPr>
        <w:tabs>
          <w:tab w:val="clear" w:pos="567"/>
          <w:tab w:val="clear" w:pos="1134"/>
          <w:tab w:val="clear" w:pos="1701"/>
          <w:tab w:val="clear" w:pos="2268"/>
          <w:tab w:val="clear" w:pos="2835"/>
        </w:tabs>
        <w:jc w:val="both"/>
        <w:rPr>
          <w:rFonts w:cs="Calibri"/>
          <w:szCs w:val="24"/>
          <w:lang w:val="en-US"/>
        </w:rPr>
      </w:pPr>
      <w:r w:rsidRPr="00292296">
        <w:rPr>
          <w:rFonts w:cs="Calibri"/>
          <w:b/>
          <w:bCs/>
          <w:szCs w:val="24"/>
        </w:rPr>
        <w:t>1.2</w:t>
      </w:r>
      <w:r w:rsidRPr="00292296">
        <w:rPr>
          <w:rFonts w:cs="Calibri"/>
          <w:szCs w:val="24"/>
        </w:rPr>
        <w:tab/>
        <w:t>On behalf of the Secretary-General, Ms</w:t>
      </w:r>
      <w:r>
        <w:rPr>
          <w:rFonts w:cs="Calibri"/>
          <w:szCs w:val="24"/>
        </w:rPr>
        <w:t>.</w:t>
      </w:r>
      <w:r w:rsidRPr="00292296">
        <w:rPr>
          <w:rFonts w:cs="Calibri"/>
          <w:szCs w:val="24"/>
        </w:rPr>
        <w:t xml:space="preserve"> Doreen Bogdan-Martin, the </w:t>
      </w:r>
      <w:r w:rsidRPr="00292296">
        <w:rPr>
          <w:rFonts w:cs="Calibri"/>
          <w:szCs w:val="24"/>
          <w:lang w:val="de-DE"/>
        </w:rPr>
        <w:t>TSB Director</w:t>
      </w:r>
      <w:r w:rsidRPr="00292296">
        <w:rPr>
          <w:rFonts w:cs="Calibri"/>
          <w:szCs w:val="24"/>
        </w:rPr>
        <w:t>, Mr</w:t>
      </w:r>
      <w:r>
        <w:rPr>
          <w:rFonts w:cs="Calibri"/>
          <w:szCs w:val="24"/>
        </w:rPr>
        <w:t>.</w:t>
      </w:r>
      <w:r w:rsidRPr="00292296">
        <w:rPr>
          <w:rFonts w:cs="Calibri"/>
          <w:szCs w:val="24"/>
        </w:rPr>
        <w:t xml:space="preserve"> Seizo Onoe, welcomed the participants to the sixth meeting of EG-ITRs (2023-2026). He </w:t>
      </w:r>
      <w:r>
        <w:rPr>
          <w:rFonts w:cs="Calibri"/>
          <w:szCs w:val="24"/>
        </w:rPr>
        <w:t xml:space="preserve">thanked the </w:t>
      </w:r>
      <w:r w:rsidRPr="00292296">
        <w:rPr>
          <w:rFonts w:cs="Calibri"/>
          <w:szCs w:val="24"/>
        </w:rPr>
        <w:t xml:space="preserve">members </w:t>
      </w:r>
      <w:r>
        <w:rPr>
          <w:rFonts w:cs="Calibri"/>
          <w:szCs w:val="24"/>
        </w:rPr>
        <w:t xml:space="preserve">for their support and commitment to the work of this group and </w:t>
      </w:r>
      <w:r w:rsidRPr="00292296">
        <w:rPr>
          <w:rFonts w:cs="Calibri"/>
          <w:szCs w:val="24"/>
        </w:rPr>
        <w:t>on the progress made over the past five meetings</w:t>
      </w:r>
      <w:r>
        <w:rPr>
          <w:rFonts w:cs="Calibri"/>
          <w:szCs w:val="24"/>
        </w:rPr>
        <w:t xml:space="preserve"> towards achieving the terms of reference mandated by the ITU Plenipotentiary Conference (PP) 2022</w:t>
      </w:r>
      <w:r w:rsidRPr="00292296">
        <w:rPr>
          <w:rFonts w:cs="Calibri"/>
          <w:szCs w:val="24"/>
        </w:rPr>
        <w:t xml:space="preserve">. He urged them to continue working together collaboratively on the </w:t>
      </w:r>
      <w:r>
        <w:rPr>
          <w:rFonts w:cs="Calibri"/>
          <w:szCs w:val="24"/>
        </w:rPr>
        <w:t>F</w:t>
      </w:r>
      <w:r w:rsidRPr="00292296">
        <w:rPr>
          <w:rFonts w:cs="Calibri"/>
          <w:szCs w:val="24"/>
        </w:rPr>
        <w:t xml:space="preserve">inal </w:t>
      </w:r>
      <w:r>
        <w:rPr>
          <w:rFonts w:cs="Calibri"/>
          <w:szCs w:val="24"/>
        </w:rPr>
        <w:t>R</w:t>
      </w:r>
      <w:r w:rsidRPr="00292296">
        <w:rPr>
          <w:rFonts w:cs="Calibri"/>
          <w:szCs w:val="24"/>
        </w:rPr>
        <w:t xml:space="preserve">eport for Council 2026. </w:t>
      </w:r>
    </w:p>
    <w:p w14:paraId="3A206915" w14:textId="77777777" w:rsidR="00FF6458" w:rsidRPr="00962BD6" w:rsidRDefault="00FF6458" w:rsidP="00FF6458">
      <w:pPr>
        <w:tabs>
          <w:tab w:val="clear" w:pos="567"/>
          <w:tab w:val="clear" w:pos="1134"/>
          <w:tab w:val="clear" w:pos="1701"/>
          <w:tab w:val="clear" w:pos="2268"/>
          <w:tab w:val="clear" w:pos="2835"/>
        </w:tabs>
        <w:jc w:val="both"/>
        <w:rPr>
          <w:rFonts w:cs="Calibri"/>
          <w:szCs w:val="24"/>
        </w:rPr>
      </w:pPr>
      <w:r w:rsidRPr="00292296">
        <w:rPr>
          <w:rFonts w:cs="Calibri"/>
          <w:b/>
          <w:szCs w:val="24"/>
        </w:rPr>
        <w:t>1.3</w:t>
      </w:r>
      <w:r w:rsidRPr="00292296">
        <w:rPr>
          <w:rFonts w:cs="Calibri"/>
          <w:szCs w:val="24"/>
        </w:rPr>
        <w:tab/>
      </w:r>
      <w:r>
        <w:rPr>
          <w:rFonts w:cs="Calibri"/>
          <w:szCs w:val="24"/>
        </w:rPr>
        <w:t xml:space="preserve">As the Chair was unable to attend this meeting, the Vice Chair, EUR region, Mr. Vilem Vesely, presided as the Acting </w:t>
      </w:r>
      <w:r w:rsidRPr="00292296">
        <w:rPr>
          <w:rFonts w:cs="Calibri"/>
          <w:szCs w:val="24"/>
        </w:rPr>
        <w:t>Chair</w:t>
      </w:r>
      <w:r>
        <w:rPr>
          <w:rFonts w:cs="Calibri"/>
          <w:szCs w:val="24"/>
        </w:rPr>
        <w:t>. He</w:t>
      </w:r>
      <w:r w:rsidRPr="00292296">
        <w:rPr>
          <w:rFonts w:cs="Calibri"/>
          <w:szCs w:val="24"/>
        </w:rPr>
        <w:t xml:space="preserve"> thanked the Director for his presence and support for the </w:t>
      </w:r>
      <w:proofErr w:type="gramStart"/>
      <w:r w:rsidRPr="00292296">
        <w:rPr>
          <w:rFonts w:cs="Calibri"/>
          <w:szCs w:val="24"/>
        </w:rPr>
        <w:t>meeting,</w:t>
      </w:r>
      <w:r>
        <w:rPr>
          <w:rFonts w:cs="Calibri"/>
          <w:szCs w:val="24"/>
        </w:rPr>
        <w:t xml:space="preserve"> </w:t>
      </w:r>
      <w:r w:rsidRPr="00292296">
        <w:rPr>
          <w:rFonts w:cs="Calibri"/>
          <w:szCs w:val="24"/>
        </w:rPr>
        <w:t>and</w:t>
      </w:r>
      <w:proofErr w:type="gramEnd"/>
      <w:r w:rsidRPr="00292296">
        <w:rPr>
          <w:rFonts w:cs="Calibri"/>
          <w:szCs w:val="24"/>
        </w:rPr>
        <w:t xml:space="preserve"> stressed the importance </w:t>
      </w:r>
      <w:r w:rsidRPr="00292296">
        <w:rPr>
          <w:rFonts w:cs="Calibri"/>
          <w:color w:val="000000" w:themeColor="text1"/>
          <w:szCs w:val="24"/>
        </w:rPr>
        <w:t>of constructively considering the proposals presented to the Group</w:t>
      </w:r>
      <w:r w:rsidRPr="006B328A">
        <w:rPr>
          <w:rFonts w:cs="Calibri"/>
          <w:color w:val="000000" w:themeColor="text1"/>
          <w:szCs w:val="24"/>
        </w:rPr>
        <w:t xml:space="preserve"> and using this meeting productively and efficiently to review </w:t>
      </w:r>
      <w:r>
        <w:rPr>
          <w:rFonts w:cs="Calibri"/>
          <w:color w:val="000000" w:themeColor="text1"/>
          <w:szCs w:val="24"/>
        </w:rPr>
        <w:t xml:space="preserve">and approve </w:t>
      </w:r>
      <w:r w:rsidRPr="006B328A">
        <w:rPr>
          <w:rFonts w:cs="Calibri"/>
          <w:color w:val="000000" w:themeColor="text1"/>
          <w:szCs w:val="24"/>
        </w:rPr>
        <w:t>the Final Report of the Group to Council 2026</w:t>
      </w:r>
      <w:r>
        <w:rPr>
          <w:rFonts w:cs="Calibri"/>
          <w:color w:val="000000" w:themeColor="text1"/>
          <w:szCs w:val="24"/>
        </w:rPr>
        <w:t xml:space="preserve"> for onward submission to 2026 ITU Plenipotentiary Conference (PP) 2026</w:t>
      </w:r>
      <w:r w:rsidRPr="006B328A">
        <w:rPr>
          <w:rFonts w:cs="Calibri"/>
          <w:color w:val="000000" w:themeColor="text1"/>
          <w:szCs w:val="24"/>
        </w:rPr>
        <w:t xml:space="preserve">. </w:t>
      </w:r>
    </w:p>
    <w:p w14:paraId="086C1E54" w14:textId="77777777" w:rsidR="00FF6458" w:rsidRPr="00962BD6" w:rsidRDefault="00FF6458" w:rsidP="00FF6458">
      <w:pPr>
        <w:pStyle w:val="Heading1"/>
        <w:keepNext w:val="0"/>
        <w:keepLines w:val="0"/>
        <w:tabs>
          <w:tab w:val="clear" w:pos="567"/>
          <w:tab w:val="clear" w:pos="1134"/>
          <w:tab w:val="clear" w:pos="1701"/>
          <w:tab w:val="clear" w:pos="2268"/>
          <w:tab w:val="clear" w:pos="2835"/>
        </w:tabs>
        <w:ind w:left="0" w:firstLine="0"/>
        <w:rPr>
          <w:bCs/>
        </w:rPr>
      </w:pPr>
      <w:r w:rsidRPr="00962BD6">
        <w:t>2</w:t>
      </w:r>
      <w:r w:rsidRPr="00962BD6">
        <w:tab/>
        <w:t>Adoption of the Agenda and allocation of documents</w:t>
      </w:r>
    </w:p>
    <w:p w14:paraId="36D42BDF" w14:textId="77777777" w:rsidR="00FF6458" w:rsidRDefault="00FF6458" w:rsidP="00FF6458">
      <w:pPr>
        <w:tabs>
          <w:tab w:val="clear" w:pos="567"/>
          <w:tab w:val="clear" w:pos="1134"/>
          <w:tab w:val="clear" w:pos="1701"/>
          <w:tab w:val="clear" w:pos="2268"/>
          <w:tab w:val="clear" w:pos="2835"/>
        </w:tabs>
        <w:jc w:val="both"/>
        <w:rPr>
          <w:rFonts w:cs="Calibri"/>
          <w:szCs w:val="24"/>
        </w:rPr>
      </w:pPr>
      <w:r>
        <w:rPr>
          <w:rFonts w:cs="Calibri"/>
          <w:szCs w:val="24"/>
        </w:rPr>
        <w:t>2.1</w:t>
      </w:r>
      <w:r>
        <w:rPr>
          <w:rFonts w:cs="Calibri"/>
          <w:szCs w:val="24"/>
        </w:rPr>
        <w:tab/>
      </w:r>
      <w:r w:rsidRPr="00962BD6">
        <w:rPr>
          <w:rFonts w:cs="Calibri"/>
          <w:szCs w:val="24"/>
        </w:rPr>
        <w:t>The Agenda</w:t>
      </w:r>
      <w:r>
        <w:rPr>
          <w:rFonts w:cs="Calibri"/>
          <w:szCs w:val="24"/>
        </w:rPr>
        <w:t xml:space="preserve"> </w:t>
      </w:r>
      <w:r w:rsidRPr="00962BD6">
        <w:rPr>
          <w:rFonts w:cs="Calibri"/>
          <w:szCs w:val="24"/>
        </w:rPr>
        <w:t>(</w:t>
      </w:r>
      <w:hyperlink r:id="rId8" w:history="1">
        <w:r>
          <w:rPr>
            <w:rStyle w:val="Hyperlink"/>
          </w:rPr>
          <w:t>EG-ITRs-6/1(Rev. 1)</w:t>
        </w:r>
      </w:hyperlink>
      <w:r w:rsidRPr="00962BD6">
        <w:rPr>
          <w:rFonts w:cs="Calibri"/>
          <w:szCs w:val="24"/>
        </w:rPr>
        <w:t>) was presented by the</w:t>
      </w:r>
      <w:r>
        <w:rPr>
          <w:rFonts w:cs="Calibri"/>
          <w:szCs w:val="24"/>
        </w:rPr>
        <w:t xml:space="preserve"> Acting</w:t>
      </w:r>
      <w:r w:rsidRPr="00962BD6">
        <w:rPr>
          <w:rFonts w:cs="Calibri"/>
          <w:szCs w:val="24"/>
        </w:rPr>
        <w:t xml:space="preserve"> Chair. </w:t>
      </w:r>
    </w:p>
    <w:p w14:paraId="04A3DC10" w14:textId="77777777" w:rsidR="00FF6458" w:rsidRDefault="00FF6458" w:rsidP="00FF6458">
      <w:pPr>
        <w:tabs>
          <w:tab w:val="clear" w:pos="567"/>
          <w:tab w:val="clear" w:pos="1134"/>
          <w:tab w:val="clear" w:pos="1701"/>
          <w:tab w:val="clear" w:pos="2268"/>
          <w:tab w:val="clear" w:pos="2835"/>
        </w:tabs>
        <w:jc w:val="both"/>
        <w:rPr>
          <w:rFonts w:cs="Calibri"/>
          <w:szCs w:val="24"/>
        </w:rPr>
      </w:pPr>
      <w:r>
        <w:rPr>
          <w:rFonts w:cs="Calibri"/>
          <w:szCs w:val="24"/>
        </w:rPr>
        <w:t>2.2</w:t>
      </w:r>
      <w:r>
        <w:rPr>
          <w:rFonts w:cs="Calibri"/>
          <w:szCs w:val="24"/>
        </w:rPr>
        <w:tab/>
        <w:t xml:space="preserve">A member requested that the title of Agenda Item 6 be changed to “Approval of the Sixth Meeting Report”. Some members also requested that contribution 7 be moved for discussion under Agenda Item 3. </w:t>
      </w:r>
    </w:p>
    <w:p w14:paraId="1D3E0152" w14:textId="77777777" w:rsidR="00FF6458" w:rsidRPr="00962BD6" w:rsidRDefault="00FF6458" w:rsidP="00FF6458">
      <w:pPr>
        <w:tabs>
          <w:tab w:val="clear" w:pos="567"/>
          <w:tab w:val="clear" w:pos="1134"/>
          <w:tab w:val="clear" w:pos="1701"/>
          <w:tab w:val="clear" w:pos="2268"/>
          <w:tab w:val="clear" w:pos="2835"/>
        </w:tabs>
        <w:jc w:val="both"/>
        <w:rPr>
          <w:rFonts w:cs="Calibri"/>
          <w:szCs w:val="24"/>
        </w:rPr>
      </w:pPr>
      <w:r>
        <w:rPr>
          <w:rFonts w:cs="Calibri"/>
          <w:szCs w:val="24"/>
        </w:rPr>
        <w:t>2.2</w:t>
      </w:r>
      <w:r>
        <w:rPr>
          <w:rFonts w:cs="Calibri"/>
          <w:szCs w:val="24"/>
        </w:rPr>
        <w:tab/>
        <w:t xml:space="preserve">The revised </w:t>
      </w:r>
      <w:r w:rsidRPr="00962BD6">
        <w:rPr>
          <w:rFonts w:cs="Calibri"/>
          <w:szCs w:val="24"/>
        </w:rPr>
        <w:t xml:space="preserve">Agenda </w:t>
      </w:r>
      <w:r w:rsidRPr="00CC2E3E">
        <w:rPr>
          <w:rFonts w:cs="Calibri"/>
          <w:szCs w:val="24"/>
        </w:rPr>
        <w:t>(</w:t>
      </w:r>
      <w:hyperlink r:id="rId9" w:history="1">
        <w:r w:rsidRPr="00CC2E3E">
          <w:rPr>
            <w:rStyle w:val="Hyperlink"/>
          </w:rPr>
          <w:t>EG-ITRs-6/1(Rev. 2)</w:t>
        </w:r>
      </w:hyperlink>
      <w:r w:rsidRPr="00CC2E3E">
        <w:rPr>
          <w:rFonts w:cs="Calibri"/>
          <w:szCs w:val="24"/>
        </w:rPr>
        <w:t>)</w:t>
      </w:r>
      <w:r w:rsidRPr="00962BD6">
        <w:rPr>
          <w:rFonts w:cs="Calibri"/>
          <w:szCs w:val="24"/>
        </w:rPr>
        <w:t xml:space="preserve"> was adopted.</w:t>
      </w:r>
    </w:p>
    <w:p w14:paraId="6EC56068" w14:textId="77777777" w:rsidR="00FF6458" w:rsidRPr="00962BD6" w:rsidRDefault="00FF6458" w:rsidP="00FF6458">
      <w:pPr>
        <w:pStyle w:val="Heading1"/>
        <w:tabs>
          <w:tab w:val="clear" w:pos="567"/>
          <w:tab w:val="clear" w:pos="1134"/>
          <w:tab w:val="clear" w:pos="1701"/>
          <w:tab w:val="clear" w:pos="2268"/>
          <w:tab w:val="clear" w:pos="2835"/>
        </w:tabs>
        <w:spacing w:before="120"/>
        <w:ind w:left="709" w:hanging="709"/>
      </w:pPr>
      <w:r w:rsidRPr="00962BD6">
        <w:t>3</w:t>
      </w:r>
      <w:r w:rsidRPr="00962BD6">
        <w:tab/>
      </w:r>
      <w:r>
        <w:t>Introduction and d</w:t>
      </w:r>
      <w:r w:rsidRPr="00A833C4">
        <w:t xml:space="preserve">iscussion </w:t>
      </w:r>
      <w:r>
        <w:t xml:space="preserve">of </w:t>
      </w:r>
      <w:r w:rsidRPr="00A833C4">
        <w:t xml:space="preserve">contributions received </w:t>
      </w:r>
      <w:r>
        <w:t>from members</w:t>
      </w:r>
    </w:p>
    <w:p w14:paraId="251069C6" w14:textId="77777777" w:rsidR="00FF6458" w:rsidRPr="00962BD6" w:rsidRDefault="00FF6458" w:rsidP="00FF6458">
      <w:pPr>
        <w:keepNext/>
        <w:keepLines/>
        <w:tabs>
          <w:tab w:val="clear" w:pos="567"/>
          <w:tab w:val="clear" w:pos="1134"/>
          <w:tab w:val="clear" w:pos="1701"/>
          <w:tab w:val="clear" w:pos="2268"/>
          <w:tab w:val="clear" w:pos="2835"/>
        </w:tabs>
        <w:jc w:val="both"/>
      </w:pPr>
      <w:r w:rsidRPr="00962BD6">
        <w:t>The EG-ITRs examined the various contributions (in the order listed in the agenda), which were noted by the Group. The summaries of the contributions (as submitted by the authors of the documents) along with the corresponding discussions are provided below.</w:t>
      </w:r>
    </w:p>
    <w:p w14:paraId="01B68B4E" w14:textId="77777777" w:rsidR="00FF6458" w:rsidRDefault="00FF6458" w:rsidP="00FF6458">
      <w:pPr>
        <w:pStyle w:val="Heading2"/>
        <w:keepNext w:val="0"/>
        <w:keepLines w:val="0"/>
        <w:numPr>
          <w:ilvl w:val="1"/>
          <w:numId w:val="2"/>
        </w:numPr>
        <w:tabs>
          <w:tab w:val="clear" w:pos="567"/>
          <w:tab w:val="clear" w:pos="1134"/>
          <w:tab w:val="clear" w:pos="1701"/>
          <w:tab w:val="clear" w:pos="2268"/>
          <w:tab w:val="clear" w:pos="2835"/>
        </w:tabs>
        <w:spacing w:before="240"/>
        <w:ind w:left="709" w:hanging="709"/>
        <w:rPr>
          <w:rFonts w:cs="Calibri"/>
          <w:bCs/>
          <w:szCs w:val="24"/>
          <w:lang w:val="en-US"/>
        </w:rPr>
      </w:pPr>
      <w:r w:rsidRPr="00962BD6">
        <w:rPr>
          <w:rFonts w:cs="Calibri"/>
          <w:bCs/>
          <w:szCs w:val="24"/>
        </w:rPr>
        <w:t xml:space="preserve">Contribution </w:t>
      </w:r>
      <w:hyperlink r:id="rId10" w:history="1">
        <w:r>
          <w:rPr>
            <w:rStyle w:val="Hyperlink"/>
            <w:rFonts w:cs="Calibri"/>
            <w:bCs/>
            <w:szCs w:val="24"/>
          </w:rPr>
          <w:t>EG-ITRs-6/2</w:t>
        </w:r>
      </w:hyperlink>
      <w:r>
        <w:rPr>
          <w:rStyle w:val="Hyperlink"/>
          <w:rFonts w:cs="Calibri"/>
          <w:bCs/>
          <w:color w:val="auto"/>
          <w:szCs w:val="24"/>
          <w:u w:val="none"/>
        </w:rPr>
        <w:t>, Hill</w:t>
      </w:r>
    </w:p>
    <w:p w14:paraId="530ACF8E" w14:textId="77777777" w:rsidR="00FF6458" w:rsidRPr="00962BD6" w:rsidRDefault="00FF6458" w:rsidP="00FF6458">
      <w:pPr>
        <w:pStyle w:val="Heading3"/>
        <w:keepNext w:val="0"/>
        <w:keepLines w:val="0"/>
        <w:tabs>
          <w:tab w:val="clear" w:pos="567"/>
          <w:tab w:val="clear" w:pos="1134"/>
          <w:tab w:val="clear" w:pos="1701"/>
          <w:tab w:val="clear" w:pos="2268"/>
          <w:tab w:val="clear" w:pos="2835"/>
        </w:tabs>
        <w:spacing w:before="120"/>
        <w:ind w:left="0" w:firstLine="0"/>
      </w:pPr>
      <w:r>
        <w:t>3.1.1</w:t>
      </w:r>
      <w:r>
        <w:tab/>
      </w:r>
      <w:r w:rsidRPr="00962BD6">
        <w:t>Summary</w:t>
      </w:r>
      <w:r>
        <w:t xml:space="preserve"> of contribution</w:t>
      </w:r>
    </w:p>
    <w:p w14:paraId="60C95879" w14:textId="77777777" w:rsidR="00FF6458" w:rsidRPr="006B328A" w:rsidRDefault="00FF6458" w:rsidP="00FF6458">
      <w:pPr>
        <w:pStyle w:val="Heading3"/>
        <w:keepNext w:val="0"/>
        <w:keepLines w:val="0"/>
        <w:tabs>
          <w:tab w:val="clear" w:pos="567"/>
          <w:tab w:val="clear" w:pos="1134"/>
          <w:tab w:val="clear" w:pos="1701"/>
          <w:tab w:val="clear" w:pos="2268"/>
          <w:tab w:val="clear" w:pos="2835"/>
        </w:tabs>
        <w:spacing w:before="120"/>
        <w:ind w:left="0" w:firstLine="0"/>
        <w:jc w:val="both"/>
        <w:rPr>
          <w:b w:val="0"/>
        </w:rPr>
      </w:pPr>
      <w:r w:rsidRPr="00727731">
        <w:rPr>
          <w:b w:val="0"/>
          <w:lang w:val="en-US"/>
        </w:rPr>
        <w:t xml:space="preserve">The 1988 ITRs were instrumental in facilitating the successful deployment and use of telecommunication services and applications worldwide, including </w:t>
      </w:r>
      <w:proofErr w:type="gramStart"/>
      <w:r w:rsidRPr="00727731">
        <w:rPr>
          <w:b w:val="0"/>
          <w:lang w:val="en-US"/>
        </w:rPr>
        <w:t>in particular the</w:t>
      </w:r>
      <w:proofErr w:type="gramEnd"/>
      <w:r w:rsidRPr="00727731">
        <w:rPr>
          <w:b w:val="0"/>
          <w:lang w:val="en-US"/>
        </w:rPr>
        <w:t xml:space="preserve"> expansion of networks based on the TCP/IP protocol and of the services popularly referred to as the Internet: Article 9, Special Arrangements, removed restrictions that could have impeded the expansion of such services. </w:t>
      </w:r>
      <w:r>
        <w:rPr>
          <w:b w:val="0"/>
          <w:lang w:val="en-US"/>
        </w:rPr>
        <w:t>The contributor</w:t>
      </w:r>
      <w:r w:rsidRPr="00727731">
        <w:rPr>
          <w:b w:val="0"/>
          <w:lang w:val="en-US"/>
        </w:rPr>
        <w:t xml:space="preserve"> request</w:t>
      </w:r>
      <w:r>
        <w:rPr>
          <w:b w:val="0"/>
          <w:lang w:val="en-US"/>
        </w:rPr>
        <w:t>ed</w:t>
      </w:r>
      <w:r w:rsidRPr="00727731">
        <w:rPr>
          <w:b w:val="0"/>
          <w:lang w:val="en-US"/>
        </w:rPr>
        <w:t xml:space="preserve"> that the text of this contribution be annexed, as a statement from Hill, to the report of the present meeting.</w:t>
      </w:r>
    </w:p>
    <w:p w14:paraId="2753FB4A" w14:textId="77777777" w:rsidR="00FF6458" w:rsidRDefault="00FF6458" w:rsidP="00FF6458">
      <w:pPr>
        <w:pStyle w:val="Heading3"/>
        <w:keepNext w:val="0"/>
        <w:keepLines w:val="0"/>
        <w:numPr>
          <w:ilvl w:val="2"/>
          <w:numId w:val="2"/>
        </w:numPr>
        <w:tabs>
          <w:tab w:val="clear" w:pos="567"/>
          <w:tab w:val="clear" w:pos="1134"/>
          <w:tab w:val="clear" w:pos="1701"/>
          <w:tab w:val="clear" w:pos="2268"/>
          <w:tab w:val="clear" w:pos="2835"/>
        </w:tabs>
        <w:spacing w:before="120"/>
        <w:ind w:left="0" w:firstLine="0"/>
      </w:pPr>
      <w:r w:rsidRPr="00962BD6">
        <w:t>Discussion</w:t>
      </w:r>
    </w:p>
    <w:p w14:paraId="5BDC1DD9" w14:textId="77777777" w:rsidR="00FF6458" w:rsidRDefault="00FF6458" w:rsidP="00FF6458">
      <w:pPr>
        <w:pStyle w:val="enumlev1"/>
        <w:tabs>
          <w:tab w:val="clear" w:pos="567"/>
          <w:tab w:val="clear" w:pos="1134"/>
          <w:tab w:val="clear" w:pos="1701"/>
          <w:tab w:val="clear" w:pos="2268"/>
          <w:tab w:val="clear" w:pos="2835"/>
        </w:tabs>
        <w:spacing w:before="120"/>
        <w:jc w:val="both"/>
        <w:rPr>
          <w:bCs/>
        </w:rPr>
      </w:pPr>
      <w:r>
        <w:rPr>
          <w:bCs/>
        </w:rPr>
        <w:t>(a)</w:t>
      </w:r>
      <w:r>
        <w:rPr>
          <w:bCs/>
        </w:rPr>
        <w:tab/>
        <w:t xml:space="preserve">Some members expressed support for this contribution and for its inclusion in the meeting report stating that it recalls the historical context on the role and value of the </w:t>
      </w:r>
      <w:proofErr w:type="gramStart"/>
      <w:r>
        <w:rPr>
          <w:bCs/>
        </w:rPr>
        <w:t>ITRs, and</w:t>
      </w:r>
      <w:proofErr w:type="gramEnd"/>
      <w:r>
        <w:rPr>
          <w:bCs/>
        </w:rPr>
        <w:t xml:space="preserve"> is important as a reminder that the ITRs have served to improve the efficiency and practicality of telecommunication infrastructure globally. Some members </w:t>
      </w:r>
      <w:proofErr w:type="gramStart"/>
      <w:r>
        <w:rPr>
          <w:bCs/>
        </w:rPr>
        <w:t>were of the opinion that</w:t>
      </w:r>
      <w:proofErr w:type="gramEnd"/>
      <w:r>
        <w:rPr>
          <w:bCs/>
        </w:rPr>
        <w:t xml:space="preserve"> the contribution does not present a holistic overview of the </w:t>
      </w:r>
      <w:proofErr w:type="gramStart"/>
      <w:r>
        <w:rPr>
          <w:bCs/>
        </w:rPr>
        <w:t>current status</w:t>
      </w:r>
      <w:proofErr w:type="gramEnd"/>
      <w:r>
        <w:rPr>
          <w:bCs/>
        </w:rPr>
        <w:t xml:space="preserve"> and discussions on the ITRs, including reflecting the outcomes of WCIT 2012 or the divergent views on their use, relevance and applicability.</w:t>
      </w:r>
    </w:p>
    <w:p w14:paraId="2671F11D" w14:textId="77777777" w:rsidR="00FF6458" w:rsidRDefault="00FF6458" w:rsidP="00FF6458">
      <w:pPr>
        <w:pStyle w:val="enumlev1"/>
        <w:tabs>
          <w:tab w:val="clear" w:pos="567"/>
          <w:tab w:val="clear" w:pos="1134"/>
          <w:tab w:val="clear" w:pos="1701"/>
          <w:tab w:val="clear" w:pos="2268"/>
          <w:tab w:val="clear" w:pos="2835"/>
        </w:tabs>
        <w:spacing w:before="120"/>
        <w:jc w:val="both"/>
        <w:rPr>
          <w:bCs/>
        </w:rPr>
      </w:pPr>
      <w:r>
        <w:rPr>
          <w:bCs/>
        </w:rPr>
        <w:t>(b)</w:t>
      </w:r>
      <w:r>
        <w:rPr>
          <w:bCs/>
        </w:rPr>
        <w:tab/>
        <w:t xml:space="preserve">As requested by the contributor and some members, the statement proposed by the contributor has been annexed to this meeting report. </w:t>
      </w:r>
    </w:p>
    <w:p w14:paraId="7C3BB2DC" w14:textId="77777777" w:rsidR="00FF6458" w:rsidRDefault="00FF6458" w:rsidP="00FF6458">
      <w:pPr>
        <w:pStyle w:val="enumlev1"/>
        <w:tabs>
          <w:tab w:val="clear" w:pos="567"/>
          <w:tab w:val="clear" w:pos="1134"/>
          <w:tab w:val="clear" w:pos="1701"/>
          <w:tab w:val="clear" w:pos="2268"/>
          <w:tab w:val="clear" w:pos="2835"/>
        </w:tabs>
        <w:spacing w:before="120"/>
        <w:jc w:val="both"/>
        <w:rPr>
          <w:bCs/>
        </w:rPr>
      </w:pPr>
      <w:r>
        <w:rPr>
          <w:bCs/>
        </w:rPr>
        <w:t>(c)</w:t>
      </w:r>
      <w:r>
        <w:rPr>
          <w:bCs/>
        </w:rPr>
        <w:tab/>
        <w:t>The contribution was noted.</w:t>
      </w:r>
    </w:p>
    <w:p w14:paraId="19498D26" w14:textId="77777777" w:rsidR="00FF6458" w:rsidRPr="007B3646" w:rsidRDefault="00FF6458" w:rsidP="00FF6458">
      <w:pPr>
        <w:pStyle w:val="Heading2"/>
        <w:keepNext w:val="0"/>
        <w:keepLines w:val="0"/>
        <w:tabs>
          <w:tab w:val="clear" w:pos="567"/>
          <w:tab w:val="clear" w:pos="1134"/>
          <w:tab w:val="clear" w:pos="1701"/>
          <w:tab w:val="clear" w:pos="2268"/>
          <w:tab w:val="clear" w:pos="2835"/>
        </w:tabs>
        <w:spacing w:before="240"/>
        <w:ind w:left="0" w:firstLine="0"/>
        <w:rPr>
          <w:rFonts w:cs="Calibri"/>
          <w:bCs/>
          <w:szCs w:val="24"/>
        </w:rPr>
      </w:pPr>
      <w:r>
        <w:t>3.2</w:t>
      </w:r>
      <w:r>
        <w:tab/>
      </w:r>
      <w:r w:rsidRPr="00962BD6">
        <w:rPr>
          <w:rFonts w:cs="Calibri"/>
          <w:bCs/>
          <w:szCs w:val="24"/>
        </w:rPr>
        <w:t xml:space="preserve">Contribution </w:t>
      </w:r>
      <w:hyperlink r:id="rId11" w:history="1">
        <w:r>
          <w:rPr>
            <w:rStyle w:val="Hyperlink"/>
            <w:rFonts w:cs="Calibri"/>
            <w:bCs/>
            <w:szCs w:val="24"/>
          </w:rPr>
          <w:t>EG-ITRs-6/3</w:t>
        </w:r>
      </w:hyperlink>
      <w:r w:rsidRPr="00962BD6">
        <w:rPr>
          <w:rFonts w:cs="Calibri"/>
          <w:bCs/>
          <w:szCs w:val="24"/>
        </w:rPr>
        <w:t xml:space="preserve">, </w:t>
      </w:r>
      <w:r>
        <w:rPr>
          <w:rFonts w:cs="Calibri"/>
          <w:bCs/>
          <w:szCs w:val="24"/>
        </w:rPr>
        <w:t>Hill</w:t>
      </w:r>
    </w:p>
    <w:p w14:paraId="35B89B95" w14:textId="77777777" w:rsidR="00FF6458" w:rsidRDefault="00FF6458" w:rsidP="00FF6458">
      <w:pPr>
        <w:pStyle w:val="Heading3"/>
        <w:keepNext w:val="0"/>
        <w:keepLines w:val="0"/>
        <w:tabs>
          <w:tab w:val="clear" w:pos="567"/>
          <w:tab w:val="clear" w:pos="1134"/>
          <w:tab w:val="clear" w:pos="1701"/>
          <w:tab w:val="clear" w:pos="2268"/>
          <w:tab w:val="clear" w:pos="2835"/>
        </w:tabs>
        <w:spacing w:before="120"/>
        <w:ind w:left="0" w:firstLine="0"/>
      </w:pPr>
      <w:r>
        <w:t>3.2.1</w:t>
      </w:r>
      <w:r>
        <w:tab/>
        <w:t>Summary</w:t>
      </w:r>
    </w:p>
    <w:p w14:paraId="0635867D" w14:textId="77777777" w:rsidR="00FF6458" w:rsidRPr="006B328A" w:rsidRDefault="00FF6458" w:rsidP="00FF6458">
      <w:pPr>
        <w:pStyle w:val="Heading3"/>
        <w:keepNext w:val="0"/>
        <w:keepLines w:val="0"/>
        <w:tabs>
          <w:tab w:val="clear" w:pos="567"/>
          <w:tab w:val="clear" w:pos="1134"/>
          <w:tab w:val="clear" w:pos="1701"/>
          <w:tab w:val="clear" w:pos="2268"/>
          <w:tab w:val="clear" w:pos="2835"/>
        </w:tabs>
        <w:spacing w:before="120"/>
        <w:ind w:left="0" w:firstLine="0"/>
        <w:jc w:val="both"/>
        <w:rPr>
          <w:rFonts w:cs="Calibri"/>
          <w:b w:val="0"/>
          <w:szCs w:val="24"/>
        </w:rPr>
      </w:pPr>
      <w:r w:rsidRPr="00727731">
        <w:rPr>
          <w:rFonts w:cs="Calibri"/>
          <w:b w:val="0"/>
          <w:szCs w:val="24"/>
        </w:rPr>
        <w:t>This contribution reinforces the call for binding treaty-level provisions regarding the use of artificial intelligence in international telecommunications services by referencing the September 2025 “Global Call for AI Red Lines” which is broadly supported by prominent leaders in policy, academia, and industry.</w:t>
      </w:r>
    </w:p>
    <w:p w14:paraId="4E751757" w14:textId="77777777" w:rsidR="00FF6458" w:rsidRDefault="00FF6458" w:rsidP="00FF6458">
      <w:pPr>
        <w:pStyle w:val="Heading3"/>
        <w:keepNext w:val="0"/>
        <w:keepLines w:val="0"/>
        <w:numPr>
          <w:ilvl w:val="2"/>
          <w:numId w:val="3"/>
        </w:numPr>
        <w:tabs>
          <w:tab w:val="clear" w:pos="567"/>
          <w:tab w:val="clear" w:pos="1134"/>
          <w:tab w:val="clear" w:pos="1701"/>
          <w:tab w:val="clear" w:pos="2268"/>
          <w:tab w:val="clear" w:pos="2835"/>
        </w:tabs>
        <w:spacing w:before="120"/>
        <w:ind w:left="0" w:firstLine="0"/>
      </w:pPr>
      <w:r>
        <w:t>Discussion</w:t>
      </w:r>
    </w:p>
    <w:p w14:paraId="7D0D4BB4" w14:textId="77777777" w:rsidR="00FF6458" w:rsidRPr="00034BCF" w:rsidRDefault="00FF6458" w:rsidP="00FF6458">
      <w:pPr>
        <w:tabs>
          <w:tab w:val="clear" w:pos="567"/>
          <w:tab w:val="clear" w:pos="1134"/>
          <w:tab w:val="clear" w:pos="1701"/>
          <w:tab w:val="clear" w:pos="2268"/>
          <w:tab w:val="clear" w:pos="2835"/>
        </w:tabs>
        <w:jc w:val="both"/>
      </w:pPr>
      <w:r>
        <w:t>(a)</w:t>
      </w:r>
      <w:r>
        <w:tab/>
        <w:t xml:space="preserve">Some members supported this contribution and suggested including a reference to the proposal in the relevant section of the Final Report of the Group, as </w:t>
      </w:r>
      <w:r w:rsidRPr="00683881">
        <w:t xml:space="preserve">AI is increasingly embedded in international networks, routing, traffic management and service delivery, and its governance has </w:t>
      </w:r>
      <w:r>
        <w:t>cross</w:t>
      </w:r>
      <w:r w:rsidRPr="00683881">
        <w:t>-border implications</w:t>
      </w:r>
      <w:r>
        <w:t xml:space="preserve"> and should be discussed in the context of the ITRs. Some members </w:t>
      </w:r>
      <w:proofErr w:type="gramStart"/>
      <w:r>
        <w:t>were of the opinion that</w:t>
      </w:r>
      <w:proofErr w:type="gramEnd"/>
      <w:r>
        <w:t xml:space="preserve"> </w:t>
      </w:r>
      <w:r w:rsidRPr="00802EB2">
        <w:t xml:space="preserve">the substance of this document </w:t>
      </w:r>
      <w:r>
        <w:t xml:space="preserve">is </w:t>
      </w:r>
      <w:r w:rsidRPr="00802EB2">
        <w:t xml:space="preserve">outside of the terms of reference of this </w:t>
      </w:r>
      <w:r>
        <w:t>G</w:t>
      </w:r>
      <w:r w:rsidRPr="00802EB2">
        <w:t xml:space="preserve">roup, which was </w:t>
      </w:r>
      <w:r>
        <w:t xml:space="preserve">mandated by PP 2022 to review </w:t>
      </w:r>
      <w:r w:rsidRPr="00802EB2">
        <w:t>the I</w:t>
      </w:r>
      <w:r>
        <w:t>TRs, and that there is no mention of the ITRs itself in the Global Call for AI Red Lines</w:t>
      </w:r>
      <w:r w:rsidRPr="00802EB2">
        <w:t xml:space="preserve">. </w:t>
      </w:r>
    </w:p>
    <w:p w14:paraId="021E3633" w14:textId="77777777" w:rsidR="00FF6458" w:rsidRDefault="00FF6458" w:rsidP="00FF6458">
      <w:pPr>
        <w:tabs>
          <w:tab w:val="clear" w:pos="567"/>
          <w:tab w:val="clear" w:pos="1134"/>
          <w:tab w:val="clear" w:pos="1701"/>
          <w:tab w:val="clear" w:pos="2268"/>
          <w:tab w:val="clear" w:pos="2835"/>
        </w:tabs>
        <w:jc w:val="both"/>
      </w:pPr>
      <w:r>
        <w:t>(b)</w:t>
      </w:r>
      <w:r>
        <w:tab/>
        <w:t xml:space="preserve">The contribution was noted. </w:t>
      </w:r>
    </w:p>
    <w:p w14:paraId="5C11F51A" w14:textId="77777777" w:rsidR="00FF6458" w:rsidRPr="007B3646" w:rsidRDefault="00FF6458" w:rsidP="00FF6458">
      <w:pPr>
        <w:pStyle w:val="Heading2"/>
        <w:tabs>
          <w:tab w:val="clear" w:pos="567"/>
          <w:tab w:val="clear" w:pos="1134"/>
          <w:tab w:val="clear" w:pos="1701"/>
          <w:tab w:val="clear" w:pos="2268"/>
          <w:tab w:val="clear" w:pos="2835"/>
        </w:tabs>
        <w:spacing w:before="240"/>
        <w:ind w:left="0" w:firstLine="0"/>
        <w:rPr>
          <w:rFonts w:cs="Calibri"/>
          <w:bCs/>
          <w:szCs w:val="24"/>
        </w:rPr>
      </w:pPr>
      <w:r>
        <w:t>3.3</w:t>
      </w:r>
      <w:r>
        <w:tab/>
      </w:r>
      <w:r w:rsidRPr="00962BD6">
        <w:rPr>
          <w:rFonts w:cs="Calibri"/>
          <w:bCs/>
          <w:szCs w:val="24"/>
        </w:rPr>
        <w:t xml:space="preserve">Contribution </w:t>
      </w:r>
      <w:hyperlink r:id="rId12" w:history="1">
        <w:r>
          <w:rPr>
            <w:rStyle w:val="Hyperlink"/>
            <w:rFonts w:cs="Calibri"/>
            <w:bCs/>
            <w:szCs w:val="24"/>
          </w:rPr>
          <w:t>EG-ITRs-6/7</w:t>
        </w:r>
      </w:hyperlink>
      <w:r w:rsidRPr="00962BD6">
        <w:rPr>
          <w:rFonts w:cs="Calibri"/>
          <w:bCs/>
          <w:szCs w:val="24"/>
        </w:rPr>
        <w:t xml:space="preserve">, </w:t>
      </w:r>
      <w:r>
        <w:rPr>
          <w:rFonts w:cs="Calibri"/>
          <w:bCs/>
          <w:szCs w:val="24"/>
        </w:rPr>
        <w:t>Paraguay</w:t>
      </w:r>
    </w:p>
    <w:p w14:paraId="37F4D797" w14:textId="77777777" w:rsidR="00FF6458" w:rsidRDefault="00FF6458" w:rsidP="00FF6458">
      <w:pPr>
        <w:pStyle w:val="Heading3"/>
        <w:tabs>
          <w:tab w:val="clear" w:pos="567"/>
          <w:tab w:val="clear" w:pos="1134"/>
          <w:tab w:val="clear" w:pos="1701"/>
          <w:tab w:val="clear" w:pos="2268"/>
          <w:tab w:val="clear" w:pos="2835"/>
        </w:tabs>
        <w:spacing w:before="120"/>
        <w:ind w:left="0" w:firstLine="0"/>
      </w:pPr>
      <w:r>
        <w:t>3.3.1</w:t>
      </w:r>
      <w:r>
        <w:tab/>
        <w:t>Summary</w:t>
      </w:r>
    </w:p>
    <w:p w14:paraId="46FF90F9" w14:textId="77777777" w:rsidR="00FF6458" w:rsidRPr="002B1C17" w:rsidRDefault="00FF6458" w:rsidP="00FF6458">
      <w:pPr>
        <w:keepNext/>
        <w:keepLines/>
        <w:jc w:val="both"/>
      </w:pPr>
      <w:r>
        <w:t xml:space="preserve">The contributor </w:t>
      </w:r>
      <w:r w:rsidRPr="002B1C17">
        <w:t>understand</w:t>
      </w:r>
      <w:r>
        <w:t>s</w:t>
      </w:r>
      <w:r w:rsidRPr="002B1C17">
        <w:t xml:space="preserve"> that the last </w:t>
      </w:r>
      <w:r>
        <w:t>WCIT</w:t>
      </w:r>
      <w:r w:rsidRPr="002B1C17">
        <w:t xml:space="preserve"> adopted resolutions that, in accordance with the mandate of the Intersectoral Coordination Group, should be included within its scope of competence.</w:t>
      </w:r>
    </w:p>
    <w:p w14:paraId="5569877C" w14:textId="77777777" w:rsidR="00FF6458" w:rsidRPr="002B1C17" w:rsidRDefault="00FF6458" w:rsidP="00FF6458">
      <w:pPr>
        <w:jc w:val="both"/>
      </w:pPr>
      <w:r>
        <w:t xml:space="preserve">The contributor has </w:t>
      </w:r>
      <w:r w:rsidRPr="002B1C17">
        <w:t xml:space="preserve">noted that the table of correspondence for the resolutions of the Intersectoral Group does not include a column for the resolutions of the </w:t>
      </w:r>
      <w:r>
        <w:t>WCIT</w:t>
      </w:r>
      <w:r w:rsidRPr="002B1C17">
        <w:t>.</w:t>
      </w:r>
    </w:p>
    <w:p w14:paraId="4C7F7085" w14:textId="77777777" w:rsidR="00FF6458" w:rsidRPr="002B1C17" w:rsidRDefault="00FF6458" w:rsidP="00FF6458">
      <w:pPr>
        <w:jc w:val="both"/>
      </w:pPr>
      <w:r w:rsidRPr="002B1C17">
        <w:t xml:space="preserve">In this regard, </w:t>
      </w:r>
      <w:r>
        <w:t>the contributor</w:t>
      </w:r>
      <w:r w:rsidRPr="002B1C17">
        <w:t xml:space="preserve"> request</w:t>
      </w:r>
      <w:r>
        <w:t>s</w:t>
      </w:r>
      <w:r w:rsidRPr="002B1C17">
        <w:t xml:space="preserve"> that the Expert Group </w:t>
      </w:r>
      <w:r>
        <w:t xml:space="preserve">on ITRs </w:t>
      </w:r>
      <w:r w:rsidRPr="002B1C17">
        <w:t xml:space="preserve">examine this issue and invite the Intersectoral Group to </w:t>
      </w:r>
      <w:proofErr w:type="gramStart"/>
      <w:r w:rsidRPr="002B1C17">
        <w:t>take into account</w:t>
      </w:r>
      <w:proofErr w:type="gramEnd"/>
      <w:r w:rsidRPr="002B1C17">
        <w:t xml:space="preserve"> the decisions of the </w:t>
      </w:r>
      <w:r>
        <w:t>WCIT</w:t>
      </w:r>
      <w:r w:rsidRPr="002B1C17">
        <w:t xml:space="preserve"> and include these resolutions in the table of correspondence.</w:t>
      </w:r>
    </w:p>
    <w:p w14:paraId="500C7B4D" w14:textId="77777777" w:rsidR="00FF6458" w:rsidRDefault="00FF6458" w:rsidP="00FF6458">
      <w:pPr>
        <w:pStyle w:val="Heading3"/>
        <w:keepNext w:val="0"/>
        <w:keepLines w:val="0"/>
        <w:tabs>
          <w:tab w:val="clear" w:pos="567"/>
          <w:tab w:val="clear" w:pos="1134"/>
          <w:tab w:val="clear" w:pos="1701"/>
          <w:tab w:val="clear" w:pos="2268"/>
          <w:tab w:val="clear" w:pos="2835"/>
        </w:tabs>
        <w:spacing w:before="120"/>
        <w:ind w:left="0" w:firstLine="0"/>
      </w:pPr>
      <w:r>
        <w:t>3.3.2</w:t>
      </w:r>
      <w:r>
        <w:tab/>
        <w:t>Discussion</w:t>
      </w:r>
    </w:p>
    <w:p w14:paraId="09E322C6" w14:textId="77777777" w:rsidR="00FF6458" w:rsidRDefault="00FF6458" w:rsidP="00FF6458">
      <w:pPr>
        <w:tabs>
          <w:tab w:val="clear" w:pos="567"/>
          <w:tab w:val="clear" w:pos="1134"/>
          <w:tab w:val="clear" w:pos="1701"/>
          <w:tab w:val="clear" w:pos="2268"/>
          <w:tab w:val="clear" w:pos="2835"/>
        </w:tabs>
        <w:jc w:val="both"/>
      </w:pPr>
      <w:r>
        <w:t>(a)</w:t>
      </w:r>
      <w:r>
        <w:tab/>
        <w:t xml:space="preserve">Some members expressed support for the contribution as it aims to strengthen intersectoral coordination within ITU. Some members </w:t>
      </w:r>
      <w:proofErr w:type="gramStart"/>
      <w:r>
        <w:t>were of the opinion that</w:t>
      </w:r>
      <w:proofErr w:type="gramEnd"/>
      <w:r>
        <w:t xml:space="preserve"> the matters presented in this contribution are outside the scope of the terms of reference of the Group. </w:t>
      </w:r>
    </w:p>
    <w:p w14:paraId="69B9CBB0" w14:textId="77777777" w:rsidR="00FF6458" w:rsidRDefault="00FF6458" w:rsidP="00FF6458">
      <w:pPr>
        <w:tabs>
          <w:tab w:val="clear" w:pos="567"/>
          <w:tab w:val="clear" w:pos="1134"/>
          <w:tab w:val="clear" w:pos="1701"/>
          <w:tab w:val="clear" w:pos="2268"/>
          <w:tab w:val="clear" w:pos="2835"/>
        </w:tabs>
        <w:jc w:val="both"/>
      </w:pPr>
      <w:r>
        <w:t>(b)</w:t>
      </w:r>
      <w:r>
        <w:tab/>
        <w:t xml:space="preserve">Some members suggested that, as it is the last meeting of the EG-ITRs, it may be practically difficult to liaise with the ISCG on this proposal, but that the contributor may, if it deems appropriate, communicate directly with the ISCG on this matter. </w:t>
      </w:r>
    </w:p>
    <w:p w14:paraId="17C7FCE6" w14:textId="77777777" w:rsidR="00FF6458" w:rsidRDefault="00FF6458" w:rsidP="00FF6458">
      <w:pPr>
        <w:tabs>
          <w:tab w:val="clear" w:pos="567"/>
          <w:tab w:val="clear" w:pos="1134"/>
          <w:tab w:val="clear" w:pos="1701"/>
          <w:tab w:val="clear" w:pos="2268"/>
          <w:tab w:val="clear" w:pos="2835"/>
        </w:tabs>
        <w:jc w:val="both"/>
      </w:pPr>
      <w:r>
        <w:t>(c)</w:t>
      </w:r>
      <w:r>
        <w:tab/>
        <w:t xml:space="preserve">The contribution was noted. </w:t>
      </w:r>
    </w:p>
    <w:p w14:paraId="6E3DD4D9" w14:textId="77777777" w:rsidR="00FF6458" w:rsidRDefault="00FF6458" w:rsidP="00FF6458">
      <w:pPr>
        <w:pStyle w:val="Heading1"/>
        <w:keepNext w:val="0"/>
        <w:keepLines w:val="0"/>
        <w:tabs>
          <w:tab w:val="clear" w:pos="567"/>
          <w:tab w:val="clear" w:pos="1134"/>
          <w:tab w:val="clear" w:pos="1701"/>
          <w:tab w:val="clear" w:pos="2268"/>
          <w:tab w:val="clear" w:pos="2835"/>
        </w:tabs>
        <w:ind w:left="0" w:firstLine="0"/>
      </w:pPr>
      <w:r>
        <w:rPr>
          <w:rFonts w:eastAsia="Calibri"/>
          <w:bCs/>
          <w:kern w:val="2"/>
          <w:szCs w:val="24"/>
          <w14:ligatures w14:val="standardContextual"/>
        </w:rPr>
        <w:t>4</w:t>
      </w:r>
      <w:r>
        <w:rPr>
          <w:rFonts w:eastAsia="Calibri"/>
          <w:bCs/>
          <w:kern w:val="2"/>
          <w:szCs w:val="24"/>
          <w14:ligatures w14:val="standardContextual"/>
        </w:rPr>
        <w:tab/>
      </w:r>
      <w:r>
        <w:t>Introduction and d</w:t>
      </w:r>
      <w:r w:rsidRPr="00A833C4">
        <w:t>iscussion o</w:t>
      </w:r>
      <w:r>
        <w:t>f</w:t>
      </w:r>
      <w:r w:rsidRPr="00A833C4">
        <w:t xml:space="preserve"> contributions received on the draft Final Report of the EG-ITRs</w:t>
      </w:r>
    </w:p>
    <w:p w14:paraId="551B8C1B" w14:textId="77777777" w:rsidR="00FF6458" w:rsidRDefault="00FF6458" w:rsidP="00FF6458">
      <w:pPr>
        <w:tabs>
          <w:tab w:val="clear" w:pos="567"/>
          <w:tab w:val="clear" w:pos="1134"/>
          <w:tab w:val="clear" w:pos="1701"/>
          <w:tab w:val="clear" w:pos="2268"/>
          <w:tab w:val="clear" w:pos="2835"/>
        </w:tabs>
        <w:jc w:val="both"/>
      </w:pPr>
      <w:r>
        <w:t>The Acting Chair presented Document 4 (</w:t>
      </w:r>
      <w:hyperlink r:id="rId13" w:history="1">
        <w:r w:rsidRPr="00A41CCC">
          <w:rPr>
            <w:rStyle w:val="Hyperlink"/>
            <w:rFonts w:cs="Calibri"/>
            <w:bCs/>
            <w:szCs w:val="24"/>
          </w:rPr>
          <w:t>EG-ITRs-6/</w:t>
        </w:r>
        <w:r w:rsidRPr="00A41CCC">
          <w:rPr>
            <w:rStyle w:val="Hyperlink"/>
          </w:rPr>
          <w:t>4</w:t>
        </w:r>
      </w:hyperlink>
      <w:hyperlink r:id="rId14" w:history="1">
        <w:r w:rsidRPr="00A41CCC">
          <w:rPr>
            <w:rStyle w:val="Hyperlink"/>
            <w:rFonts w:cs="Calibri"/>
            <w:bCs/>
            <w:szCs w:val="24"/>
          </w:rPr>
          <w:t xml:space="preserve"> (Rev.1)</w:t>
        </w:r>
      </w:hyperlink>
      <w:r>
        <w:t xml:space="preserve">) to the Group, the Draft Final Report prepared by the Chair with the support of the Vice Chairs, for consideration and review. </w:t>
      </w:r>
      <w:r w:rsidRPr="00962BD6">
        <w:t xml:space="preserve">The EG-ITRs examined the </w:t>
      </w:r>
      <w:r w:rsidRPr="00C312A5">
        <w:rPr>
          <w:lang w:val="en-US"/>
        </w:rPr>
        <w:t>various</w:t>
      </w:r>
      <w:r w:rsidRPr="00962BD6">
        <w:t xml:space="preserve"> contributions (in the order listed in the agenda), which were noted by the Group. The summaries of the contributions (as submitted by the authors of the documents) are provided below.</w:t>
      </w:r>
      <w:r>
        <w:t xml:space="preserve"> </w:t>
      </w:r>
    </w:p>
    <w:p w14:paraId="1CDACAA4" w14:textId="77777777" w:rsidR="00FF6458" w:rsidRPr="007B3646" w:rsidRDefault="00FF6458" w:rsidP="00FF6458">
      <w:pPr>
        <w:pStyle w:val="Heading2"/>
        <w:keepNext w:val="0"/>
        <w:keepLines w:val="0"/>
        <w:tabs>
          <w:tab w:val="clear" w:pos="567"/>
          <w:tab w:val="clear" w:pos="1134"/>
          <w:tab w:val="clear" w:pos="1701"/>
          <w:tab w:val="clear" w:pos="2268"/>
          <w:tab w:val="clear" w:pos="2835"/>
        </w:tabs>
        <w:spacing w:before="240"/>
        <w:ind w:left="0" w:firstLine="0"/>
        <w:jc w:val="both"/>
        <w:rPr>
          <w:rFonts w:cs="Calibri"/>
          <w:bCs/>
          <w:szCs w:val="24"/>
        </w:rPr>
      </w:pPr>
      <w:r>
        <w:t>4.1</w:t>
      </w:r>
      <w:r>
        <w:tab/>
      </w:r>
      <w:r w:rsidRPr="00962BD6">
        <w:rPr>
          <w:rFonts w:cs="Calibri"/>
          <w:bCs/>
          <w:szCs w:val="24"/>
        </w:rPr>
        <w:t xml:space="preserve">Contribution </w:t>
      </w:r>
      <w:hyperlink r:id="rId15" w:history="1">
        <w:r>
          <w:rPr>
            <w:rStyle w:val="Hyperlink"/>
            <w:rFonts w:cs="Calibri"/>
            <w:bCs/>
            <w:szCs w:val="24"/>
          </w:rPr>
          <w:t>EG-ITRs-6/5</w:t>
        </w:r>
      </w:hyperlink>
      <w:r w:rsidRPr="00962BD6">
        <w:rPr>
          <w:rFonts w:cs="Calibri"/>
          <w:bCs/>
          <w:szCs w:val="24"/>
        </w:rPr>
        <w:t xml:space="preserve">, </w:t>
      </w:r>
      <w:r w:rsidRPr="00292296">
        <w:rPr>
          <w:rFonts w:cs="Calibri"/>
          <w:bCs/>
          <w:szCs w:val="24"/>
        </w:rPr>
        <w:t>RCC Executive Committee, Belarus, Center for Global IT-Cooperation, MegaFon Open Joint Stock Company (Russian Federation), PJSC «Rostelecom» (Russian Federation), Tajikistan</w:t>
      </w:r>
    </w:p>
    <w:p w14:paraId="109CBF76" w14:textId="77777777" w:rsidR="00FF6458" w:rsidRDefault="00FF6458" w:rsidP="00FF6458">
      <w:pPr>
        <w:pStyle w:val="Heading3"/>
        <w:keepNext w:val="0"/>
        <w:keepLines w:val="0"/>
        <w:tabs>
          <w:tab w:val="clear" w:pos="567"/>
          <w:tab w:val="clear" w:pos="1134"/>
          <w:tab w:val="clear" w:pos="1701"/>
          <w:tab w:val="clear" w:pos="2268"/>
          <w:tab w:val="clear" w:pos="2835"/>
        </w:tabs>
        <w:spacing w:before="120"/>
        <w:ind w:left="0" w:firstLine="0"/>
      </w:pPr>
      <w:r>
        <w:t>4.1.1</w:t>
      </w:r>
      <w:r>
        <w:tab/>
        <w:t>Summary</w:t>
      </w:r>
    </w:p>
    <w:p w14:paraId="6869C916" w14:textId="77777777" w:rsidR="00FF6458" w:rsidRPr="003B1A41" w:rsidRDefault="00FF6458" w:rsidP="00FF6458">
      <w:pPr>
        <w:pStyle w:val="Heading3"/>
        <w:tabs>
          <w:tab w:val="clear" w:pos="567"/>
          <w:tab w:val="clear" w:pos="1134"/>
          <w:tab w:val="clear" w:pos="1701"/>
          <w:tab w:val="clear" w:pos="2268"/>
          <w:tab w:val="clear" w:pos="2835"/>
        </w:tabs>
        <w:ind w:left="0" w:firstLine="0"/>
        <w:jc w:val="both"/>
        <w:rPr>
          <w:rFonts w:cs="Calibri"/>
          <w:b w:val="0"/>
          <w:szCs w:val="24"/>
        </w:rPr>
      </w:pPr>
      <w:r w:rsidRPr="003B1A41">
        <w:rPr>
          <w:rFonts w:cs="Calibri"/>
          <w:b w:val="0"/>
          <w:szCs w:val="24"/>
        </w:rPr>
        <w:t>Contribution EG-ITRs-6/4 by Belarus (Republic of), Tajikistan (Republic of), Center for Global IT-Cooperation, MegaFon Open Joint Stock Company, PJSC «Rostelecom», and the Regional Commonwealth in the Field of Communications (Executive Committee) provides a long-standing position of representatives of the CIS/RCC region that the ITRs should be an evolving international treaty, regularly revised to take into account the rapidly changing technological environment.</w:t>
      </w:r>
    </w:p>
    <w:p w14:paraId="3D544C2D" w14:textId="77777777" w:rsidR="00FF6458" w:rsidRDefault="00FF6458" w:rsidP="00FF6458">
      <w:pPr>
        <w:pStyle w:val="Heading3"/>
        <w:keepNext w:val="0"/>
        <w:keepLines w:val="0"/>
        <w:tabs>
          <w:tab w:val="clear" w:pos="567"/>
          <w:tab w:val="clear" w:pos="1134"/>
          <w:tab w:val="clear" w:pos="1701"/>
          <w:tab w:val="clear" w:pos="2268"/>
          <w:tab w:val="clear" w:pos="2835"/>
        </w:tabs>
        <w:spacing w:before="120"/>
        <w:ind w:left="0" w:firstLine="0"/>
        <w:jc w:val="both"/>
        <w:rPr>
          <w:rFonts w:cs="Calibri"/>
          <w:b w:val="0"/>
          <w:szCs w:val="24"/>
        </w:rPr>
      </w:pPr>
      <w:r w:rsidRPr="003B1A41">
        <w:rPr>
          <w:rFonts w:cs="Calibri"/>
          <w:b w:val="0"/>
          <w:szCs w:val="24"/>
        </w:rPr>
        <w:t>The contribution stands for including as an option in the Group's final report the holding of an WCIT to review and revise the ITRs pursuant to the decisions of the Plenipotentiary Conference 2026, underlining that the Vienna Convention on the Law of Treaties, the Constitution and the Convention of the ITU provide the right of ITU Member States that are parties to the ITRs being interested and having an intend to implement it to revise this international treaty.</w:t>
      </w:r>
    </w:p>
    <w:p w14:paraId="65FB2580" w14:textId="77777777" w:rsidR="00FF6458" w:rsidRDefault="00FF6458" w:rsidP="00FF6458">
      <w:pPr>
        <w:pStyle w:val="Heading3"/>
        <w:keepNext w:val="0"/>
        <w:keepLines w:val="0"/>
        <w:tabs>
          <w:tab w:val="clear" w:pos="567"/>
          <w:tab w:val="clear" w:pos="1134"/>
          <w:tab w:val="clear" w:pos="1701"/>
          <w:tab w:val="clear" w:pos="2268"/>
          <w:tab w:val="clear" w:pos="2835"/>
        </w:tabs>
        <w:spacing w:before="120"/>
        <w:ind w:left="0" w:firstLine="0"/>
      </w:pPr>
      <w:r>
        <w:t>4.1.2</w:t>
      </w:r>
      <w:r>
        <w:tab/>
        <w:t>Discussion</w:t>
      </w:r>
    </w:p>
    <w:p w14:paraId="6EDA8074" w14:textId="77777777" w:rsidR="00FF6458" w:rsidRDefault="00FF6458" w:rsidP="00FF6458">
      <w:pPr>
        <w:tabs>
          <w:tab w:val="clear" w:pos="567"/>
          <w:tab w:val="clear" w:pos="1134"/>
          <w:tab w:val="clear" w:pos="1701"/>
          <w:tab w:val="clear" w:pos="2268"/>
          <w:tab w:val="clear" w:pos="2835"/>
        </w:tabs>
        <w:jc w:val="both"/>
      </w:pPr>
      <w:r>
        <w:t>(a)</w:t>
      </w:r>
      <w:r>
        <w:tab/>
        <w:t xml:space="preserve">Some members welcomed this contribution, noting its timeliness, relevance and the importance of considering the next steps for the ITRs at PP 2026. Some members </w:t>
      </w:r>
      <w:proofErr w:type="gramStart"/>
      <w:r>
        <w:t>were of the opinion that</w:t>
      </w:r>
      <w:proofErr w:type="gramEnd"/>
      <w:r>
        <w:t xml:space="preserve"> the Final Report already contains provisions that cover the proposal contained in this contribution. Some members </w:t>
      </w:r>
      <w:proofErr w:type="gramStart"/>
      <w:r>
        <w:t>were of the opinion that</w:t>
      </w:r>
      <w:proofErr w:type="gramEnd"/>
      <w:r>
        <w:t xml:space="preserve"> the contribution is outside the terms of reference of the Group and that PP 2026 can decide on the way forward in respect of the ITRs. </w:t>
      </w:r>
    </w:p>
    <w:p w14:paraId="4F7EE3FE" w14:textId="77777777" w:rsidR="00FF6458" w:rsidRPr="003E312C" w:rsidRDefault="00FF6458" w:rsidP="00FF6458">
      <w:pPr>
        <w:tabs>
          <w:tab w:val="clear" w:pos="567"/>
          <w:tab w:val="clear" w:pos="1134"/>
          <w:tab w:val="clear" w:pos="1701"/>
          <w:tab w:val="clear" w:pos="2268"/>
          <w:tab w:val="clear" w:pos="2835"/>
        </w:tabs>
        <w:jc w:val="both"/>
        <w:rPr>
          <w:b/>
          <w:bCs/>
        </w:rPr>
      </w:pPr>
      <w:r>
        <w:t>(b)</w:t>
      </w:r>
      <w:r>
        <w:tab/>
        <w:t>The contribution was noted.</w:t>
      </w:r>
    </w:p>
    <w:p w14:paraId="51FD58DF" w14:textId="77777777" w:rsidR="00FF6458" w:rsidRPr="007B3646" w:rsidRDefault="00FF6458" w:rsidP="00FF6458">
      <w:pPr>
        <w:pStyle w:val="Heading2"/>
        <w:keepNext w:val="0"/>
        <w:keepLines w:val="0"/>
        <w:tabs>
          <w:tab w:val="clear" w:pos="567"/>
          <w:tab w:val="clear" w:pos="1134"/>
          <w:tab w:val="clear" w:pos="1701"/>
          <w:tab w:val="clear" w:pos="2268"/>
          <w:tab w:val="clear" w:pos="2835"/>
        </w:tabs>
        <w:spacing w:before="240"/>
        <w:ind w:left="0" w:firstLine="0"/>
        <w:rPr>
          <w:rFonts w:cs="Calibri"/>
          <w:bCs/>
          <w:szCs w:val="24"/>
        </w:rPr>
      </w:pPr>
      <w:r>
        <w:t>4.2</w:t>
      </w:r>
      <w:r>
        <w:tab/>
      </w:r>
      <w:r w:rsidRPr="00962BD6">
        <w:rPr>
          <w:rFonts w:cs="Calibri"/>
          <w:bCs/>
          <w:szCs w:val="24"/>
        </w:rPr>
        <w:t xml:space="preserve">Contribution </w:t>
      </w:r>
      <w:hyperlink r:id="rId16" w:history="1">
        <w:r>
          <w:rPr>
            <w:rStyle w:val="Hyperlink"/>
            <w:rFonts w:cs="Calibri"/>
            <w:bCs/>
            <w:szCs w:val="24"/>
          </w:rPr>
          <w:t>EG-ITRs-6/6</w:t>
        </w:r>
      </w:hyperlink>
      <w:r w:rsidRPr="00962BD6">
        <w:rPr>
          <w:rFonts w:cs="Calibri"/>
          <w:bCs/>
          <w:szCs w:val="24"/>
        </w:rPr>
        <w:t xml:space="preserve">, </w:t>
      </w:r>
      <w:r>
        <w:rPr>
          <w:rFonts w:cs="Calibri"/>
          <w:bCs/>
          <w:szCs w:val="24"/>
        </w:rPr>
        <w:t>United States of America</w:t>
      </w:r>
    </w:p>
    <w:p w14:paraId="7F47356E" w14:textId="77777777" w:rsidR="00FF6458" w:rsidRDefault="00FF6458" w:rsidP="00FF6458">
      <w:pPr>
        <w:pStyle w:val="Heading3"/>
        <w:keepNext w:val="0"/>
        <w:keepLines w:val="0"/>
        <w:tabs>
          <w:tab w:val="clear" w:pos="567"/>
          <w:tab w:val="clear" w:pos="1134"/>
          <w:tab w:val="clear" w:pos="1701"/>
          <w:tab w:val="clear" w:pos="2268"/>
          <w:tab w:val="clear" w:pos="2835"/>
        </w:tabs>
        <w:spacing w:before="120"/>
        <w:ind w:left="0" w:firstLine="0"/>
      </w:pPr>
      <w:r>
        <w:t>4.2.1</w:t>
      </w:r>
      <w:r>
        <w:tab/>
        <w:t>Summary</w:t>
      </w:r>
    </w:p>
    <w:p w14:paraId="69D9B5AB" w14:textId="77777777" w:rsidR="00FF6458" w:rsidRPr="00E17013" w:rsidRDefault="00FF6458" w:rsidP="00FF6458">
      <w:pPr>
        <w:pStyle w:val="Heading3"/>
        <w:tabs>
          <w:tab w:val="clear" w:pos="567"/>
          <w:tab w:val="left" w:pos="0"/>
        </w:tabs>
        <w:spacing w:before="120"/>
        <w:ind w:left="0" w:firstLine="0"/>
        <w:jc w:val="both"/>
        <w:rPr>
          <w:rFonts w:cs="Calibri"/>
          <w:b w:val="0"/>
          <w:bCs/>
          <w:szCs w:val="24"/>
          <w:lang w:val="en-US"/>
        </w:rPr>
      </w:pPr>
      <w:r w:rsidRPr="00E17013">
        <w:rPr>
          <w:rFonts w:cs="Calibri"/>
          <w:b w:val="0"/>
          <w:bCs/>
          <w:szCs w:val="24"/>
          <w:lang w:val="en-US"/>
        </w:rPr>
        <w:t>This contribution expresses U.S. support for the draft final Report of the EG-ITRs to ITU Council 2026</w:t>
      </w:r>
      <w:r w:rsidRPr="00732E30">
        <w:rPr>
          <w:rFonts w:cs="Calibri"/>
          <w:b w:val="0"/>
          <w:bCs/>
          <w:szCs w:val="24"/>
        </w:rPr>
        <w:t xml:space="preserve"> (doc. </w:t>
      </w:r>
      <w:hyperlink r:id="rId17" w:history="1">
        <w:r w:rsidRPr="00732E30">
          <w:rPr>
            <w:rStyle w:val="Hyperlink"/>
            <w:rFonts w:cs="Calibri"/>
            <w:b w:val="0"/>
            <w:bCs/>
            <w:szCs w:val="24"/>
          </w:rPr>
          <w:t>EG-ITRs-6/4</w:t>
        </w:r>
      </w:hyperlink>
      <w:r w:rsidRPr="00E17013">
        <w:rPr>
          <w:rFonts w:cs="Calibri"/>
          <w:b w:val="0"/>
          <w:bCs/>
          <w:szCs w:val="24"/>
          <w:lang w:val="en-US"/>
        </w:rPr>
        <w:t>); asks the ITU Secretariat to provide a financial estimate of the costs incurred by the 2023-2026 cycle of the EG-ITRs; and provides general observations on the nature of the contributions, in order to inform upcoming discussions and decisions at the ITU Plenipotentiary Conference 2026 on the future of the EG-ITRs.</w:t>
      </w:r>
    </w:p>
    <w:p w14:paraId="601B52EF" w14:textId="77777777" w:rsidR="00FF6458" w:rsidRDefault="00FF6458" w:rsidP="00FF6458">
      <w:pPr>
        <w:pStyle w:val="Heading3"/>
        <w:keepNext w:val="0"/>
        <w:keepLines w:val="0"/>
        <w:tabs>
          <w:tab w:val="clear" w:pos="567"/>
          <w:tab w:val="clear" w:pos="1134"/>
          <w:tab w:val="clear" w:pos="1701"/>
          <w:tab w:val="clear" w:pos="2268"/>
          <w:tab w:val="clear" w:pos="2835"/>
        </w:tabs>
        <w:spacing w:before="120"/>
        <w:ind w:left="0" w:firstLine="0"/>
      </w:pPr>
      <w:r>
        <w:t>4.2.2</w:t>
      </w:r>
      <w:r>
        <w:tab/>
        <w:t>Discussion</w:t>
      </w:r>
    </w:p>
    <w:p w14:paraId="134997A8" w14:textId="77777777" w:rsidR="00FF6458" w:rsidRDefault="00FF6458" w:rsidP="00FF6458">
      <w:pPr>
        <w:tabs>
          <w:tab w:val="clear" w:pos="567"/>
          <w:tab w:val="clear" w:pos="1134"/>
          <w:tab w:val="clear" w:pos="1701"/>
          <w:tab w:val="clear" w:pos="2268"/>
          <w:tab w:val="clear" w:pos="2835"/>
        </w:tabs>
        <w:jc w:val="both"/>
      </w:pPr>
      <w:r>
        <w:t>(a)</w:t>
      </w:r>
      <w:r>
        <w:tab/>
        <w:t xml:space="preserve">Some members expressed support for the request for an estimated budget breakdown as contained in this contribution noting that such a financial assessment and transparency on costs is important to help consider the future of the EG-ITRs, while some members were of the opinion that such financial matters are not within the remit of the Group and can be discussed by Council or PP 2026 if needed. </w:t>
      </w:r>
    </w:p>
    <w:p w14:paraId="094BD30A" w14:textId="77777777" w:rsidR="00FF6458" w:rsidRDefault="00FF6458" w:rsidP="00FF6458">
      <w:pPr>
        <w:tabs>
          <w:tab w:val="clear" w:pos="567"/>
          <w:tab w:val="clear" w:pos="1134"/>
          <w:tab w:val="clear" w:pos="1701"/>
          <w:tab w:val="clear" w:pos="2268"/>
          <w:tab w:val="clear" w:pos="2835"/>
        </w:tabs>
        <w:jc w:val="both"/>
        <w:rPr>
          <w:i/>
          <w:iCs/>
        </w:rPr>
      </w:pPr>
      <w:r>
        <w:t>(b)</w:t>
      </w:r>
      <w:r>
        <w:tab/>
        <w:t>Some members expressed support for the proposal in this contribution to consider the Final Report approved based on discussions at the previous meeting of the Group. Some members expressed the opinion that the Group had not agreed that the Report was approved at the last meeting and that it is pending discussion at this meeting.</w:t>
      </w:r>
    </w:p>
    <w:p w14:paraId="3CEBD34A" w14:textId="77777777" w:rsidR="00FF6458" w:rsidRDefault="00FF6458" w:rsidP="00FF6458">
      <w:pPr>
        <w:tabs>
          <w:tab w:val="clear" w:pos="567"/>
          <w:tab w:val="clear" w:pos="1134"/>
          <w:tab w:val="clear" w:pos="1701"/>
          <w:tab w:val="clear" w:pos="2268"/>
          <w:tab w:val="clear" w:pos="2835"/>
        </w:tabs>
        <w:jc w:val="both"/>
      </w:pPr>
      <w:r>
        <w:t>(c)</w:t>
      </w:r>
      <w:r>
        <w:tab/>
        <w:t>The contribution was noted.</w:t>
      </w:r>
    </w:p>
    <w:p w14:paraId="3E15A19D" w14:textId="77777777" w:rsidR="00FF6458" w:rsidRPr="007B3646" w:rsidRDefault="00FF6458" w:rsidP="00FF6458">
      <w:pPr>
        <w:pStyle w:val="Heading2"/>
        <w:keepNext w:val="0"/>
        <w:keepLines w:val="0"/>
        <w:tabs>
          <w:tab w:val="clear" w:pos="567"/>
          <w:tab w:val="clear" w:pos="1134"/>
          <w:tab w:val="clear" w:pos="1701"/>
          <w:tab w:val="clear" w:pos="2268"/>
          <w:tab w:val="clear" w:pos="2835"/>
        </w:tabs>
        <w:spacing w:before="240"/>
        <w:ind w:left="0" w:firstLine="0"/>
        <w:jc w:val="both"/>
        <w:rPr>
          <w:rFonts w:cs="Calibri"/>
          <w:bCs/>
          <w:szCs w:val="24"/>
        </w:rPr>
      </w:pPr>
      <w:r>
        <w:t>4.3</w:t>
      </w:r>
      <w:r>
        <w:tab/>
      </w:r>
      <w:r w:rsidRPr="00962BD6">
        <w:rPr>
          <w:rFonts w:cs="Calibri"/>
          <w:bCs/>
          <w:szCs w:val="24"/>
        </w:rPr>
        <w:t xml:space="preserve">Contribution </w:t>
      </w:r>
      <w:hyperlink r:id="rId18" w:history="1">
        <w:r w:rsidRPr="001B73F8">
          <w:rPr>
            <w:rStyle w:val="Hyperlink"/>
          </w:rPr>
          <w:t>EG-ITRs-6/8</w:t>
        </w:r>
      </w:hyperlink>
      <w:r w:rsidRPr="00962BD6">
        <w:rPr>
          <w:rFonts w:cs="Calibri"/>
          <w:bCs/>
          <w:szCs w:val="24"/>
        </w:rPr>
        <w:t xml:space="preserve">, </w:t>
      </w:r>
      <w:r w:rsidRPr="00F6674D">
        <w:rPr>
          <w:rFonts w:cs="Calibri"/>
          <w:bCs/>
          <w:szCs w:val="24"/>
        </w:rPr>
        <w:t>Bulgaria, the Czech Republic, Denmark, Finland, Germany, Lithuania, Sweden and the United Kingdom of Great Britain and Northern Ireland</w:t>
      </w:r>
    </w:p>
    <w:p w14:paraId="5EE5D4CE" w14:textId="77777777" w:rsidR="00FF6458" w:rsidRDefault="00FF6458" w:rsidP="00FF6458">
      <w:pPr>
        <w:pStyle w:val="Heading3"/>
        <w:keepNext w:val="0"/>
        <w:keepLines w:val="0"/>
        <w:tabs>
          <w:tab w:val="clear" w:pos="567"/>
          <w:tab w:val="clear" w:pos="1134"/>
          <w:tab w:val="clear" w:pos="1701"/>
          <w:tab w:val="clear" w:pos="2268"/>
          <w:tab w:val="clear" w:pos="2835"/>
        </w:tabs>
        <w:spacing w:before="120"/>
        <w:ind w:left="0" w:firstLine="0"/>
      </w:pPr>
      <w:r>
        <w:t>4.3.1</w:t>
      </w:r>
      <w:r>
        <w:tab/>
        <w:t>Summary</w:t>
      </w:r>
    </w:p>
    <w:p w14:paraId="3221DBB2" w14:textId="77777777" w:rsidR="00FF6458" w:rsidRPr="006B328A" w:rsidRDefault="00FF6458" w:rsidP="00FF6458">
      <w:pPr>
        <w:pStyle w:val="Heading3"/>
        <w:keepNext w:val="0"/>
        <w:keepLines w:val="0"/>
        <w:tabs>
          <w:tab w:val="clear" w:pos="567"/>
          <w:tab w:val="clear" w:pos="1134"/>
          <w:tab w:val="clear" w:pos="1701"/>
          <w:tab w:val="clear" w:pos="2268"/>
          <w:tab w:val="clear" w:pos="2835"/>
        </w:tabs>
        <w:spacing w:before="120"/>
        <w:ind w:left="0" w:firstLine="0"/>
        <w:jc w:val="both"/>
        <w:rPr>
          <w:rFonts w:cs="Calibri"/>
          <w:b w:val="0"/>
          <w:szCs w:val="24"/>
        </w:rPr>
      </w:pPr>
      <w:r w:rsidRPr="00F6674D">
        <w:rPr>
          <w:rFonts w:cs="Calibri"/>
          <w:b w:val="0"/>
          <w:szCs w:val="24"/>
        </w:rPr>
        <w:t>Bulgaria, the Czech Republic, Denmark, Finland, Germany, Lithuania, Sweden and the United Kingdom of Great Britain and Northern Ireland thank the Chair, Vice-Chairs, Management Team and Secretariat for their extensive work. The draft final report is a balanced and accurate reflection of the EG-ITRs discussions and faithfully captures the diversity of views expressed. It correctly reflects that no consensus exists within the Group on the role, relevance or future of the ITRs, or on the way forward. The report should therefore be transmitted to Council as a factual record of the Group’s work.</w:t>
      </w:r>
    </w:p>
    <w:p w14:paraId="57F614FA" w14:textId="77777777" w:rsidR="00FF6458" w:rsidRDefault="00FF6458" w:rsidP="00FF6458">
      <w:pPr>
        <w:pStyle w:val="Heading3"/>
        <w:tabs>
          <w:tab w:val="clear" w:pos="567"/>
          <w:tab w:val="clear" w:pos="1134"/>
          <w:tab w:val="clear" w:pos="1701"/>
          <w:tab w:val="clear" w:pos="2268"/>
          <w:tab w:val="clear" w:pos="2835"/>
        </w:tabs>
        <w:spacing w:before="120"/>
        <w:ind w:left="0" w:firstLine="0"/>
      </w:pPr>
      <w:r>
        <w:t>4.3.2</w:t>
      </w:r>
      <w:r>
        <w:tab/>
        <w:t>Discussion</w:t>
      </w:r>
    </w:p>
    <w:p w14:paraId="168FA871" w14:textId="77777777" w:rsidR="00FF6458" w:rsidRDefault="00FF6458" w:rsidP="00FF6458">
      <w:pPr>
        <w:keepNext/>
        <w:keepLines/>
        <w:tabs>
          <w:tab w:val="clear" w:pos="567"/>
          <w:tab w:val="clear" w:pos="1134"/>
          <w:tab w:val="clear" w:pos="1701"/>
          <w:tab w:val="clear" w:pos="2268"/>
          <w:tab w:val="clear" w:pos="2835"/>
        </w:tabs>
        <w:jc w:val="both"/>
        <w:rPr>
          <w:i/>
          <w:iCs/>
        </w:rPr>
      </w:pPr>
      <w:r>
        <w:t>(a)</w:t>
      </w:r>
      <w:r>
        <w:tab/>
        <w:t xml:space="preserve">Some members expressed support for this contribution regarding approval of the Final Report at the previous meeting of the Group. Some members </w:t>
      </w:r>
      <w:proofErr w:type="gramStart"/>
      <w:r>
        <w:t>were of the opinion that</w:t>
      </w:r>
      <w:proofErr w:type="gramEnd"/>
      <w:r>
        <w:t xml:space="preserve"> the Group had not agreed that the Report was approved at the last meeting and that it is pending discussion at this meeting.</w:t>
      </w:r>
    </w:p>
    <w:p w14:paraId="203DC6ED" w14:textId="77777777" w:rsidR="00FF6458" w:rsidRDefault="00FF6458" w:rsidP="00FF6458">
      <w:pPr>
        <w:tabs>
          <w:tab w:val="clear" w:pos="567"/>
          <w:tab w:val="clear" w:pos="1134"/>
          <w:tab w:val="clear" w:pos="1701"/>
          <w:tab w:val="clear" w:pos="2268"/>
          <w:tab w:val="clear" w:pos="2835"/>
        </w:tabs>
        <w:jc w:val="both"/>
      </w:pPr>
      <w:r>
        <w:t>(b)</w:t>
      </w:r>
      <w:r>
        <w:tab/>
        <w:t>This contribution was noted.</w:t>
      </w:r>
      <w:r>
        <w:tab/>
      </w:r>
    </w:p>
    <w:p w14:paraId="7D053DB2" w14:textId="77777777" w:rsidR="00FF6458" w:rsidRPr="00962BD6" w:rsidRDefault="00FF6458" w:rsidP="00FF6458">
      <w:pPr>
        <w:pStyle w:val="Heading1"/>
        <w:keepNext w:val="0"/>
        <w:keepLines w:val="0"/>
        <w:tabs>
          <w:tab w:val="clear" w:pos="567"/>
          <w:tab w:val="clear" w:pos="1134"/>
          <w:tab w:val="clear" w:pos="1701"/>
          <w:tab w:val="clear" w:pos="2268"/>
          <w:tab w:val="clear" w:pos="2835"/>
        </w:tabs>
        <w:ind w:left="709" w:hanging="709"/>
      </w:pPr>
      <w:r>
        <w:rPr>
          <w:rFonts w:eastAsia="Calibri"/>
          <w:bCs/>
          <w:kern w:val="2"/>
          <w:szCs w:val="24"/>
          <w14:ligatures w14:val="standardContextual"/>
        </w:rPr>
        <w:t>5</w:t>
      </w:r>
      <w:r>
        <w:rPr>
          <w:rFonts w:eastAsia="Calibri"/>
          <w:bCs/>
          <w:kern w:val="2"/>
          <w:szCs w:val="24"/>
          <w14:ligatures w14:val="standardContextual"/>
        </w:rPr>
        <w:tab/>
      </w:r>
      <w:r w:rsidRPr="00A833C4">
        <w:t xml:space="preserve">Approval of the draft Final Report of the EG-ITRs to </w:t>
      </w:r>
      <w:r>
        <w:t xml:space="preserve">the </w:t>
      </w:r>
      <w:r w:rsidRPr="00A833C4">
        <w:t xml:space="preserve">ITU Council 2026 for subsequent submission to </w:t>
      </w:r>
      <w:r>
        <w:t xml:space="preserve">the </w:t>
      </w:r>
      <w:r w:rsidRPr="00A833C4">
        <w:t>ITU PP 2026</w:t>
      </w:r>
    </w:p>
    <w:p w14:paraId="4D1CE06E" w14:textId="77777777" w:rsidR="00FF6458" w:rsidRDefault="00FF6458" w:rsidP="00FF6458">
      <w:pPr>
        <w:tabs>
          <w:tab w:val="clear" w:pos="567"/>
          <w:tab w:val="clear" w:pos="1134"/>
          <w:tab w:val="clear" w:pos="1701"/>
          <w:tab w:val="clear" w:pos="2268"/>
          <w:tab w:val="clear" w:pos="2835"/>
        </w:tabs>
        <w:overflowPunct/>
        <w:autoSpaceDE/>
        <w:autoSpaceDN/>
        <w:snapToGrid w:val="0"/>
        <w:jc w:val="both"/>
        <w:textAlignment w:val="auto"/>
        <w:rPr>
          <w:szCs w:val="24"/>
        </w:rPr>
      </w:pPr>
      <w:r w:rsidRPr="009C60D6">
        <w:rPr>
          <w:b/>
          <w:bCs/>
          <w:szCs w:val="24"/>
        </w:rPr>
        <w:t>5.1</w:t>
      </w:r>
      <w:r w:rsidRPr="009C60D6">
        <w:rPr>
          <w:b/>
          <w:bCs/>
          <w:szCs w:val="24"/>
        </w:rPr>
        <w:tab/>
      </w:r>
      <w:r>
        <w:rPr>
          <w:szCs w:val="24"/>
        </w:rPr>
        <w:t>The Draft Final Report (</w:t>
      </w:r>
      <w:hyperlink r:id="rId19" w:history="1">
        <w:r>
          <w:rPr>
            <w:rStyle w:val="Hyperlink"/>
            <w:rFonts w:cs="Calibri"/>
            <w:bCs/>
            <w:szCs w:val="24"/>
          </w:rPr>
          <w:t xml:space="preserve">EG-ITRs-6/4, </w:t>
        </w:r>
        <w:r w:rsidRPr="008D7D50">
          <w:rPr>
            <w:rStyle w:val="Hyperlink"/>
            <w:rFonts w:cs="Calibri"/>
            <w:bCs/>
            <w:szCs w:val="24"/>
          </w:rPr>
          <w:t>Rev.1</w:t>
        </w:r>
      </w:hyperlink>
      <w:r>
        <w:rPr>
          <w:szCs w:val="24"/>
        </w:rPr>
        <w:t xml:space="preserve">) was discussed by the Group and revisions were agreed by consensus. </w:t>
      </w:r>
    </w:p>
    <w:p w14:paraId="67DAC515" w14:textId="77777777" w:rsidR="00FF6458" w:rsidRDefault="00FF6458" w:rsidP="00FF6458">
      <w:pPr>
        <w:tabs>
          <w:tab w:val="clear" w:pos="567"/>
          <w:tab w:val="clear" w:pos="1134"/>
          <w:tab w:val="clear" w:pos="1701"/>
          <w:tab w:val="clear" w:pos="2268"/>
          <w:tab w:val="clear" w:pos="2835"/>
        </w:tabs>
        <w:overflowPunct/>
        <w:autoSpaceDE/>
        <w:autoSpaceDN/>
        <w:snapToGrid w:val="0"/>
        <w:jc w:val="both"/>
        <w:textAlignment w:val="auto"/>
        <w:rPr>
          <w:szCs w:val="24"/>
        </w:rPr>
      </w:pPr>
      <w:r w:rsidRPr="002C6962">
        <w:rPr>
          <w:b/>
          <w:bCs/>
          <w:szCs w:val="24"/>
        </w:rPr>
        <w:t>5.2</w:t>
      </w:r>
      <w:r>
        <w:rPr>
          <w:szCs w:val="24"/>
        </w:rPr>
        <w:tab/>
      </w:r>
      <w:r w:rsidRPr="0059761B">
        <w:rPr>
          <w:rFonts w:cs="Calibri"/>
          <w:bCs/>
          <w:szCs w:val="24"/>
        </w:rPr>
        <w:t xml:space="preserve">The meeting </w:t>
      </w:r>
      <w:r>
        <w:rPr>
          <w:rFonts w:cs="Calibri"/>
          <w:bCs/>
          <w:szCs w:val="24"/>
        </w:rPr>
        <w:t xml:space="preserve">finalized </w:t>
      </w:r>
      <w:r w:rsidRPr="0059761B">
        <w:rPr>
          <w:rFonts w:cs="Calibri"/>
          <w:bCs/>
          <w:szCs w:val="24"/>
        </w:rPr>
        <w:t xml:space="preserve">its work on the </w:t>
      </w:r>
      <w:hyperlink r:id="rId20" w:history="1">
        <w:r w:rsidRPr="00CC2E3E">
          <w:rPr>
            <w:rStyle w:val="Hyperlink"/>
            <w:rFonts w:cs="Calibri"/>
            <w:bCs/>
            <w:szCs w:val="24"/>
          </w:rPr>
          <w:t>Final Report</w:t>
        </w:r>
      </w:hyperlink>
      <w:r>
        <w:rPr>
          <w:szCs w:val="24"/>
        </w:rPr>
        <w:t xml:space="preserve"> </w:t>
      </w:r>
      <w:r w:rsidRPr="0059761B">
        <w:rPr>
          <w:rFonts w:cs="Calibri"/>
          <w:bCs/>
          <w:szCs w:val="24"/>
        </w:rPr>
        <w:t xml:space="preserve">for submission to Council 2026, for onward submission to </w:t>
      </w:r>
      <w:r w:rsidRPr="0059761B">
        <w:t>the 2026 Plenipotentiary Conference with the Council's comments</w:t>
      </w:r>
      <w:r>
        <w:rPr>
          <w:szCs w:val="24"/>
        </w:rPr>
        <w:t>.</w:t>
      </w:r>
    </w:p>
    <w:p w14:paraId="4EC7B0C3" w14:textId="77777777" w:rsidR="00FF6458" w:rsidRPr="00962BD6" w:rsidRDefault="00FF6458" w:rsidP="00FF6458">
      <w:pPr>
        <w:pStyle w:val="Heading1"/>
        <w:keepNext w:val="0"/>
        <w:keepLines w:val="0"/>
        <w:tabs>
          <w:tab w:val="clear" w:pos="567"/>
          <w:tab w:val="clear" w:pos="1134"/>
          <w:tab w:val="clear" w:pos="1701"/>
          <w:tab w:val="clear" w:pos="2268"/>
          <w:tab w:val="clear" w:pos="2835"/>
        </w:tabs>
        <w:ind w:left="0" w:firstLine="0"/>
      </w:pPr>
      <w:r>
        <w:t>6</w:t>
      </w:r>
      <w:r w:rsidRPr="00962BD6">
        <w:tab/>
      </w:r>
      <w:r>
        <w:t>Approval of the Sixth Meeting Report</w:t>
      </w:r>
    </w:p>
    <w:p w14:paraId="5DD50586" w14:textId="77777777" w:rsidR="00FF6458" w:rsidRDefault="00FF6458" w:rsidP="00FF6458">
      <w:pPr>
        <w:tabs>
          <w:tab w:val="clear" w:pos="567"/>
          <w:tab w:val="clear" w:pos="1134"/>
          <w:tab w:val="clear" w:pos="1701"/>
          <w:tab w:val="clear" w:pos="2268"/>
          <w:tab w:val="clear" w:pos="2835"/>
        </w:tabs>
        <w:jc w:val="both"/>
        <w:rPr>
          <w:rFonts w:cs="Calibri"/>
          <w:bCs/>
          <w:szCs w:val="24"/>
        </w:rPr>
      </w:pPr>
      <w:r>
        <w:rPr>
          <w:rFonts w:eastAsia="Calibri"/>
          <w:b/>
          <w:bCs/>
          <w:lang w:eastAsia="zh-CN"/>
        </w:rPr>
        <w:t>6</w:t>
      </w:r>
      <w:r w:rsidRPr="00295FC9">
        <w:rPr>
          <w:rFonts w:eastAsia="Calibri"/>
          <w:b/>
          <w:bCs/>
          <w:lang w:eastAsia="zh-CN"/>
        </w:rPr>
        <w:t>.</w:t>
      </w:r>
      <w:r>
        <w:rPr>
          <w:rFonts w:eastAsia="Calibri"/>
          <w:b/>
          <w:bCs/>
          <w:lang w:eastAsia="zh-CN"/>
        </w:rPr>
        <w:t>1</w:t>
      </w:r>
      <w:r w:rsidRPr="00295FC9">
        <w:rPr>
          <w:rFonts w:eastAsia="Calibri"/>
          <w:b/>
          <w:bCs/>
          <w:lang w:eastAsia="zh-CN"/>
        </w:rPr>
        <w:tab/>
      </w:r>
      <w:r>
        <w:rPr>
          <w:rFonts w:eastAsia="Calibri"/>
          <w:lang w:eastAsia="zh-CN"/>
        </w:rPr>
        <w:t xml:space="preserve">The Chair </w:t>
      </w:r>
      <w:r w:rsidRPr="00962BD6">
        <w:rPr>
          <w:rFonts w:cs="Calibri"/>
          <w:bCs/>
          <w:szCs w:val="24"/>
        </w:rPr>
        <w:t>presented the draft report of the</w:t>
      </w:r>
      <w:r>
        <w:rPr>
          <w:rFonts w:cs="Calibri"/>
          <w:bCs/>
          <w:szCs w:val="24"/>
        </w:rPr>
        <w:t xml:space="preserve"> sixth </w:t>
      </w:r>
      <w:r w:rsidRPr="00962BD6">
        <w:rPr>
          <w:rFonts w:cs="Calibri"/>
          <w:bCs/>
          <w:szCs w:val="24"/>
        </w:rPr>
        <w:t>meeting to the Group for approval. Members considered the</w:t>
      </w:r>
      <w:r>
        <w:rPr>
          <w:rFonts w:cs="Calibri"/>
          <w:bCs/>
          <w:szCs w:val="24"/>
        </w:rPr>
        <w:t xml:space="preserve"> meeting</w:t>
      </w:r>
      <w:r w:rsidRPr="00962BD6">
        <w:rPr>
          <w:rFonts w:cs="Calibri"/>
          <w:bCs/>
          <w:szCs w:val="24"/>
        </w:rPr>
        <w:t xml:space="preserve"> </w:t>
      </w:r>
      <w:r>
        <w:rPr>
          <w:rFonts w:cs="Calibri"/>
          <w:bCs/>
          <w:szCs w:val="24"/>
        </w:rPr>
        <w:t>r</w:t>
      </w:r>
      <w:r w:rsidRPr="00962BD6">
        <w:rPr>
          <w:rFonts w:cs="Calibri"/>
          <w:bCs/>
          <w:szCs w:val="24"/>
        </w:rPr>
        <w:t xml:space="preserve">eport and suggested modifications. </w:t>
      </w:r>
    </w:p>
    <w:p w14:paraId="5041D9F8" w14:textId="77777777" w:rsidR="00FF6458" w:rsidRPr="000E2390" w:rsidRDefault="00FF6458" w:rsidP="00FF6458">
      <w:pPr>
        <w:tabs>
          <w:tab w:val="clear" w:pos="567"/>
          <w:tab w:val="clear" w:pos="1134"/>
          <w:tab w:val="clear" w:pos="1701"/>
          <w:tab w:val="clear" w:pos="2268"/>
          <w:tab w:val="clear" w:pos="2835"/>
        </w:tabs>
        <w:jc w:val="both"/>
        <w:rPr>
          <w:rFonts w:cs="Calibri"/>
          <w:bCs/>
          <w:szCs w:val="24"/>
        </w:rPr>
      </w:pPr>
      <w:r>
        <w:rPr>
          <w:b/>
          <w:bCs/>
        </w:rPr>
        <w:t>6</w:t>
      </w:r>
      <w:r w:rsidRPr="00295FC9">
        <w:rPr>
          <w:b/>
          <w:bCs/>
        </w:rPr>
        <w:t>.2</w:t>
      </w:r>
      <w:r w:rsidRPr="00295FC9">
        <w:rPr>
          <w:b/>
          <w:bCs/>
        </w:rPr>
        <w:tab/>
      </w:r>
      <w:r w:rsidRPr="000E2390">
        <w:rPr>
          <w:rFonts w:cs="Calibri"/>
          <w:bCs/>
          <w:szCs w:val="24"/>
        </w:rPr>
        <w:t xml:space="preserve">The </w:t>
      </w:r>
      <w:r>
        <w:rPr>
          <w:rFonts w:cs="Calibri"/>
          <w:bCs/>
          <w:szCs w:val="24"/>
        </w:rPr>
        <w:t>revised</w:t>
      </w:r>
      <w:r w:rsidRPr="000E2390">
        <w:rPr>
          <w:rFonts w:cs="Calibri"/>
          <w:bCs/>
          <w:szCs w:val="24"/>
        </w:rPr>
        <w:t xml:space="preserve"> meeting report was agreed for </w:t>
      </w:r>
      <w:r w:rsidRPr="000E2390">
        <w:rPr>
          <w:lang w:val="en-US"/>
        </w:rPr>
        <w:t>publication</w:t>
      </w:r>
      <w:r w:rsidRPr="000E2390">
        <w:rPr>
          <w:rFonts w:cs="Calibri"/>
          <w:bCs/>
          <w:szCs w:val="24"/>
        </w:rPr>
        <w:t xml:space="preserve"> by the Secretariat.</w:t>
      </w:r>
    </w:p>
    <w:p w14:paraId="0953D557" w14:textId="77777777" w:rsidR="00FF6458" w:rsidRPr="00962BD6" w:rsidRDefault="00FF6458" w:rsidP="00FF6458">
      <w:pPr>
        <w:pStyle w:val="Heading1"/>
        <w:keepNext w:val="0"/>
        <w:keepLines w:val="0"/>
        <w:tabs>
          <w:tab w:val="clear" w:pos="567"/>
          <w:tab w:val="clear" w:pos="1134"/>
          <w:tab w:val="clear" w:pos="1701"/>
          <w:tab w:val="clear" w:pos="2268"/>
          <w:tab w:val="clear" w:pos="2835"/>
        </w:tabs>
        <w:ind w:left="0" w:firstLine="0"/>
      </w:pPr>
      <w:r>
        <w:t>7</w:t>
      </w:r>
      <w:r w:rsidRPr="00962BD6">
        <w:tab/>
        <w:t>Closing of the Meeting</w:t>
      </w:r>
    </w:p>
    <w:p w14:paraId="702C20B3" w14:textId="77777777" w:rsidR="00FF6458" w:rsidRPr="00962BD6" w:rsidRDefault="00FF6458" w:rsidP="00FF6458">
      <w:pPr>
        <w:tabs>
          <w:tab w:val="clear" w:pos="567"/>
          <w:tab w:val="clear" w:pos="1134"/>
          <w:tab w:val="clear" w:pos="1701"/>
          <w:tab w:val="clear" w:pos="2268"/>
          <w:tab w:val="clear" w:pos="2835"/>
        </w:tabs>
        <w:jc w:val="both"/>
        <w:rPr>
          <w:rFonts w:cs="Calibri"/>
          <w:b/>
          <w:szCs w:val="24"/>
        </w:rPr>
      </w:pPr>
      <w:r w:rsidRPr="00962BD6">
        <w:rPr>
          <w:rFonts w:cs="Calibri"/>
          <w:szCs w:val="24"/>
        </w:rPr>
        <w:t>In closing, the</w:t>
      </w:r>
      <w:r>
        <w:rPr>
          <w:rFonts w:cs="Calibri"/>
          <w:szCs w:val="24"/>
        </w:rPr>
        <w:t xml:space="preserve"> Acting</w:t>
      </w:r>
      <w:r w:rsidRPr="00962BD6">
        <w:rPr>
          <w:rFonts w:cs="Calibri"/>
          <w:szCs w:val="24"/>
        </w:rPr>
        <w:t xml:space="preserve"> Chair thanked all the ITU Member States and Sector Members who made contributions and participated in the work of the Expert Group, the </w:t>
      </w:r>
      <w:r>
        <w:rPr>
          <w:rFonts w:cs="Calibri"/>
          <w:szCs w:val="24"/>
        </w:rPr>
        <w:t xml:space="preserve">Chair and </w:t>
      </w:r>
      <w:r w:rsidRPr="00962BD6">
        <w:rPr>
          <w:rFonts w:cs="Calibri"/>
          <w:szCs w:val="24"/>
        </w:rPr>
        <w:t>Vice-Chairs, and ITU Elected Officials</w:t>
      </w:r>
      <w:r>
        <w:rPr>
          <w:rFonts w:cs="Calibri"/>
          <w:szCs w:val="24"/>
        </w:rPr>
        <w:t xml:space="preserve">, </w:t>
      </w:r>
      <w:r w:rsidRPr="00962BD6">
        <w:rPr>
          <w:rFonts w:cs="Calibri"/>
          <w:szCs w:val="24"/>
        </w:rPr>
        <w:t>the Secretariat</w:t>
      </w:r>
      <w:r>
        <w:rPr>
          <w:rFonts w:cs="Calibri"/>
          <w:szCs w:val="24"/>
        </w:rPr>
        <w:t xml:space="preserve">, the interpreters and the remote moderator </w:t>
      </w:r>
      <w:r w:rsidRPr="00962BD6">
        <w:rPr>
          <w:rFonts w:cs="Calibri"/>
          <w:szCs w:val="24"/>
        </w:rPr>
        <w:t xml:space="preserve">for their efficient assistance during the meeting. </w:t>
      </w:r>
      <w:r>
        <w:rPr>
          <w:rFonts w:cs="Calibri"/>
          <w:szCs w:val="24"/>
        </w:rPr>
        <w:t xml:space="preserve">The meeting thanked the Acting Chair, the Chair, the Vice Chairs, the Secretariat, the interpreters and the remote moderator for their efficient support. </w:t>
      </w:r>
    </w:p>
    <w:p w14:paraId="67EF78C6" w14:textId="77777777" w:rsidR="00FF6458" w:rsidRPr="00BD6134" w:rsidRDefault="00FF6458" w:rsidP="00FF6458">
      <w:pPr>
        <w:pStyle w:val="Signature"/>
        <w:tabs>
          <w:tab w:val="clear" w:pos="567"/>
          <w:tab w:val="clear" w:pos="1134"/>
          <w:tab w:val="clear" w:pos="1701"/>
          <w:tab w:val="clear" w:pos="2268"/>
          <w:tab w:val="clear" w:pos="2835"/>
          <w:tab w:val="center" w:pos="7371"/>
        </w:tabs>
        <w:spacing w:before="600"/>
        <w:ind w:left="0"/>
      </w:pPr>
      <w:r>
        <w:tab/>
        <w:t>Vilem Vesely</w:t>
      </w:r>
      <w:r w:rsidRPr="00962BD6">
        <w:t xml:space="preserve"> (</w:t>
      </w:r>
      <w:r>
        <w:t>Czech Republic</w:t>
      </w:r>
      <w:r w:rsidRPr="00962BD6">
        <w:t>)</w:t>
      </w:r>
      <w:r>
        <w:br/>
      </w:r>
      <w:r>
        <w:tab/>
        <w:t xml:space="preserve">Acting </w:t>
      </w:r>
      <w:r w:rsidRPr="00962BD6">
        <w:t>Chair</w:t>
      </w:r>
    </w:p>
    <w:p w14:paraId="68F9269C" w14:textId="77777777" w:rsidR="00FF6458" w:rsidRDefault="00FF6458" w:rsidP="00FF6458">
      <w:pPr>
        <w:tabs>
          <w:tab w:val="clear" w:pos="567"/>
          <w:tab w:val="clear" w:pos="1134"/>
          <w:tab w:val="clear" w:pos="1701"/>
          <w:tab w:val="clear" w:pos="2268"/>
          <w:tab w:val="clear" w:pos="2835"/>
        </w:tabs>
        <w:overflowPunct/>
        <w:autoSpaceDE/>
        <w:autoSpaceDN/>
        <w:adjustRightInd/>
        <w:spacing w:before="0"/>
        <w:textAlignment w:val="auto"/>
      </w:pPr>
      <w:r>
        <w:br w:type="page"/>
      </w:r>
    </w:p>
    <w:p w14:paraId="394B10FB" w14:textId="77777777" w:rsidR="00FF6458" w:rsidRDefault="00FF6458" w:rsidP="00FF6458">
      <w:pPr>
        <w:pStyle w:val="AnnexNo"/>
      </w:pPr>
      <w:bookmarkStart w:id="12" w:name="Annexes"/>
      <w:r>
        <w:t>Annex</w:t>
      </w:r>
      <w:bookmarkEnd w:id="12"/>
    </w:p>
    <w:p w14:paraId="0FD72CA7" w14:textId="77777777" w:rsidR="00FF6458" w:rsidRPr="009E1FA8" w:rsidRDefault="00FF6458" w:rsidP="00FF6458">
      <w:pPr>
        <w:pStyle w:val="Annextitle"/>
      </w:pPr>
      <w:r w:rsidRPr="009E1FA8">
        <w:t xml:space="preserve">Statement by </w:t>
      </w:r>
      <w:r>
        <w:t>Hill</w:t>
      </w:r>
    </w:p>
    <w:p w14:paraId="4CD8B060" w14:textId="77777777" w:rsidR="00FF6458" w:rsidRPr="004D648B" w:rsidRDefault="00FF6458" w:rsidP="00FF6458">
      <w:pPr>
        <w:spacing w:before="160"/>
        <w:rPr>
          <w:b/>
          <w:bCs/>
          <w:sz w:val="26"/>
          <w:szCs w:val="26"/>
        </w:rPr>
      </w:pPr>
      <w:r>
        <w:rPr>
          <w:b/>
          <w:bCs/>
          <w:sz w:val="26"/>
          <w:szCs w:val="26"/>
        </w:rPr>
        <w:t xml:space="preserve">Summary </w:t>
      </w:r>
    </w:p>
    <w:p w14:paraId="2FF32513" w14:textId="77777777" w:rsidR="00FF6458" w:rsidRDefault="00FF6458" w:rsidP="00FF6458">
      <w:pPr>
        <w:tabs>
          <w:tab w:val="clear" w:pos="567"/>
          <w:tab w:val="clear" w:pos="1134"/>
          <w:tab w:val="clear" w:pos="1701"/>
          <w:tab w:val="clear" w:pos="2268"/>
          <w:tab w:val="clear" w:pos="2835"/>
        </w:tabs>
        <w:snapToGrid w:val="0"/>
        <w:spacing w:after="120"/>
        <w:jc w:val="both"/>
      </w:pPr>
      <w:r>
        <w:rPr>
          <w:szCs w:val="24"/>
        </w:rPr>
        <w:t xml:space="preserve">The 1988 ITRs were instrumental in facilitating </w:t>
      </w:r>
      <w:r w:rsidRPr="009E1FA8">
        <w:t>the successful deployment and use of telecommunication services and applications worldwide</w:t>
      </w:r>
      <w:r>
        <w:t xml:space="preserve">, including </w:t>
      </w:r>
      <w:proofErr w:type="gramStart"/>
      <w:r>
        <w:t>in particular the</w:t>
      </w:r>
      <w:proofErr w:type="gramEnd"/>
      <w:r>
        <w:t xml:space="preserve"> expansion of networks based on the TCP/IP protocol and of the services popularly referred to as the Internet</w:t>
      </w:r>
      <w:r>
        <w:rPr>
          <w:szCs w:val="24"/>
        </w:rPr>
        <w:t xml:space="preserve">: Article 9, Special Arrangements, removed restrictions that could have impeded the expansion of such services. We request that the text of this contribution be annexed, as a statement </w:t>
      </w:r>
      <w:proofErr w:type="gramStart"/>
      <w:r>
        <w:rPr>
          <w:szCs w:val="24"/>
        </w:rPr>
        <w:t>from Hill,</w:t>
      </w:r>
      <w:proofErr w:type="gramEnd"/>
      <w:r>
        <w:rPr>
          <w:szCs w:val="24"/>
        </w:rPr>
        <w:t xml:space="preserve"> to the report of the present meeting.</w:t>
      </w:r>
    </w:p>
    <w:p w14:paraId="1DE20759" w14:textId="77777777" w:rsidR="00FF6458" w:rsidRDefault="00FF6458" w:rsidP="00FF6458">
      <w:pPr>
        <w:keepNext/>
        <w:spacing w:before="240" w:after="120"/>
        <w:rPr>
          <w:b/>
          <w:sz w:val="26"/>
          <w:szCs w:val="26"/>
        </w:rPr>
      </w:pPr>
      <w:r>
        <w:rPr>
          <w:b/>
          <w:sz w:val="26"/>
          <w:szCs w:val="26"/>
        </w:rPr>
        <w:t>Background</w:t>
      </w:r>
    </w:p>
    <w:p w14:paraId="034092B7" w14:textId="77777777" w:rsidR="00FF6458" w:rsidRDefault="00FF6458" w:rsidP="00FF6458">
      <w:pPr>
        <w:keepNext/>
        <w:tabs>
          <w:tab w:val="clear" w:pos="567"/>
          <w:tab w:val="clear" w:pos="1134"/>
          <w:tab w:val="clear" w:pos="1701"/>
          <w:tab w:val="clear" w:pos="2268"/>
          <w:tab w:val="clear" w:pos="2835"/>
        </w:tabs>
        <w:snapToGrid w:val="0"/>
        <w:spacing w:after="120"/>
        <w:jc w:val="both"/>
        <w:rPr>
          <w:rStyle w:val="Hyperlink"/>
          <w:color w:val="auto"/>
          <w:u w:val="none"/>
        </w:rPr>
      </w:pPr>
      <w:r>
        <w:t>It its statement annexed to the</w:t>
      </w:r>
      <w:r>
        <w:rPr>
          <w:lang w:val="en-US"/>
        </w:rPr>
        <w:t xml:space="preserve"> report of the fifth meeting of the EG-ITRs (</w:t>
      </w:r>
      <w:hyperlink r:id="rId21" w:history="1">
        <w:r>
          <w:rPr>
            <w:rStyle w:val="Hyperlink"/>
          </w:rPr>
          <w:t>EG-ITRs-5/10</w:t>
        </w:r>
      </w:hyperlink>
      <w:r w:rsidRPr="00C463B1">
        <w:rPr>
          <w:rStyle w:val="Hyperlink"/>
          <w:color w:val="auto"/>
          <w:u w:val="none"/>
        </w:rPr>
        <w:t>)</w:t>
      </w:r>
      <w:r>
        <w:rPr>
          <w:rStyle w:val="Hyperlink"/>
          <w:color w:val="auto"/>
          <w:u w:val="none"/>
        </w:rPr>
        <w:t>, Canada states:</w:t>
      </w:r>
    </w:p>
    <w:p w14:paraId="5F491E7E" w14:textId="77777777" w:rsidR="00FF6458" w:rsidRPr="00131AF8" w:rsidRDefault="00FF6458" w:rsidP="00FF6458">
      <w:pPr>
        <w:tabs>
          <w:tab w:val="clear" w:pos="567"/>
          <w:tab w:val="clear" w:pos="1134"/>
          <w:tab w:val="clear" w:pos="1701"/>
          <w:tab w:val="clear" w:pos="2268"/>
          <w:tab w:val="clear" w:pos="2835"/>
        </w:tabs>
        <w:snapToGrid w:val="0"/>
        <w:spacing w:after="120"/>
        <w:ind w:left="720"/>
        <w:jc w:val="both"/>
        <w:rPr>
          <w:lang w:val="en-US"/>
        </w:rPr>
      </w:pPr>
      <w:r>
        <w:rPr>
          <w:lang w:val="en-US"/>
        </w:rPr>
        <w:t xml:space="preserve">… </w:t>
      </w:r>
      <w:r w:rsidRPr="009E1FA8">
        <w:t>the successful deployment and use of telecommunication services and applications worldwide, as reflected and evidenced in several international telecommunication reports and publications, including those of the ITU, has not been the result of the ITRs</w:t>
      </w:r>
      <w:r>
        <w:t>. …</w:t>
      </w:r>
    </w:p>
    <w:p w14:paraId="1323A178" w14:textId="77777777" w:rsidR="00FF6458" w:rsidRDefault="00FF6458" w:rsidP="00FF6458">
      <w:pPr>
        <w:tabs>
          <w:tab w:val="clear" w:pos="567"/>
          <w:tab w:val="clear" w:pos="1134"/>
          <w:tab w:val="clear" w:pos="1701"/>
          <w:tab w:val="clear" w:pos="2268"/>
          <w:tab w:val="clear" w:pos="2835"/>
        </w:tabs>
        <w:snapToGrid w:val="0"/>
        <w:spacing w:after="120"/>
        <w:jc w:val="both"/>
        <w:rPr>
          <w:szCs w:val="24"/>
        </w:rPr>
      </w:pPr>
      <w:r>
        <w:rPr>
          <w:szCs w:val="24"/>
        </w:rPr>
        <w:t>However, several contributions to the EG-ITRs have set forth a different view.</w:t>
      </w:r>
    </w:p>
    <w:p w14:paraId="58F62CF8" w14:textId="77777777" w:rsidR="00FF6458" w:rsidRPr="00131AF8" w:rsidRDefault="00FF6458" w:rsidP="00FF6458">
      <w:pPr>
        <w:tabs>
          <w:tab w:val="clear" w:pos="567"/>
          <w:tab w:val="clear" w:pos="1134"/>
          <w:tab w:val="clear" w:pos="1701"/>
          <w:tab w:val="clear" w:pos="2268"/>
          <w:tab w:val="clear" w:pos="2835"/>
        </w:tabs>
        <w:snapToGrid w:val="0"/>
        <w:spacing w:after="120"/>
        <w:jc w:val="both"/>
        <w:rPr>
          <w:b/>
          <w:sz w:val="26"/>
          <w:szCs w:val="26"/>
          <w:lang w:val="en-US"/>
        </w:rPr>
      </w:pPr>
      <w:r>
        <w:rPr>
          <w:b/>
          <w:sz w:val="26"/>
          <w:szCs w:val="26"/>
          <w:lang w:val="en-US"/>
        </w:rPr>
        <w:t>Impact of the ITRs</w:t>
      </w:r>
    </w:p>
    <w:p w14:paraId="7727FEA8" w14:textId="77777777" w:rsidR="00FF6458" w:rsidRDefault="00FF6458" w:rsidP="00FF6458">
      <w:pPr>
        <w:tabs>
          <w:tab w:val="clear" w:pos="567"/>
          <w:tab w:val="clear" w:pos="1134"/>
          <w:tab w:val="clear" w:pos="1701"/>
          <w:tab w:val="clear" w:pos="2268"/>
          <w:tab w:val="clear" w:pos="2835"/>
        </w:tabs>
        <w:snapToGrid w:val="0"/>
        <w:spacing w:after="120"/>
        <w:jc w:val="both"/>
        <w:rPr>
          <w:szCs w:val="24"/>
        </w:rPr>
      </w:pPr>
      <w:hyperlink r:id="rId22" w:history="1">
        <w:r>
          <w:rPr>
            <w:rStyle w:val="Hyperlink"/>
          </w:rPr>
          <w:t>EG-ITRs-1/2</w:t>
        </w:r>
      </w:hyperlink>
      <w:r>
        <w:rPr>
          <w:szCs w:val="24"/>
        </w:rPr>
        <w:t xml:space="preserve"> states:</w:t>
      </w:r>
    </w:p>
    <w:p w14:paraId="546167B2" w14:textId="77777777" w:rsidR="00FF6458" w:rsidRPr="00251AAA" w:rsidRDefault="00FF6458" w:rsidP="00FF6458">
      <w:pPr>
        <w:tabs>
          <w:tab w:val="clear" w:pos="567"/>
          <w:tab w:val="clear" w:pos="1134"/>
          <w:tab w:val="clear" w:pos="1701"/>
          <w:tab w:val="clear" w:pos="2268"/>
          <w:tab w:val="clear" w:pos="2835"/>
        </w:tabs>
        <w:snapToGrid w:val="0"/>
        <w:spacing w:after="120"/>
        <w:ind w:left="720"/>
        <w:jc w:val="both"/>
        <w:rPr>
          <w:szCs w:val="24"/>
          <w:lang w:val="en-US"/>
        </w:rPr>
      </w:pPr>
      <w:r w:rsidRPr="00251AAA">
        <w:rPr>
          <w:szCs w:val="24"/>
          <w:lang w:val="en-US"/>
        </w:rPr>
        <w:t>1.8 Further, contrary to what seems to be implied in C 73</w:t>
      </w:r>
      <w:r w:rsidRPr="00251AAA">
        <w:rPr>
          <w:szCs w:val="24"/>
          <w:vertAlign w:val="superscript"/>
          <w:lang w:val="en-US"/>
        </w:rPr>
        <w:footnoteReference w:id="1"/>
      </w:r>
      <w:r w:rsidRPr="00251AAA">
        <w:rPr>
          <w:szCs w:val="24"/>
          <w:lang w:val="en-US"/>
        </w:rPr>
        <w:t>, and C 66</w:t>
      </w:r>
      <w:r w:rsidRPr="00251AAA">
        <w:rPr>
          <w:szCs w:val="24"/>
          <w:vertAlign w:val="superscript"/>
          <w:lang w:val="en-US"/>
        </w:rPr>
        <w:footnoteReference w:id="2"/>
      </w:r>
      <w:r w:rsidRPr="00251AAA">
        <w:rPr>
          <w:szCs w:val="24"/>
          <w:lang w:val="en-US"/>
        </w:rPr>
        <w:t xml:space="preserve">, all international telecommunication services rely on the ITRs to some extent, and the provisions of the ITRs </w:t>
      </w:r>
      <w:r w:rsidRPr="00251AAA">
        <w:rPr>
          <w:b/>
          <w:szCs w:val="24"/>
          <w:u w:val="single"/>
          <w:lang w:val="en-US"/>
        </w:rPr>
        <w:t>are</w:t>
      </w:r>
      <w:r w:rsidRPr="00251AAA">
        <w:rPr>
          <w:szCs w:val="24"/>
          <w:lang w:val="en-US"/>
        </w:rPr>
        <w:t xml:space="preserve"> applicable in fostering the provision and development of international telecommunication/ICT services and networks. While most international telecommunication services no longer use the accounting rates of Article 6 of the 1988 ITRs, Internet traffic is enabled by the Special Arrangements of Article 9 of the 1988 ITRs</w:t>
      </w:r>
      <w:r w:rsidRPr="00251AAA">
        <w:rPr>
          <w:szCs w:val="24"/>
          <w:vertAlign w:val="superscript"/>
          <w:lang w:val="en-US"/>
        </w:rPr>
        <w:footnoteReference w:id="3"/>
      </w:r>
      <w:r w:rsidRPr="00251AAA">
        <w:rPr>
          <w:szCs w:val="24"/>
          <w:lang w:val="en-US"/>
        </w:rPr>
        <w:t xml:space="preserve">. Indeed, the 2012 ITRs recognize the fact, in their Article 8, that accounting rates are no longer prevalent, however Special Provisions were retained as Article 13, </w:t>
      </w:r>
      <w:proofErr w:type="gramStart"/>
      <w:r w:rsidRPr="00251AAA">
        <w:rPr>
          <w:szCs w:val="24"/>
          <w:lang w:val="en-US"/>
        </w:rPr>
        <w:t>in order to</w:t>
      </w:r>
      <w:proofErr w:type="gramEnd"/>
      <w:r w:rsidRPr="00251AAA">
        <w:rPr>
          <w:szCs w:val="24"/>
          <w:lang w:val="en-US"/>
        </w:rPr>
        <w:t xml:space="preserve"> ensure that Internet traffic would not be disrupted. </w:t>
      </w:r>
      <w:r>
        <w:rPr>
          <w:szCs w:val="24"/>
          <w:lang w:val="en-US"/>
        </w:rPr>
        <w:t>…</w:t>
      </w:r>
    </w:p>
    <w:p w14:paraId="37D3EA76" w14:textId="77777777" w:rsidR="00FF6458" w:rsidRPr="00251AAA" w:rsidRDefault="00FF6458" w:rsidP="00FF6458">
      <w:pPr>
        <w:tabs>
          <w:tab w:val="clear" w:pos="567"/>
          <w:tab w:val="clear" w:pos="1134"/>
          <w:tab w:val="clear" w:pos="1701"/>
          <w:tab w:val="clear" w:pos="2268"/>
          <w:tab w:val="clear" w:pos="2835"/>
        </w:tabs>
        <w:snapToGrid w:val="0"/>
        <w:spacing w:after="120"/>
        <w:jc w:val="both"/>
        <w:rPr>
          <w:szCs w:val="24"/>
          <w:lang w:val="en-US"/>
        </w:rPr>
      </w:pPr>
      <w:r>
        <w:rPr>
          <w:szCs w:val="24"/>
          <w:lang w:val="en-US"/>
        </w:rPr>
        <w:t xml:space="preserve">The same text is set forth in 1.8 of </w:t>
      </w:r>
      <w:hyperlink r:id="rId23" w:history="1">
        <w:r>
          <w:rPr>
            <w:rStyle w:val="Hyperlink"/>
          </w:rPr>
          <w:t>EG-ITRs-3/2</w:t>
        </w:r>
      </w:hyperlink>
      <w:r w:rsidRPr="00251AAA">
        <w:rPr>
          <w:rStyle w:val="Hyperlink"/>
          <w:color w:val="auto"/>
          <w:u w:val="none"/>
        </w:rPr>
        <w:t>.</w:t>
      </w:r>
    </w:p>
    <w:p w14:paraId="57D67FB1" w14:textId="77777777" w:rsidR="00FF6458" w:rsidRDefault="00FF6458" w:rsidP="00FF6458">
      <w:pPr>
        <w:tabs>
          <w:tab w:val="clear" w:pos="567"/>
          <w:tab w:val="clear" w:pos="1134"/>
          <w:tab w:val="clear" w:pos="1701"/>
          <w:tab w:val="clear" w:pos="2268"/>
          <w:tab w:val="clear" w:pos="2835"/>
        </w:tabs>
        <w:snapToGrid w:val="0"/>
        <w:spacing w:after="120"/>
        <w:jc w:val="both"/>
        <w:rPr>
          <w:lang w:val="en-US"/>
        </w:rPr>
      </w:pPr>
      <w:r>
        <w:rPr>
          <w:szCs w:val="24"/>
        </w:rPr>
        <w:t xml:space="preserve">Further, the continuing importance of the Special Arrangements provision </w:t>
      </w:r>
      <w:r>
        <w:rPr>
          <w:lang w:val="en-US"/>
        </w:rPr>
        <w:t xml:space="preserve">(Article 9 of the 1988 ITRs) is explained in detail in </w:t>
      </w:r>
      <w:hyperlink r:id="rId24" w:history="1">
        <w:r>
          <w:rPr>
            <w:rStyle w:val="Hyperlink"/>
          </w:rPr>
          <w:t>EG-ITRs-4/2</w:t>
        </w:r>
      </w:hyperlink>
      <w:r>
        <w:rPr>
          <w:lang w:val="en-US"/>
        </w:rPr>
        <w:t>.</w:t>
      </w:r>
    </w:p>
    <w:p w14:paraId="5AED866F" w14:textId="77777777" w:rsidR="00FF6458" w:rsidRPr="004A48DC" w:rsidRDefault="00FF6458" w:rsidP="00FF6458">
      <w:pPr>
        <w:tabs>
          <w:tab w:val="clear" w:pos="567"/>
          <w:tab w:val="clear" w:pos="1134"/>
          <w:tab w:val="clear" w:pos="1701"/>
          <w:tab w:val="clear" w:pos="2268"/>
          <w:tab w:val="clear" w:pos="2835"/>
        </w:tabs>
        <w:snapToGrid w:val="0"/>
        <w:spacing w:after="120"/>
        <w:jc w:val="both"/>
        <w:rPr>
          <w:szCs w:val="24"/>
        </w:rPr>
      </w:pPr>
      <w:r>
        <w:rPr>
          <w:szCs w:val="24"/>
        </w:rPr>
        <w:t>Indeed, t</w:t>
      </w:r>
      <w:r w:rsidRPr="004A48DC">
        <w:rPr>
          <w:szCs w:val="24"/>
        </w:rPr>
        <w:t xml:space="preserve">he importance of the ITRs is well documented, with references, in pp. 8-16 of Hill, Richard (2013), </w:t>
      </w:r>
      <w:r w:rsidRPr="004A48DC">
        <w:rPr>
          <w:i/>
          <w:szCs w:val="24"/>
        </w:rPr>
        <w:t>The New International Telecommunications Regulations and the Internet</w:t>
      </w:r>
      <w:r w:rsidRPr="004A48DC">
        <w:rPr>
          <w:szCs w:val="24"/>
        </w:rPr>
        <w:t>, Springer/Schulthess, a peer-reviewed book.</w:t>
      </w:r>
      <w:r>
        <w:rPr>
          <w:szCs w:val="24"/>
        </w:rPr>
        <w:t xml:space="preserve"> As shown therein, the 1988 ITRs were instrumental in facilitating </w:t>
      </w:r>
      <w:r w:rsidRPr="009E1FA8">
        <w:t>the successful deployment and use of telecommunication services and applications worldwide</w:t>
      </w:r>
      <w:r>
        <w:t>, including in particular the expansion of networks based on the TCP/IP protocol and of the services popularly referred to as the Internet</w:t>
      </w:r>
      <w:r>
        <w:rPr>
          <w:szCs w:val="24"/>
        </w:rPr>
        <w:t>: Article 9, Special Arrangements, removed restrictions that could have impeded the expansion of such services.</w:t>
      </w:r>
    </w:p>
    <w:p w14:paraId="654B480F" w14:textId="77777777" w:rsidR="00FF6458" w:rsidRPr="004A48DC" w:rsidRDefault="00FF6458" w:rsidP="00FF6458">
      <w:pPr>
        <w:tabs>
          <w:tab w:val="clear" w:pos="567"/>
          <w:tab w:val="clear" w:pos="1134"/>
          <w:tab w:val="clear" w:pos="1701"/>
          <w:tab w:val="clear" w:pos="2268"/>
          <w:tab w:val="clear" w:pos="2835"/>
        </w:tabs>
        <w:snapToGrid w:val="0"/>
        <w:spacing w:after="120"/>
        <w:jc w:val="both"/>
        <w:rPr>
          <w:szCs w:val="24"/>
        </w:rPr>
      </w:pPr>
      <w:r w:rsidRPr="004A48DC">
        <w:rPr>
          <w:szCs w:val="24"/>
        </w:rPr>
        <w:t>In addition, as documented in pp. 23-26 of the cited book, with references to contributions to ITU meetings, from 1998 to 2010, the US argued that the ITRs had served the telecommunications industry well, so there was no need to modify them. In particular, the US staunchly defended the three-month deadline for settlement of accounts found in Article 2 of Appendix 1 of the 1988 ITRs.</w:t>
      </w:r>
    </w:p>
    <w:p w14:paraId="14184B55" w14:textId="77777777" w:rsidR="00FF6458" w:rsidRPr="004A48DC" w:rsidRDefault="00FF6458" w:rsidP="00FF6458">
      <w:pPr>
        <w:tabs>
          <w:tab w:val="clear" w:pos="567"/>
          <w:tab w:val="clear" w:pos="1134"/>
          <w:tab w:val="clear" w:pos="1701"/>
          <w:tab w:val="clear" w:pos="2268"/>
          <w:tab w:val="clear" w:pos="2835"/>
        </w:tabs>
        <w:snapToGrid w:val="0"/>
        <w:spacing w:after="120"/>
        <w:jc w:val="both"/>
        <w:rPr>
          <w:szCs w:val="24"/>
        </w:rPr>
      </w:pPr>
      <w:r w:rsidRPr="004A48DC">
        <w:rPr>
          <w:szCs w:val="24"/>
        </w:rPr>
        <w:t>As late as March 2008, the US stated “Although some have suggested that the ITRs are outdated or not widely used, the United States disagrees.  US telecommunications carriers regularly reference the ITRs (often references as the ‘Melbourne Agreement’ or ‘Melbourne Convention’) in their bilateral operating agreements with other international carriers … The removal of the ITRs would risk creating unnecessary uncertainty and confusion in these traffic arrangements which could adversely impact the delivery of services.”</w:t>
      </w:r>
    </w:p>
    <w:p w14:paraId="030EB43B" w14:textId="77777777" w:rsidR="00FF6458" w:rsidRPr="004A48DC" w:rsidRDefault="00FF6458" w:rsidP="00FF6458">
      <w:pPr>
        <w:tabs>
          <w:tab w:val="clear" w:pos="567"/>
          <w:tab w:val="clear" w:pos="1134"/>
          <w:tab w:val="clear" w:pos="1701"/>
          <w:tab w:val="clear" w:pos="2268"/>
          <w:tab w:val="clear" w:pos="2835"/>
        </w:tabs>
        <w:snapToGrid w:val="0"/>
        <w:spacing w:after="120"/>
        <w:jc w:val="both"/>
        <w:rPr>
          <w:szCs w:val="24"/>
        </w:rPr>
      </w:pPr>
      <w:r w:rsidRPr="004A48DC">
        <w:rPr>
          <w:szCs w:val="24"/>
        </w:rPr>
        <w:t>The US went on to provide selected examples of ITR Articles and their application to international telecommunications agreements to illustrate their continued use and value, citing articles 1.1b, 1.5, 1.7a, 3, 4, 5, 6, 9, and Appendix I.</w:t>
      </w:r>
    </w:p>
    <w:p w14:paraId="6624DF52" w14:textId="77777777" w:rsidR="00FF6458" w:rsidRPr="004A48DC" w:rsidRDefault="00FF6458" w:rsidP="00FF6458">
      <w:pPr>
        <w:tabs>
          <w:tab w:val="clear" w:pos="567"/>
          <w:tab w:val="clear" w:pos="1134"/>
          <w:tab w:val="clear" w:pos="1701"/>
          <w:tab w:val="clear" w:pos="2268"/>
          <w:tab w:val="clear" w:pos="2835"/>
        </w:tabs>
        <w:snapToGrid w:val="0"/>
        <w:spacing w:after="120"/>
        <w:jc w:val="both"/>
        <w:rPr>
          <w:szCs w:val="24"/>
        </w:rPr>
      </w:pPr>
      <w:r w:rsidRPr="004A48DC">
        <w:rPr>
          <w:szCs w:val="24"/>
        </w:rPr>
        <w:t>The US concluded:</w:t>
      </w:r>
    </w:p>
    <w:p w14:paraId="2F984D38" w14:textId="61A3E3A3" w:rsidR="00FF6458" w:rsidRPr="004A48DC" w:rsidRDefault="00FF6458" w:rsidP="00FF6458">
      <w:pPr>
        <w:tabs>
          <w:tab w:val="clear" w:pos="567"/>
          <w:tab w:val="clear" w:pos="1134"/>
          <w:tab w:val="clear" w:pos="1701"/>
          <w:tab w:val="clear" w:pos="2268"/>
          <w:tab w:val="clear" w:pos="2835"/>
        </w:tabs>
        <w:snapToGrid w:val="0"/>
        <w:spacing w:after="120"/>
        <w:jc w:val="both"/>
        <w:rPr>
          <w:szCs w:val="24"/>
        </w:rPr>
      </w:pPr>
      <w:r w:rsidRPr="004A48DC">
        <w:rPr>
          <w:szCs w:val="24"/>
        </w:rPr>
        <w:t>• The ITRs provide a well-understood and well established framework of principles and rules which facilitate the global exchange of international traffic and the expansion of networks and services to meet user needs in all countries.</w:t>
      </w:r>
    </w:p>
    <w:p w14:paraId="00D73491" w14:textId="77777777" w:rsidR="00FF6458" w:rsidRPr="004A48DC" w:rsidRDefault="00FF6458" w:rsidP="00FF6458">
      <w:pPr>
        <w:tabs>
          <w:tab w:val="clear" w:pos="567"/>
          <w:tab w:val="clear" w:pos="1134"/>
          <w:tab w:val="clear" w:pos="1701"/>
          <w:tab w:val="clear" w:pos="2268"/>
          <w:tab w:val="clear" w:pos="2835"/>
        </w:tabs>
        <w:snapToGrid w:val="0"/>
        <w:spacing w:after="120"/>
        <w:jc w:val="both"/>
        <w:rPr>
          <w:szCs w:val="24"/>
        </w:rPr>
      </w:pPr>
      <w:r w:rsidRPr="004A48DC">
        <w:rPr>
          <w:szCs w:val="24"/>
        </w:rPr>
        <w:t xml:space="preserve">• The role of the ITRs, as a treaty level agreement, remains critical to help ensure the stable and reliable flow of international telecommunications.  Any termination or modification of the ITRs must be assessed </w:t>
      </w:r>
      <w:proofErr w:type="gramStart"/>
      <w:r w:rsidRPr="004A48DC">
        <w:rPr>
          <w:szCs w:val="24"/>
        </w:rPr>
        <w:t>in light of</w:t>
      </w:r>
      <w:proofErr w:type="gramEnd"/>
      <w:r w:rsidRPr="004A48DC">
        <w:rPr>
          <w:szCs w:val="24"/>
        </w:rPr>
        <w:t xml:space="preserve"> these tangible benefits the ITRs provide. </w:t>
      </w:r>
    </w:p>
    <w:p w14:paraId="5B083C45" w14:textId="77777777" w:rsidR="00FF6458" w:rsidRDefault="00FF6458" w:rsidP="00FF6458">
      <w:pPr>
        <w:tabs>
          <w:tab w:val="clear" w:pos="567"/>
          <w:tab w:val="clear" w:pos="1134"/>
          <w:tab w:val="clear" w:pos="1701"/>
          <w:tab w:val="clear" w:pos="2268"/>
          <w:tab w:val="clear" w:pos="2835"/>
        </w:tabs>
        <w:snapToGrid w:val="0"/>
        <w:spacing w:after="120"/>
        <w:jc w:val="both"/>
        <w:rPr>
          <w:szCs w:val="24"/>
        </w:rPr>
      </w:pPr>
      <w:r w:rsidRPr="004A48DC">
        <w:rPr>
          <w:szCs w:val="24"/>
        </w:rPr>
        <w:t xml:space="preserve">See ITR-EG – C 10 at: </w:t>
      </w:r>
      <w:hyperlink r:id="rId25" w:history="1">
        <w:r w:rsidRPr="00B32BFF">
          <w:rPr>
            <w:rStyle w:val="Hyperlink"/>
            <w:szCs w:val="24"/>
          </w:rPr>
          <w:t>https://www.itu.int/md/T05-ITR.EG-C-0010/en</w:t>
        </w:r>
      </w:hyperlink>
      <w:r>
        <w:rPr>
          <w:szCs w:val="24"/>
        </w:rPr>
        <w:t xml:space="preserve"> </w:t>
      </w:r>
    </w:p>
    <w:p w14:paraId="257674B4" w14:textId="4146E6AC" w:rsidR="00A514A4" w:rsidRPr="00FF6458" w:rsidRDefault="00FF6458" w:rsidP="00FF6458">
      <w:pPr>
        <w:spacing w:before="600"/>
        <w:jc w:val="center"/>
      </w:pPr>
      <w:r>
        <w:t>______________</w:t>
      </w:r>
    </w:p>
    <w:sectPr w:rsidR="00A514A4" w:rsidRPr="00FF6458" w:rsidSect="00AD3606">
      <w:footerReference w:type="default" r:id="rId26"/>
      <w:headerReference w:type="first" r:id="rId27"/>
      <w:footerReference w:type="first" r:id="rId28"/>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B0729" w14:textId="77777777" w:rsidR="00687CD9" w:rsidRDefault="00687CD9">
      <w:r>
        <w:separator/>
      </w:r>
    </w:p>
  </w:endnote>
  <w:endnote w:type="continuationSeparator" w:id="0">
    <w:p w14:paraId="3CB39E88" w14:textId="77777777" w:rsidR="00687CD9" w:rsidRDefault="00687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xt2 W1G Medium">
    <w:panose1 w:val="00000000000000000000"/>
    <w:charset w:val="00"/>
    <w:family w:val="swiss"/>
    <w:notTrueType/>
    <w:pitch w:val="variable"/>
    <w:sig w:usb0="A00002EF"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784011" w14:paraId="07402CB9" w14:textId="77777777" w:rsidTr="0042469C">
      <w:trPr>
        <w:jc w:val="center"/>
      </w:trPr>
      <w:tc>
        <w:tcPr>
          <w:tcW w:w="1803" w:type="dxa"/>
          <w:vAlign w:val="center"/>
        </w:tcPr>
        <w:p w14:paraId="727FD637" w14:textId="720E78A0" w:rsidR="00EE49E8" w:rsidRDefault="00EE49E8" w:rsidP="00EE49E8">
          <w:pPr>
            <w:pStyle w:val="Header"/>
            <w:jc w:val="left"/>
            <w:rPr>
              <w:noProof/>
            </w:rPr>
          </w:pPr>
        </w:p>
      </w:tc>
      <w:tc>
        <w:tcPr>
          <w:tcW w:w="8261" w:type="dxa"/>
        </w:tcPr>
        <w:p w14:paraId="2D49E76E" w14:textId="27F8E54F" w:rsidR="00EE49E8" w:rsidRPr="00E06FD5" w:rsidRDefault="00EE49E8" w:rsidP="00A028B5">
          <w:pPr>
            <w:pStyle w:val="Header"/>
            <w:tabs>
              <w:tab w:val="left" w:pos="6163"/>
              <w:tab w:val="right" w:pos="8505"/>
              <w:tab w:val="right" w:pos="9639"/>
            </w:tabs>
            <w:jc w:val="left"/>
            <w:rPr>
              <w:rFonts w:ascii="Arial" w:hAnsi="Arial" w:cs="Arial"/>
              <w:b/>
              <w:bCs/>
              <w:szCs w:val="18"/>
            </w:rPr>
          </w:pPr>
          <w:r>
            <w:rPr>
              <w:bCs/>
            </w:rPr>
            <w:tab/>
          </w:r>
          <w:r w:rsidR="00A028B5">
            <w:rPr>
              <w:bCs/>
            </w:rPr>
            <w:t>EG-ITRs</w:t>
          </w:r>
          <w:r w:rsidR="00A52C84">
            <w:rPr>
              <w:bCs/>
            </w:rPr>
            <w:t>-</w:t>
          </w:r>
          <w:r w:rsidR="00093108">
            <w:rPr>
              <w:bCs/>
            </w:rPr>
            <w:t>6</w:t>
          </w:r>
          <w:r w:rsidR="00A52C84" w:rsidRPr="00623AE3">
            <w:rPr>
              <w:bCs/>
            </w:rPr>
            <w:t>/</w:t>
          </w:r>
          <w:r w:rsidR="00FF6458">
            <w:rPr>
              <w:bCs/>
            </w:rPr>
            <w:t>9</w:t>
          </w:r>
          <w:r w:rsidR="00A52C84" w:rsidRPr="00623AE3">
            <w:rPr>
              <w:bCs/>
            </w:rPr>
            <w:t>-E</w:t>
          </w:r>
          <w:r>
            <w:rPr>
              <w:bCs/>
            </w:rPr>
            <w:tab/>
          </w:r>
          <w:r>
            <w:fldChar w:fldCharType="begin"/>
          </w:r>
          <w:r>
            <w:instrText>PAGE</w:instrText>
          </w:r>
          <w:r>
            <w:fldChar w:fldCharType="separate"/>
          </w:r>
          <w:r>
            <w:t>1</w:t>
          </w:r>
          <w:r>
            <w:rPr>
              <w:noProof/>
            </w:rPr>
            <w:fldChar w:fldCharType="end"/>
          </w:r>
        </w:p>
      </w:tc>
    </w:tr>
  </w:tbl>
  <w:p w14:paraId="44006CCE" w14:textId="77777777" w:rsidR="00EE49E8" w:rsidRPr="00DB1936" w:rsidRDefault="00EE49E8" w:rsidP="00EE49E8">
    <w:pPr>
      <w:pStyle w:val="Header"/>
      <w:tabs>
        <w:tab w:val="left" w:pos="8080"/>
        <w:tab w:val="right" w:pos="9072"/>
      </w:tabs>
      <w:jc w:val="left"/>
      <w:rPr>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EE49E8" w:rsidRPr="00784011" w14:paraId="4F588A4C" w14:textId="77777777" w:rsidTr="00A52C84">
      <w:trPr>
        <w:jc w:val="center"/>
      </w:trPr>
      <w:tc>
        <w:tcPr>
          <w:tcW w:w="3107" w:type="dxa"/>
          <w:vAlign w:val="center"/>
        </w:tcPr>
        <w:p w14:paraId="4E7A2825" w14:textId="408071E6" w:rsidR="00EE49E8" w:rsidRDefault="00A52C84" w:rsidP="00EE49E8">
          <w:pPr>
            <w:pStyle w:val="Header"/>
            <w:jc w:val="left"/>
            <w:rPr>
              <w:noProof/>
            </w:rPr>
          </w:pPr>
          <w:hyperlink r:id="rId1" w:history="1">
            <w:r w:rsidRPr="00093108">
              <w:rPr>
                <w:rStyle w:val="Hyperlink"/>
              </w:rPr>
              <w:t>council.itu.int/working-groups</w:t>
            </w:r>
          </w:hyperlink>
        </w:p>
      </w:tc>
      <w:tc>
        <w:tcPr>
          <w:tcW w:w="6957" w:type="dxa"/>
        </w:tcPr>
        <w:p w14:paraId="3F62E0D8" w14:textId="427770F5" w:rsidR="00EE49E8" w:rsidRPr="00E06FD5" w:rsidRDefault="00EE49E8" w:rsidP="00093108">
          <w:pPr>
            <w:pStyle w:val="Header"/>
            <w:tabs>
              <w:tab w:val="left" w:pos="5148"/>
              <w:tab w:val="right" w:pos="8505"/>
              <w:tab w:val="right" w:pos="9639"/>
            </w:tabs>
            <w:jc w:val="left"/>
            <w:rPr>
              <w:rFonts w:ascii="Arial" w:hAnsi="Arial" w:cs="Arial"/>
              <w:b/>
              <w:bCs/>
              <w:szCs w:val="18"/>
            </w:rPr>
          </w:pPr>
          <w:r>
            <w:rPr>
              <w:bCs/>
            </w:rPr>
            <w:tab/>
          </w:r>
          <w:r w:rsidR="00A028B5">
            <w:rPr>
              <w:bCs/>
            </w:rPr>
            <w:t>EG-ITRs</w:t>
          </w:r>
          <w:r w:rsidR="00A52C84">
            <w:rPr>
              <w:bCs/>
            </w:rPr>
            <w:t>-</w:t>
          </w:r>
          <w:r w:rsidR="00093108">
            <w:rPr>
              <w:bCs/>
            </w:rPr>
            <w:t>6</w:t>
          </w:r>
          <w:r w:rsidRPr="00623AE3">
            <w:rPr>
              <w:bCs/>
            </w:rPr>
            <w:t>/</w:t>
          </w:r>
          <w:r w:rsidR="00FF6458">
            <w:rPr>
              <w:bCs/>
            </w:rPr>
            <w:t>9</w:t>
          </w:r>
          <w:r w:rsidRPr="00623AE3">
            <w:rPr>
              <w:bCs/>
            </w:rPr>
            <w:t>-E</w:t>
          </w:r>
          <w:r>
            <w:rPr>
              <w:bCs/>
            </w:rPr>
            <w:tab/>
          </w:r>
          <w:r>
            <w:fldChar w:fldCharType="begin"/>
          </w:r>
          <w:r>
            <w:instrText>PAGE</w:instrText>
          </w:r>
          <w:r>
            <w:fldChar w:fldCharType="separate"/>
          </w:r>
          <w:r>
            <w:t>1</w:t>
          </w:r>
          <w:r>
            <w:rPr>
              <w:noProof/>
            </w:rPr>
            <w:fldChar w:fldCharType="end"/>
          </w:r>
        </w:p>
      </w:tc>
    </w:tr>
  </w:tbl>
  <w:p w14:paraId="12BE588F" w14:textId="77777777" w:rsidR="00A514A4" w:rsidRPr="00623AE3" w:rsidRDefault="00A514A4" w:rsidP="00EE49E8">
    <w:pPr>
      <w:pStyle w:val="Header"/>
      <w:tabs>
        <w:tab w:val="left" w:pos="8080"/>
        <w:tab w:val="right" w:pos="9072"/>
      </w:tabs>
      <w:jc w:val="right"/>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FC126" w14:textId="77777777" w:rsidR="00687CD9" w:rsidRDefault="00687CD9">
      <w:r>
        <w:t>____________________</w:t>
      </w:r>
    </w:p>
  </w:footnote>
  <w:footnote w:type="continuationSeparator" w:id="0">
    <w:p w14:paraId="16E88419" w14:textId="77777777" w:rsidR="00687CD9" w:rsidRDefault="00687CD9">
      <w:r>
        <w:continuationSeparator/>
      </w:r>
    </w:p>
  </w:footnote>
  <w:footnote w:id="1">
    <w:p w14:paraId="39CC1BE3" w14:textId="77777777" w:rsidR="00FF6458" w:rsidRDefault="00FF6458" w:rsidP="00FF6458">
      <w:pPr>
        <w:pStyle w:val="FootnoteText"/>
      </w:pPr>
      <w:r>
        <w:rPr>
          <w:rStyle w:val="FootnoteReference"/>
        </w:rPr>
        <w:footnoteRef/>
      </w:r>
      <w:r>
        <w:t xml:space="preserve"> </w:t>
      </w:r>
      <w:hyperlink r:id="rId1" w:history="1">
        <w:r w:rsidRPr="0031704B">
          <w:rPr>
            <w:rStyle w:val="Hyperlink"/>
          </w:rPr>
          <w:t>https://www.itu.int/md/S23-CL-C-0073/en</w:t>
        </w:r>
      </w:hyperlink>
      <w:r>
        <w:t xml:space="preserve"> </w:t>
      </w:r>
    </w:p>
  </w:footnote>
  <w:footnote w:id="2">
    <w:p w14:paraId="66569F5D" w14:textId="77777777" w:rsidR="00FF6458" w:rsidRDefault="00FF6458" w:rsidP="00FF6458">
      <w:pPr>
        <w:pStyle w:val="FootnoteText"/>
      </w:pPr>
      <w:r>
        <w:rPr>
          <w:rStyle w:val="FootnoteReference"/>
        </w:rPr>
        <w:footnoteRef/>
      </w:r>
      <w:r>
        <w:t xml:space="preserve"> </w:t>
      </w:r>
      <w:hyperlink r:id="rId2" w:history="1">
        <w:r w:rsidRPr="0031704B">
          <w:rPr>
            <w:rStyle w:val="Hyperlink"/>
          </w:rPr>
          <w:t>https://www.itu.int/md/S23-CL-C-0066/en</w:t>
        </w:r>
      </w:hyperlink>
      <w:r>
        <w:t xml:space="preserve"> </w:t>
      </w:r>
    </w:p>
  </w:footnote>
  <w:footnote w:id="3">
    <w:p w14:paraId="242CB310" w14:textId="77777777" w:rsidR="00FF6458" w:rsidRDefault="00FF6458" w:rsidP="00FF6458">
      <w:pPr>
        <w:pStyle w:val="FootnoteText"/>
      </w:pPr>
      <w:r>
        <w:rPr>
          <w:rStyle w:val="FootnoteReference"/>
        </w:rPr>
        <w:footnoteRef/>
      </w:r>
      <w:r>
        <w:t xml:space="preserve"> Hill, Richard (2013) </w:t>
      </w:r>
      <w:r w:rsidRPr="00206DCC">
        <w:rPr>
          <w:i/>
          <w:iCs/>
        </w:rPr>
        <w:t xml:space="preserve">The New International Telecommunications Regulations and the Internet: A Commentary and Legislative </w:t>
      </w:r>
      <w:proofErr w:type="spellStart"/>
      <w:proofErr w:type="gramStart"/>
      <w:r w:rsidRPr="00206DCC">
        <w:rPr>
          <w:i/>
          <w:iCs/>
        </w:rPr>
        <w:t>History</w:t>
      </w:r>
      <w:r>
        <w:t>,S</w:t>
      </w:r>
      <w:r w:rsidRPr="00206DCC">
        <w:t>chulthess</w:t>
      </w:r>
      <w:proofErr w:type="spellEnd"/>
      <w:proofErr w:type="gramEnd"/>
      <w:r w:rsidRPr="00206DCC">
        <w:t>/Springer</w:t>
      </w:r>
      <w:r>
        <w:t>, p. 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AD3606" w:rsidRPr="00784011" w14:paraId="6D4BB9D4" w14:textId="77777777" w:rsidTr="00F74694">
      <w:trPr>
        <w:trHeight w:val="1304"/>
        <w:jc w:val="center"/>
      </w:trPr>
      <w:tc>
        <w:tcPr>
          <w:tcW w:w="6546" w:type="dxa"/>
        </w:tcPr>
        <w:bookmarkStart w:id="13" w:name="_Hlk133422111"/>
        <w:p w14:paraId="3E21B143" w14:textId="178FA05C" w:rsidR="00AD3606" w:rsidRPr="009621F8" w:rsidRDefault="00DB00D5" w:rsidP="00130599">
          <w:pPr>
            <w:pStyle w:val="Header"/>
            <w:jc w:val="left"/>
            <w:rPr>
              <w:rFonts w:ascii="Arial" w:hAnsi="Arial" w:cs="Arial"/>
              <w:b/>
              <w:bCs/>
              <w:color w:val="009CD6"/>
              <w:sz w:val="36"/>
              <w:szCs w:val="36"/>
            </w:rPr>
          </w:pPr>
          <w:r>
            <w:rPr>
              <w:rFonts w:ascii="Arial" w:hAnsi="Arial" w:cs="Arial"/>
              <w:b/>
              <w:bCs/>
              <w:noProof/>
              <w:color w:val="009CD6"/>
              <w:szCs w:val="18"/>
            </w:rPr>
            <mc:AlternateContent>
              <mc:Choice Requires="wps">
                <w:drawing>
                  <wp:anchor distT="0" distB="0" distL="114300" distR="114300" simplePos="0" relativeHeight="251661312" behindDoc="0" locked="0" layoutInCell="1" allowOverlap="1" wp14:anchorId="3E8A9757" wp14:editId="68E7D9A6">
                    <wp:simplePos x="0" y="0"/>
                    <wp:positionH relativeFrom="column">
                      <wp:posOffset>569937</wp:posOffset>
                    </wp:positionH>
                    <wp:positionV relativeFrom="paragraph">
                      <wp:posOffset>63305</wp:posOffset>
                    </wp:positionV>
                    <wp:extent cx="1652954" cy="541215"/>
                    <wp:effectExtent l="0" t="0" r="4445" b="0"/>
                    <wp:wrapNone/>
                    <wp:docPr id="2" name="Rectangle 2"/>
                    <wp:cNvGraphicFramePr/>
                    <a:graphic xmlns:a="http://schemas.openxmlformats.org/drawingml/2006/main">
                      <a:graphicData uri="http://schemas.microsoft.com/office/word/2010/wordprocessingShape">
                        <wps:wsp>
                          <wps:cNvSpPr/>
                          <wps:spPr>
                            <a:xfrm>
                              <a:off x="0" y="0"/>
                              <a:ext cx="1652954" cy="54121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D11776" id="Rectangle 2" o:spid="_x0000_s1026" style="position:absolute;margin-left:44.9pt;margin-top:5pt;width:130.15pt;height:4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" fillcolor="white [3212]" stroked="f" strokeweight="2pt"/>
                </w:pict>
              </mc:Fallback>
            </mc:AlternateContent>
          </w:r>
          <w:r w:rsidR="00AD3606">
            <w:rPr>
              <w:noProof/>
            </w:rPr>
            <w:drawing>
              <wp:inline distT="0" distB="0" distL="0" distR="0" wp14:anchorId="4ED31E31" wp14:editId="6AF75EA6">
                <wp:extent cx="2250000" cy="622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pic:cNvPicPr/>
                      </pic:nvPicPr>
                      <pic:blipFill>
                        <a:blip r:embed="rId1">
                          <a:extLst>
                            <a:ext uri="{28A0092B-C50C-407E-A947-70E740481C1C}">
                              <a14:useLocalDpi xmlns:a14="http://schemas.microsoft.com/office/drawing/2010/main" val="0"/>
                            </a:ext>
                          </a:extLst>
                        </a:blip>
                        <a:stretch>
                          <a:fillRect/>
                        </a:stretch>
                      </pic:blipFill>
                      <pic:spPr>
                        <a:xfrm>
                          <a:off x="0" y="0"/>
                          <a:ext cx="2250000" cy="622800"/>
                        </a:xfrm>
                        <a:prstGeom prst="rect">
                          <a:avLst/>
                        </a:prstGeom>
                      </pic:spPr>
                    </pic:pic>
                  </a:graphicData>
                </a:graphic>
              </wp:inline>
            </w:drawing>
          </w:r>
        </w:p>
      </w:tc>
      <w:tc>
        <w:tcPr>
          <w:tcW w:w="3474" w:type="dxa"/>
        </w:tcPr>
        <w:p w14:paraId="2D9A3A2C" w14:textId="77777777" w:rsidR="00AD3606" w:rsidRDefault="00AD3606" w:rsidP="00AD3606">
          <w:pPr>
            <w:pStyle w:val="Header"/>
            <w:jc w:val="right"/>
            <w:rPr>
              <w:rFonts w:ascii="Arial" w:hAnsi="Arial" w:cs="Arial"/>
              <w:b/>
              <w:bCs/>
              <w:color w:val="009CD6"/>
              <w:szCs w:val="18"/>
            </w:rPr>
          </w:pPr>
        </w:p>
        <w:p w14:paraId="10B673DE" w14:textId="77777777" w:rsidR="00AD3606" w:rsidRDefault="00AD3606" w:rsidP="00AD3606">
          <w:pPr>
            <w:pStyle w:val="Header"/>
            <w:jc w:val="right"/>
            <w:rPr>
              <w:rFonts w:ascii="Arial" w:hAnsi="Arial" w:cs="Arial"/>
              <w:b/>
              <w:bCs/>
              <w:color w:val="009CD6"/>
              <w:szCs w:val="18"/>
            </w:rPr>
          </w:pPr>
        </w:p>
        <w:p w14:paraId="4287C2DF" w14:textId="0D65FB02" w:rsidR="00AD3606" w:rsidRPr="00784011" w:rsidRDefault="00AD3606" w:rsidP="00AD3606">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3"/>
  <w:p w14:paraId="0D24EB89" w14:textId="5739948F" w:rsidR="00AD3606" w:rsidRDefault="00DB00D5">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141CBB14" wp14:editId="6AD82C93">
              <wp:simplePos x="0" y="0"/>
              <wp:positionH relativeFrom="page">
                <wp:posOffset>14605</wp:posOffset>
              </wp:positionH>
              <wp:positionV relativeFrom="topMargin">
                <wp:posOffset>555625</wp:posOffset>
              </wp:positionV>
              <wp:extent cx="93345" cy="431800"/>
              <wp:effectExtent l="0" t="0" r="190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413304" id="Rectangle 5" o:spid="_x0000_s1026" style="position:absolute;margin-left:1.15pt;margin-top:43.75pt;width:7.35pt;height: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" fillcolor="#009cd5" stroked="f">
              <w10:wrap anchorx="page" anchory="margin"/>
            </v:rect>
          </w:pict>
        </mc:Fallback>
      </mc:AlternateContent>
    </w:r>
    <w:r w:rsidRPr="00130599">
      <w:rPr>
        <w:rFonts w:ascii="Arial" w:eastAsiaTheme="minorHAnsi" w:hAnsi="Arial" w:cs="Arial"/>
        <w:b/>
        <w:bCs/>
        <w:noProof/>
        <w:color w:val="009CD6"/>
        <w:szCs w:val="18"/>
      </w:rPr>
      <mc:AlternateContent>
        <mc:Choice Requires="wps">
          <w:drawing>
            <wp:anchor distT="0" distB="0" distL="114300" distR="114300" simplePos="0" relativeHeight="251662336" behindDoc="0" locked="0" layoutInCell="1" allowOverlap="1" wp14:anchorId="4E9A2C87" wp14:editId="3E001D8E">
              <wp:simplePos x="0" y="0"/>
              <wp:positionH relativeFrom="column">
                <wp:posOffset>306754</wp:posOffset>
              </wp:positionH>
              <wp:positionV relativeFrom="paragraph">
                <wp:posOffset>-835660</wp:posOffset>
              </wp:positionV>
              <wp:extent cx="3999230" cy="471170"/>
              <wp:effectExtent l="0" t="0" r="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230" cy="471170"/>
                      </a:xfrm>
                      <a:prstGeom prst="rect">
                        <a:avLst/>
                      </a:prstGeom>
                      <a:noFill/>
                      <a:ln w="9525">
                        <a:noFill/>
                        <a:miter lim="800000"/>
                        <a:headEnd/>
                        <a:tailEnd/>
                      </a:ln>
                    </wps:spPr>
                    <wps:txbx>
                      <w:txbxContent>
                        <w:p w14:paraId="0B44A3EE" w14:textId="2A274CA8" w:rsidR="00130599" w:rsidRDefault="00A028B5" w:rsidP="00130599">
                          <w:pPr>
                            <w:spacing w:before="0"/>
                          </w:pPr>
                          <w:r>
                            <w:rPr>
                              <w:b/>
                              <w:bCs/>
                              <w:szCs w:val="24"/>
                            </w:rPr>
                            <w:t>Expert</w:t>
                          </w:r>
                          <w:r w:rsidR="00130599" w:rsidRPr="00F74694">
                            <w:rPr>
                              <w:b/>
                              <w:bCs/>
                              <w:szCs w:val="24"/>
                            </w:rPr>
                            <w:t xml:space="preserve"> Group</w:t>
                          </w:r>
                          <w:r w:rsidR="00F74694" w:rsidRPr="00F74694">
                            <w:rPr>
                              <w:b/>
                              <w:bCs/>
                              <w:szCs w:val="24"/>
                            </w:rPr>
                            <w:br/>
                          </w:r>
                          <w:r w:rsidR="00130599" w:rsidRPr="00636853">
                            <w:rPr>
                              <w:b/>
                              <w:bCs/>
                              <w:spacing w:val="6"/>
                              <w:szCs w:val="24"/>
                            </w:rPr>
                            <w:t xml:space="preserve">on </w:t>
                          </w:r>
                          <w:r>
                            <w:rPr>
                              <w:b/>
                              <w:bCs/>
                              <w:spacing w:val="6"/>
                              <w:szCs w:val="24"/>
                            </w:rPr>
                            <w:t>the International Telecommunication Regulations</w:t>
                          </w:r>
                          <w:r w:rsidR="00130599">
                            <w:br/>
                          </w:r>
                          <w:r w:rsidR="00093108">
                            <w:rPr>
                              <w:sz w:val="20"/>
                            </w:rPr>
                            <w:t>Sixth</w:t>
                          </w:r>
                          <w:r w:rsidR="00130599" w:rsidRPr="00130599">
                            <w:rPr>
                              <w:sz w:val="20"/>
                            </w:rPr>
                            <w:t xml:space="preserve"> meeting </w:t>
                          </w:r>
                          <w:r w:rsidR="00F7413F">
                            <w:rPr>
                              <w:sz w:val="20"/>
                            </w:rPr>
                            <w:t>–</w:t>
                          </w:r>
                          <w:r w:rsidR="00130599" w:rsidRPr="00130599">
                            <w:rPr>
                              <w:sz w:val="20"/>
                            </w:rPr>
                            <w:t xml:space="preserve"> </w:t>
                          </w:r>
                          <w:r w:rsidR="008B232E">
                            <w:rPr>
                              <w:sz w:val="20"/>
                            </w:rPr>
                            <w:t>19</w:t>
                          </w:r>
                          <w:r w:rsidR="00093108">
                            <w:rPr>
                              <w:sz w:val="20"/>
                            </w:rPr>
                            <w:t xml:space="preserve"> January </w:t>
                          </w:r>
                          <w:r w:rsidR="00F7413F">
                            <w:rPr>
                              <w:sz w:val="20"/>
                            </w:rPr>
                            <w:t>202</w:t>
                          </w:r>
                          <w:r w:rsidR="00093108">
                            <w:rPr>
                              <w:sz w:val="20"/>
                            </w:rPr>
                            <w:t>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E9A2C87" id="_x0000_t202" coordsize="21600,21600" o:spt="202" path="m,l,21600r21600,l21600,xe">
              <v:stroke joinstyle="miter"/>
              <v:path gradientshapeok="t" o:connecttype="rect"/>
            </v:shapetype>
            <v:shape id="Text Box 2" o:spid="_x0000_s1026" type="#_x0000_t202" style="position:absolute;left:0;text-align:left;margin-left:24.15pt;margin-top:-65.8pt;width:314.9pt;height:37.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" filled="f" stroked="f">
              <v:textbox style="mso-fit-shape-to-text:t">
                <w:txbxContent>
                  <w:p w14:paraId="0B44A3EE" w14:textId="2A274CA8" w:rsidR="00130599" w:rsidRDefault="00A028B5" w:rsidP="00130599">
                    <w:pPr>
                      <w:spacing w:before="0"/>
                    </w:pPr>
                    <w:r>
                      <w:rPr>
                        <w:b/>
                        <w:bCs/>
                        <w:szCs w:val="24"/>
                      </w:rPr>
                      <w:t>Expert</w:t>
                    </w:r>
                    <w:r w:rsidR="00130599" w:rsidRPr="00F74694">
                      <w:rPr>
                        <w:b/>
                        <w:bCs/>
                        <w:szCs w:val="24"/>
                      </w:rPr>
                      <w:t xml:space="preserve"> Group</w:t>
                    </w:r>
                    <w:r w:rsidR="00F74694" w:rsidRPr="00F74694">
                      <w:rPr>
                        <w:b/>
                        <w:bCs/>
                        <w:szCs w:val="24"/>
                      </w:rPr>
                      <w:br/>
                    </w:r>
                    <w:r w:rsidR="00130599" w:rsidRPr="00636853">
                      <w:rPr>
                        <w:b/>
                        <w:bCs/>
                        <w:spacing w:val="6"/>
                        <w:szCs w:val="24"/>
                      </w:rPr>
                      <w:t xml:space="preserve">on </w:t>
                    </w:r>
                    <w:r>
                      <w:rPr>
                        <w:b/>
                        <w:bCs/>
                        <w:spacing w:val="6"/>
                        <w:szCs w:val="24"/>
                      </w:rPr>
                      <w:t>the International Telecommunication Regulations</w:t>
                    </w:r>
                    <w:r w:rsidR="00130599">
                      <w:br/>
                    </w:r>
                    <w:r w:rsidR="00093108">
                      <w:rPr>
                        <w:sz w:val="20"/>
                      </w:rPr>
                      <w:t>Sixth</w:t>
                    </w:r>
                    <w:r w:rsidR="00130599" w:rsidRPr="00130599">
                      <w:rPr>
                        <w:sz w:val="20"/>
                      </w:rPr>
                      <w:t xml:space="preserve"> meeting </w:t>
                    </w:r>
                    <w:r w:rsidR="00F7413F">
                      <w:rPr>
                        <w:sz w:val="20"/>
                      </w:rPr>
                      <w:t>–</w:t>
                    </w:r>
                    <w:r w:rsidR="00130599" w:rsidRPr="00130599">
                      <w:rPr>
                        <w:sz w:val="20"/>
                      </w:rPr>
                      <w:t xml:space="preserve"> </w:t>
                    </w:r>
                    <w:r w:rsidR="008B232E">
                      <w:rPr>
                        <w:sz w:val="20"/>
                      </w:rPr>
                      <w:t>19</w:t>
                    </w:r>
                    <w:r w:rsidR="00093108">
                      <w:rPr>
                        <w:sz w:val="20"/>
                      </w:rPr>
                      <w:t xml:space="preserve"> January </w:t>
                    </w:r>
                    <w:r w:rsidR="00F7413F">
                      <w:rPr>
                        <w:sz w:val="20"/>
                      </w:rPr>
                      <w:t>202</w:t>
                    </w:r>
                    <w:r w:rsidR="00093108">
                      <w:rPr>
                        <w:sz w:val="20"/>
                      </w:rPr>
                      <w:t>6</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9C27DCC"/>
    <w:multiLevelType w:val="multilevel"/>
    <w:tmpl w:val="BEE2590E"/>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45A55B4"/>
    <w:multiLevelType w:val="multilevel"/>
    <w:tmpl w:val="4718C59E"/>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74816267">
    <w:abstractNumId w:val="0"/>
  </w:num>
  <w:num w:numId="2" w16cid:durableId="1755544342">
    <w:abstractNumId w:val="2"/>
  </w:num>
  <w:num w:numId="3" w16cid:durableId="10701584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6E2"/>
    <w:rsid w:val="000210D4"/>
    <w:rsid w:val="00063016"/>
    <w:rsid w:val="00066795"/>
    <w:rsid w:val="00076AF6"/>
    <w:rsid w:val="00085CF2"/>
    <w:rsid w:val="00093108"/>
    <w:rsid w:val="000B1705"/>
    <w:rsid w:val="000D75B2"/>
    <w:rsid w:val="001121F5"/>
    <w:rsid w:val="00130599"/>
    <w:rsid w:val="001400DC"/>
    <w:rsid w:val="00140CE1"/>
    <w:rsid w:val="0017539C"/>
    <w:rsid w:val="00175AC2"/>
    <w:rsid w:val="0017609F"/>
    <w:rsid w:val="001A7D1D"/>
    <w:rsid w:val="001B51DD"/>
    <w:rsid w:val="001C628E"/>
    <w:rsid w:val="001E0F7B"/>
    <w:rsid w:val="001E0FBE"/>
    <w:rsid w:val="0020555B"/>
    <w:rsid w:val="002119FD"/>
    <w:rsid w:val="002130E0"/>
    <w:rsid w:val="00244F7F"/>
    <w:rsid w:val="00264425"/>
    <w:rsid w:val="00265875"/>
    <w:rsid w:val="0027303B"/>
    <w:rsid w:val="0028109B"/>
    <w:rsid w:val="00293B38"/>
    <w:rsid w:val="002A2188"/>
    <w:rsid w:val="002B1F58"/>
    <w:rsid w:val="002C1C7A"/>
    <w:rsid w:val="002C54E2"/>
    <w:rsid w:val="002C70D3"/>
    <w:rsid w:val="0030160F"/>
    <w:rsid w:val="00320223"/>
    <w:rsid w:val="00322D0D"/>
    <w:rsid w:val="00361465"/>
    <w:rsid w:val="0036415F"/>
    <w:rsid w:val="003877F5"/>
    <w:rsid w:val="003942D4"/>
    <w:rsid w:val="003958A8"/>
    <w:rsid w:val="003C2533"/>
    <w:rsid w:val="003D5A7F"/>
    <w:rsid w:val="004016E2"/>
    <w:rsid w:val="0040435A"/>
    <w:rsid w:val="0040678F"/>
    <w:rsid w:val="00416A24"/>
    <w:rsid w:val="00431D9E"/>
    <w:rsid w:val="00433CE8"/>
    <w:rsid w:val="00434A5C"/>
    <w:rsid w:val="004544D9"/>
    <w:rsid w:val="00472BAD"/>
    <w:rsid w:val="00484009"/>
    <w:rsid w:val="00490E72"/>
    <w:rsid w:val="00491157"/>
    <w:rsid w:val="004921C8"/>
    <w:rsid w:val="00495B0B"/>
    <w:rsid w:val="004A1B8B"/>
    <w:rsid w:val="004D1851"/>
    <w:rsid w:val="004D599D"/>
    <w:rsid w:val="004D648B"/>
    <w:rsid w:val="004E2EA5"/>
    <w:rsid w:val="004E3AEB"/>
    <w:rsid w:val="0050223C"/>
    <w:rsid w:val="005243FF"/>
    <w:rsid w:val="00564FBC"/>
    <w:rsid w:val="005800BC"/>
    <w:rsid w:val="00582442"/>
    <w:rsid w:val="005A335D"/>
    <w:rsid w:val="005E2BD5"/>
    <w:rsid w:val="005F3269"/>
    <w:rsid w:val="00623AE3"/>
    <w:rsid w:val="00636853"/>
    <w:rsid w:val="0064737F"/>
    <w:rsid w:val="006535F1"/>
    <w:rsid w:val="0065557D"/>
    <w:rsid w:val="006577BB"/>
    <w:rsid w:val="00660D50"/>
    <w:rsid w:val="00662984"/>
    <w:rsid w:val="006716BB"/>
    <w:rsid w:val="00687CD9"/>
    <w:rsid w:val="00696938"/>
    <w:rsid w:val="006B1859"/>
    <w:rsid w:val="006B6680"/>
    <w:rsid w:val="006B6DCC"/>
    <w:rsid w:val="006C11BB"/>
    <w:rsid w:val="00702DEF"/>
    <w:rsid w:val="00706861"/>
    <w:rsid w:val="00745D44"/>
    <w:rsid w:val="0075051B"/>
    <w:rsid w:val="00775655"/>
    <w:rsid w:val="00793188"/>
    <w:rsid w:val="00794D34"/>
    <w:rsid w:val="00794DFC"/>
    <w:rsid w:val="00813E5E"/>
    <w:rsid w:val="00815106"/>
    <w:rsid w:val="0083408D"/>
    <w:rsid w:val="0083581B"/>
    <w:rsid w:val="00842B11"/>
    <w:rsid w:val="00863874"/>
    <w:rsid w:val="00864AFF"/>
    <w:rsid w:val="00865925"/>
    <w:rsid w:val="0086704D"/>
    <w:rsid w:val="008964B4"/>
    <w:rsid w:val="008B232E"/>
    <w:rsid w:val="008B4A6A"/>
    <w:rsid w:val="008C7E27"/>
    <w:rsid w:val="008F7448"/>
    <w:rsid w:val="0090147A"/>
    <w:rsid w:val="009173EF"/>
    <w:rsid w:val="00932906"/>
    <w:rsid w:val="00961B0B"/>
    <w:rsid w:val="00962D33"/>
    <w:rsid w:val="009B38C3"/>
    <w:rsid w:val="009D024E"/>
    <w:rsid w:val="009E17BD"/>
    <w:rsid w:val="009E485A"/>
    <w:rsid w:val="00A028B5"/>
    <w:rsid w:val="00A04CEC"/>
    <w:rsid w:val="00A27F92"/>
    <w:rsid w:val="00A32257"/>
    <w:rsid w:val="00A36D20"/>
    <w:rsid w:val="00A467DF"/>
    <w:rsid w:val="00A514A4"/>
    <w:rsid w:val="00A52C84"/>
    <w:rsid w:val="00A55622"/>
    <w:rsid w:val="00A83502"/>
    <w:rsid w:val="00AD15B3"/>
    <w:rsid w:val="00AD3606"/>
    <w:rsid w:val="00AD4A3D"/>
    <w:rsid w:val="00AF6E49"/>
    <w:rsid w:val="00B04A67"/>
    <w:rsid w:val="00B0583C"/>
    <w:rsid w:val="00B40A81"/>
    <w:rsid w:val="00B4436B"/>
    <w:rsid w:val="00B44910"/>
    <w:rsid w:val="00B72267"/>
    <w:rsid w:val="00B76EB6"/>
    <w:rsid w:val="00B7737B"/>
    <w:rsid w:val="00B824C8"/>
    <w:rsid w:val="00B84B9D"/>
    <w:rsid w:val="00BC251A"/>
    <w:rsid w:val="00BD032B"/>
    <w:rsid w:val="00BD38EB"/>
    <w:rsid w:val="00BE2640"/>
    <w:rsid w:val="00BF0749"/>
    <w:rsid w:val="00C01189"/>
    <w:rsid w:val="00C374DE"/>
    <w:rsid w:val="00C47AD4"/>
    <w:rsid w:val="00C52D81"/>
    <w:rsid w:val="00C55198"/>
    <w:rsid w:val="00CA6393"/>
    <w:rsid w:val="00CB18FF"/>
    <w:rsid w:val="00CD0C08"/>
    <w:rsid w:val="00CD1CF0"/>
    <w:rsid w:val="00CE03FB"/>
    <w:rsid w:val="00CE433C"/>
    <w:rsid w:val="00CF0161"/>
    <w:rsid w:val="00CF33F3"/>
    <w:rsid w:val="00D06183"/>
    <w:rsid w:val="00D22C42"/>
    <w:rsid w:val="00D464CC"/>
    <w:rsid w:val="00D53C61"/>
    <w:rsid w:val="00D65041"/>
    <w:rsid w:val="00D670A7"/>
    <w:rsid w:val="00DB00D5"/>
    <w:rsid w:val="00DB1936"/>
    <w:rsid w:val="00DB384B"/>
    <w:rsid w:val="00DF0189"/>
    <w:rsid w:val="00E01B6A"/>
    <w:rsid w:val="00E06FD5"/>
    <w:rsid w:val="00E10E80"/>
    <w:rsid w:val="00E124F0"/>
    <w:rsid w:val="00E227F3"/>
    <w:rsid w:val="00E543AC"/>
    <w:rsid w:val="00E545C6"/>
    <w:rsid w:val="00E60F04"/>
    <w:rsid w:val="00E65B24"/>
    <w:rsid w:val="00E854E4"/>
    <w:rsid w:val="00E86DBF"/>
    <w:rsid w:val="00EB0D6F"/>
    <w:rsid w:val="00EB2232"/>
    <w:rsid w:val="00EC5337"/>
    <w:rsid w:val="00EE15BE"/>
    <w:rsid w:val="00EE49E8"/>
    <w:rsid w:val="00F16BAB"/>
    <w:rsid w:val="00F2150A"/>
    <w:rsid w:val="00F231D8"/>
    <w:rsid w:val="00F44C00"/>
    <w:rsid w:val="00F45D2C"/>
    <w:rsid w:val="00F46C5F"/>
    <w:rsid w:val="00F632C0"/>
    <w:rsid w:val="00F7413F"/>
    <w:rsid w:val="00F74694"/>
    <w:rsid w:val="00F94A63"/>
    <w:rsid w:val="00FA1C28"/>
    <w:rsid w:val="00FB1279"/>
    <w:rsid w:val="00FB6B76"/>
    <w:rsid w:val="00FB7596"/>
    <w:rsid w:val="00FE4077"/>
    <w:rsid w:val="00FE500D"/>
    <w:rsid w:val="00FE66BD"/>
    <w:rsid w:val="00FE77D2"/>
    <w:rsid w:val="00FF645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E63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link w:val="Heading2Char"/>
    <w:qFormat/>
    <w:rsid w:val="00813E5E"/>
    <w:pPr>
      <w:spacing w:before="320"/>
      <w:outlineLvl w:val="1"/>
    </w:pPr>
    <w:rPr>
      <w:sz w:val="24"/>
    </w:rPr>
  </w:style>
  <w:style w:type="paragraph" w:styleId="Heading3">
    <w:name w:val="heading 3"/>
    <w:basedOn w:val="Heading1"/>
    <w:next w:val="Normal"/>
    <w:link w:val="Heading3Char"/>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link w:val="FootnoteTextChar"/>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9D024E"/>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rsid w:val="004D1851"/>
    <w:pPr>
      <w:keepNext/>
      <w:keepLines/>
      <w:spacing w:after="120"/>
      <w:jc w:val="center"/>
    </w:pPr>
  </w:style>
  <w:style w:type="paragraph" w:customStyle="1" w:styleId="Figuretitle">
    <w:name w:val="Figure_title"/>
    <w:basedOn w:val="Tabletitle"/>
    <w:next w:val="Normalaftertitle"/>
    <w:rsid w:val="004D1851"/>
    <w:pPr>
      <w:spacing w:before="240" w:after="48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4D1851"/>
    <w:pPr>
      <w:keepNext/>
      <w:keepLines/>
      <w:spacing w:before="240" w:after="120"/>
      <w:jc w:val="center"/>
    </w:pPr>
    <w:rPr>
      <w:caps/>
    </w:rPr>
  </w:style>
  <w:style w:type="paragraph" w:customStyle="1" w:styleId="Figurewithouttitle">
    <w:name w:val="Figure_without_title"/>
    <w:basedOn w:val="Figure"/>
    <w:next w:val="Normalaftertitle"/>
    <w:rsid w:val="004D1851"/>
    <w:pPr>
      <w:keepNext w:val="0"/>
      <w:spacing w:after="240"/>
    </w:pPr>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styleId="UnresolvedMention">
    <w:name w:val="Unresolved Mention"/>
    <w:basedOn w:val="DefaultParagraphFont"/>
    <w:uiPriority w:val="99"/>
    <w:semiHidden/>
    <w:unhideWhenUsed/>
    <w:rsid w:val="009D024E"/>
    <w:rPr>
      <w:color w:val="605E5C"/>
      <w:shd w:val="clear" w:color="auto" w:fill="E1DFDD"/>
    </w:rPr>
  </w:style>
  <w:style w:type="character" w:styleId="PlaceholderText">
    <w:name w:val="Placeholder Text"/>
    <w:basedOn w:val="DefaultParagraphFont"/>
    <w:uiPriority w:val="99"/>
    <w:semiHidden/>
    <w:rsid w:val="00EE15BE"/>
    <w:rPr>
      <w:color w:val="666666"/>
    </w:rPr>
  </w:style>
  <w:style w:type="paragraph" w:styleId="Signature">
    <w:name w:val="Signature"/>
    <w:basedOn w:val="Normal"/>
    <w:link w:val="SignatureChar"/>
    <w:unhideWhenUsed/>
    <w:rsid w:val="00FF6458"/>
    <w:pPr>
      <w:spacing w:before="0"/>
      <w:ind w:left="4252"/>
    </w:pPr>
  </w:style>
  <w:style w:type="character" w:customStyle="1" w:styleId="SignatureChar">
    <w:name w:val="Signature Char"/>
    <w:basedOn w:val="DefaultParagraphFont"/>
    <w:link w:val="Signature"/>
    <w:rsid w:val="00FF6458"/>
    <w:rPr>
      <w:rFonts w:ascii="Calibri" w:hAnsi="Calibri"/>
      <w:sz w:val="24"/>
      <w:lang w:val="en-GB" w:eastAsia="en-US"/>
    </w:rPr>
  </w:style>
  <w:style w:type="character" w:customStyle="1" w:styleId="Heading2Char">
    <w:name w:val="Heading 2 Char"/>
    <w:basedOn w:val="DefaultParagraphFont"/>
    <w:link w:val="Heading2"/>
    <w:rsid w:val="00FF6458"/>
    <w:rPr>
      <w:rFonts w:ascii="Calibri" w:hAnsi="Calibri"/>
      <w:b/>
      <w:sz w:val="24"/>
      <w:lang w:val="en-GB" w:eastAsia="en-US"/>
    </w:rPr>
  </w:style>
  <w:style w:type="character" w:customStyle="1" w:styleId="Heading3Char">
    <w:name w:val="Heading 3 Char"/>
    <w:basedOn w:val="DefaultParagraphFont"/>
    <w:link w:val="Heading3"/>
    <w:rsid w:val="00FF6458"/>
    <w:rPr>
      <w:rFonts w:ascii="Calibri" w:hAnsi="Calibri"/>
      <w:b/>
      <w:sz w:val="24"/>
      <w:lang w:val="en-GB" w:eastAsia="en-US"/>
    </w:rPr>
  </w:style>
  <w:style w:type="character" w:customStyle="1" w:styleId="FootnoteTextChar">
    <w:name w:val="Footnote Text Char"/>
    <w:basedOn w:val="DefaultParagraphFont"/>
    <w:link w:val="FootnoteText"/>
    <w:rsid w:val="00FF6458"/>
    <w:rPr>
      <w:rFonts w:ascii="Calibri" w:hAnsi="Calibri"/>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S25-EGITRS6-C-0001/en" TargetMode="External"/><Relationship Id="rId13" Type="http://schemas.openxmlformats.org/officeDocument/2006/relationships/hyperlink" Target="https://www.itu.int/md/S26-EGITRS6-C-0004/en" TargetMode="External"/><Relationship Id="rId18" Type="http://schemas.openxmlformats.org/officeDocument/2006/relationships/hyperlink" Target="https://www.itu.int/md/S26-EGITRS6-C-0008/en"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itu.int/md/S25-EGITRS5-C-0010/en" TargetMode="External"/><Relationship Id="rId7" Type="http://schemas.openxmlformats.org/officeDocument/2006/relationships/endnotes" Target="endnotes.xml"/><Relationship Id="rId12" Type="http://schemas.openxmlformats.org/officeDocument/2006/relationships/hyperlink" Target="https://www.itu.int/md/S25-EGITRS6-C-0007/en" TargetMode="External"/><Relationship Id="rId17" Type="http://schemas.openxmlformats.org/officeDocument/2006/relationships/hyperlink" Target="https://www.itu.int/dms_pub/itu-s/md/26/egitrs6/c/S26-EGITRS6-C-0004!!MSW-E.docx" TargetMode="External"/><Relationship Id="rId25" Type="http://schemas.openxmlformats.org/officeDocument/2006/relationships/hyperlink" Target="https://www.itu.int/md/T05-ITR.EG-C-0010/en" TargetMode="External"/><Relationship Id="rId2" Type="http://schemas.openxmlformats.org/officeDocument/2006/relationships/numbering" Target="numbering.xml"/><Relationship Id="rId16" Type="http://schemas.openxmlformats.org/officeDocument/2006/relationships/hyperlink" Target="https://www.itu.int/md/S25-EGITRS6-C-0006/en" TargetMode="External"/><Relationship Id="rId20" Type="http://schemas.openxmlformats.org/officeDocument/2006/relationships/hyperlink" Target="https://www.itu.int/md/S26-EGITRS6-C/en"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S25-EGITRS6-C-0003/en" TargetMode="External"/><Relationship Id="rId24" Type="http://schemas.openxmlformats.org/officeDocument/2006/relationships/hyperlink" Target="https://www.itu.int/md/S25-EGITRS4-C-0002/en" TargetMode="External"/><Relationship Id="rId5" Type="http://schemas.openxmlformats.org/officeDocument/2006/relationships/webSettings" Target="webSettings.xml"/><Relationship Id="rId15" Type="http://schemas.openxmlformats.org/officeDocument/2006/relationships/hyperlink" Target="https://www.itu.int/md/S25-EGITRS6-C-0005/en" TargetMode="External"/><Relationship Id="rId23" Type="http://schemas.openxmlformats.org/officeDocument/2006/relationships/hyperlink" Target="https://www.itu.int/md/S24-EGITRS3-C-0002/en" TargetMode="External"/><Relationship Id="rId28" Type="http://schemas.openxmlformats.org/officeDocument/2006/relationships/footer" Target="footer2.xml"/><Relationship Id="rId10" Type="http://schemas.openxmlformats.org/officeDocument/2006/relationships/hyperlink" Target="https://www.itu.int/md/S25-EGITRS6-C-0002/en" TargetMode="External"/><Relationship Id="rId19" Type="http://schemas.openxmlformats.org/officeDocument/2006/relationships/hyperlink" Target="https://www.itu.int/md/S25-EGITRS6-C-0004/en" TargetMode="External"/><Relationship Id="rId4" Type="http://schemas.openxmlformats.org/officeDocument/2006/relationships/settings" Target="settings.xml"/><Relationship Id="rId9" Type="http://schemas.openxmlformats.org/officeDocument/2006/relationships/hyperlink" Target="https://www.itu.int/md/S26-EGITRS6-C-0001/en" TargetMode="External"/><Relationship Id="rId14" Type="http://schemas.openxmlformats.org/officeDocument/2006/relationships/hyperlink" Target="https://www.itu.int/md/S26-EGITRS6-C-0004/en" TargetMode="External"/><Relationship Id="rId22" Type="http://schemas.openxmlformats.org/officeDocument/2006/relationships/hyperlink" Target="https://www.itu.int/md/S23-EGITRS1-C-0002/en" TargetMode="External"/><Relationship Id="rId27" Type="http://schemas.openxmlformats.org/officeDocument/2006/relationships/header" Target="header1.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working-groups/"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itu.int/md/S23-CL-C-0066/en" TargetMode="External"/><Relationship Id="rId1" Type="http://schemas.openxmlformats.org/officeDocument/2006/relationships/hyperlink" Target="https://www.itu.int/md/S23-CL-C-0073/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2261</Words>
  <Characters>14611</Characters>
  <Application>Microsoft Office Word</Application>
  <DocSecurity>0</DocSecurity>
  <Lines>1123</Lines>
  <Paragraphs>766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16106</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sixth meeting of the Expert Group on the International Telecommunication Regulations, 2023-2026 (EG-ITRs)</dc:title>
  <dc:subject>Council Expert Group on the International Telecommunication Regulations</dc:subject>
  <dc:creator/>
  <cp:keywords>EG-ITRs; Council-26; C26</cp:keywords>
  <dc:description/>
  <cp:lastModifiedBy/>
  <cp:revision>1</cp:revision>
  <dcterms:created xsi:type="dcterms:W3CDTF">2026-01-21T16:25:00Z</dcterms:created>
  <dcterms:modified xsi:type="dcterms:W3CDTF">2026-01-21T16:25:00Z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3b511991-8da9-449b-98e8-6511839260fa</vt:lpwstr>
  </property>
</Properties>
</file>