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94DC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CD88C07" w:rsidR="00AD3606" w:rsidRPr="00E94DC4" w:rsidRDefault="00AD3606" w:rsidP="00472BAD">
            <w:pPr>
              <w:tabs>
                <w:tab w:val="left" w:pos="851"/>
              </w:tabs>
              <w:spacing w:before="0" w:line="240" w:lineRule="atLeast"/>
              <w:jc w:val="right"/>
              <w:rPr>
                <w:b/>
                <w:lang w:val="fr-CH"/>
              </w:rPr>
            </w:pPr>
            <w:r w:rsidRPr="00E94DC4">
              <w:rPr>
                <w:b/>
                <w:lang w:val="fr-CH"/>
              </w:rPr>
              <w:t xml:space="preserve">Document </w:t>
            </w:r>
            <w:proofErr w:type="spellStart"/>
            <w:r w:rsidR="00A028B5" w:rsidRPr="00E94DC4">
              <w:rPr>
                <w:b/>
                <w:lang w:val="fr-CH"/>
              </w:rPr>
              <w:t>EG</w:t>
            </w:r>
            <w:proofErr w:type="spellEnd"/>
            <w:r w:rsidR="00A028B5" w:rsidRPr="00E94DC4">
              <w:rPr>
                <w:b/>
                <w:lang w:val="fr-CH"/>
              </w:rPr>
              <w:t>-</w:t>
            </w:r>
            <w:proofErr w:type="spellStart"/>
            <w:r w:rsidR="00A028B5" w:rsidRPr="00E94DC4">
              <w:rPr>
                <w:b/>
                <w:lang w:val="fr-CH"/>
              </w:rPr>
              <w:t>ITRs</w:t>
            </w:r>
            <w:proofErr w:type="spellEnd"/>
            <w:r w:rsidR="00A52C84" w:rsidRPr="00E94DC4">
              <w:rPr>
                <w:b/>
                <w:lang w:val="fr-CH"/>
              </w:rPr>
              <w:t>-</w:t>
            </w:r>
            <w:r w:rsidR="00D74C05" w:rsidRPr="00E94DC4">
              <w:rPr>
                <w:b/>
                <w:lang w:val="fr-CH"/>
              </w:rPr>
              <w:t>6</w:t>
            </w:r>
            <w:r w:rsidRPr="00E94DC4">
              <w:rPr>
                <w:b/>
                <w:lang w:val="fr-CH"/>
              </w:rPr>
              <w:t>/</w:t>
            </w:r>
            <w:r w:rsidR="003E671B">
              <w:rPr>
                <w:b/>
                <w:lang w:val="fr-CH"/>
              </w:rPr>
              <w:t>3</w:t>
            </w:r>
          </w:p>
        </w:tc>
      </w:tr>
      <w:tr w:rsidR="00AD3606" w:rsidRPr="00E94DC4" w14:paraId="789B45BA" w14:textId="77777777" w:rsidTr="00AD3606">
        <w:trPr>
          <w:cantSplit/>
        </w:trPr>
        <w:tc>
          <w:tcPr>
            <w:tcW w:w="3969" w:type="dxa"/>
            <w:vMerge/>
          </w:tcPr>
          <w:p w14:paraId="3F3D4E17" w14:textId="77777777" w:rsidR="00AD3606" w:rsidRPr="00E94DC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35975D28" w:rsidR="00AD3606" w:rsidRPr="00E94DC4" w:rsidRDefault="00FB56C3" w:rsidP="00AD3606">
            <w:pPr>
              <w:tabs>
                <w:tab w:val="left" w:pos="851"/>
              </w:tabs>
              <w:spacing w:before="0"/>
              <w:jc w:val="right"/>
              <w:rPr>
                <w:b/>
              </w:rPr>
            </w:pPr>
            <w:r>
              <w:rPr>
                <w:b/>
              </w:rPr>
              <w:t>17 October 2025</w:t>
            </w:r>
          </w:p>
        </w:tc>
      </w:tr>
      <w:tr w:rsidR="00AD3606" w:rsidRPr="00E94DC4" w14:paraId="58A84C4A" w14:textId="77777777" w:rsidTr="00AD3606">
        <w:trPr>
          <w:cantSplit/>
          <w:trHeight w:val="23"/>
        </w:trPr>
        <w:tc>
          <w:tcPr>
            <w:tcW w:w="3969" w:type="dxa"/>
            <w:vMerge/>
          </w:tcPr>
          <w:p w14:paraId="77CEDDAA" w14:textId="77777777" w:rsidR="00AD3606" w:rsidRPr="00E94DC4"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E94DC4" w:rsidRDefault="00E01B6A" w:rsidP="00AD3606">
            <w:pPr>
              <w:tabs>
                <w:tab w:val="left" w:pos="851"/>
              </w:tabs>
              <w:spacing w:before="0" w:line="240" w:lineRule="atLeast"/>
              <w:jc w:val="right"/>
              <w:rPr>
                <w:b/>
              </w:rPr>
            </w:pPr>
            <w:r w:rsidRPr="00E94DC4">
              <w:rPr>
                <w:b/>
              </w:rPr>
              <w:t>English only</w:t>
            </w:r>
          </w:p>
        </w:tc>
      </w:tr>
      <w:tr w:rsidR="00472BAD" w:rsidRPr="00E94DC4" w14:paraId="12C5EF5F" w14:textId="77777777" w:rsidTr="00AD3606">
        <w:trPr>
          <w:cantSplit/>
          <w:trHeight w:val="23"/>
        </w:trPr>
        <w:tc>
          <w:tcPr>
            <w:tcW w:w="3969" w:type="dxa"/>
          </w:tcPr>
          <w:p w14:paraId="4B839BA2" w14:textId="77777777" w:rsidR="00472BAD" w:rsidRPr="00E94DC4" w:rsidRDefault="00472BAD" w:rsidP="00AD3606">
            <w:pPr>
              <w:tabs>
                <w:tab w:val="left" w:pos="851"/>
              </w:tabs>
              <w:spacing w:line="240" w:lineRule="atLeast"/>
              <w:rPr>
                <w:b/>
              </w:rPr>
            </w:pPr>
          </w:p>
        </w:tc>
        <w:tc>
          <w:tcPr>
            <w:tcW w:w="5245" w:type="dxa"/>
          </w:tcPr>
          <w:p w14:paraId="12F66D25" w14:textId="77777777" w:rsidR="00472BAD" w:rsidRPr="00E94DC4" w:rsidRDefault="00472BAD" w:rsidP="00AD3606">
            <w:pPr>
              <w:tabs>
                <w:tab w:val="left" w:pos="851"/>
              </w:tabs>
              <w:spacing w:before="0" w:line="240" w:lineRule="atLeast"/>
              <w:jc w:val="right"/>
              <w:rPr>
                <w:b/>
              </w:rPr>
            </w:pPr>
          </w:p>
        </w:tc>
      </w:tr>
      <w:tr w:rsidR="00AD3606" w:rsidRPr="00E94DC4" w14:paraId="27000B2A" w14:textId="77777777" w:rsidTr="00AD3606">
        <w:trPr>
          <w:cantSplit/>
        </w:trPr>
        <w:tc>
          <w:tcPr>
            <w:tcW w:w="9214" w:type="dxa"/>
            <w:gridSpan w:val="2"/>
            <w:tcMar>
              <w:left w:w="0" w:type="dxa"/>
            </w:tcMar>
          </w:tcPr>
          <w:p w14:paraId="4E7CDB90" w14:textId="578B5EF7" w:rsidR="00AD3606" w:rsidRPr="00E94DC4" w:rsidRDefault="00244F7F" w:rsidP="009D024E">
            <w:pPr>
              <w:pStyle w:val="Source"/>
              <w:framePr w:hSpace="0" w:wrap="auto" w:vAnchor="margin" w:hAnchor="text" w:xAlign="left" w:yAlign="inline"/>
            </w:pPr>
            <w:bookmarkStart w:id="8" w:name="dsource" w:colFirst="0" w:colLast="0"/>
            <w:bookmarkEnd w:id="7"/>
            <w:r w:rsidRPr="00E94DC4">
              <w:t>Contribution</w:t>
            </w:r>
            <w:r w:rsidR="00AD3606" w:rsidRPr="00E94DC4">
              <w:t xml:space="preserve"> </w:t>
            </w:r>
            <w:r w:rsidR="00F7413F" w:rsidRPr="00E94DC4">
              <w:t>by</w:t>
            </w:r>
            <w:r w:rsidR="00842B11" w:rsidRPr="00E94DC4">
              <w:t xml:space="preserve"> </w:t>
            </w:r>
            <w:r w:rsidR="00FB56C3">
              <w:t>Hill</w:t>
            </w:r>
          </w:p>
        </w:tc>
      </w:tr>
      <w:tr w:rsidR="00AD3606" w:rsidRPr="00E94DC4" w14:paraId="2340750D" w14:textId="77777777" w:rsidTr="00AD3606">
        <w:trPr>
          <w:cantSplit/>
        </w:trPr>
        <w:tc>
          <w:tcPr>
            <w:tcW w:w="9214" w:type="dxa"/>
            <w:gridSpan w:val="2"/>
            <w:tcMar>
              <w:left w:w="0" w:type="dxa"/>
            </w:tcMar>
          </w:tcPr>
          <w:p w14:paraId="47B91AA8" w14:textId="3D462E85" w:rsidR="00AD3606" w:rsidRPr="00E94DC4" w:rsidRDefault="003E671B" w:rsidP="009D024E">
            <w:pPr>
              <w:pStyle w:val="Subtitle"/>
              <w:framePr w:hSpace="0" w:wrap="auto" w:xAlign="left" w:yAlign="inline"/>
            </w:pPr>
            <w:bookmarkStart w:id="9" w:name="dtitle1" w:colFirst="0" w:colLast="0"/>
            <w:bookmarkEnd w:id="8"/>
            <w:r>
              <w:t>CALL FOR AI RED LINES</w:t>
            </w:r>
          </w:p>
        </w:tc>
      </w:tr>
      <w:tr w:rsidR="00AD3606" w:rsidRPr="00E94DC4"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55A65C52" w:rsidR="004D648B" w:rsidRPr="00E94DC4" w:rsidRDefault="004D648B" w:rsidP="004D648B">
            <w:pPr>
              <w:spacing w:before="160"/>
              <w:rPr>
                <w:b/>
                <w:bCs/>
                <w:sz w:val="26"/>
                <w:szCs w:val="26"/>
              </w:rPr>
            </w:pPr>
            <w:r w:rsidRPr="00E94DC4">
              <w:rPr>
                <w:b/>
                <w:bCs/>
                <w:sz w:val="26"/>
                <w:szCs w:val="26"/>
              </w:rPr>
              <w:t>Purpose</w:t>
            </w:r>
          </w:p>
          <w:p w14:paraId="7B62C026" w14:textId="78814EB1" w:rsidR="004D648B" w:rsidRPr="00E94DC4" w:rsidRDefault="003638B7" w:rsidP="00062D9A">
            <w:pPr>
              <w:spacing w:before="160"/>
              <w:jc w:val="both"/>
              <w:rPr>
                <w:szCs w:val="24"/>
              </w:rPr>
            </w:pPr>
            <w:r>
              <w:rPr>
                <w:szCs w:val="24"/>
              </w:rPr>
              <w:t xml:space="preserve">To reinforce the call for binding treaty-level provisions regarding the use of </w:t>
            </w:r>
            <w:r w:rsidR="00062D9A">
              <w:rPr>
                <w:szCs w:val="24"/>
              </w:rPr>
              <w:t xml:space="preserve">artificial intelligence </w:t>
            </w:r>
            <w:r>
              <w:rPr>
                <w:szCs w:val="24"/>
              </w:rPr>
              <w:t>in international telecommunications services.</w:t>
            </w:r>
          </w:p>
          <w:p w14:paraId="16727A07" w14:textId="77777777" w:rsidR="004D648B" w:rsidRPr="00E94DC4" w:rsidRDefault="004D648B" w:rsidP="004D648B">
            <w:pPr>
              <w:spacing w:before="160"/>
              <w:rPr>
                <w:b/>
                <w:bCs/>
                <w:sz w:val="26"/>
                <w:szCs w:val="26"/>
              </w:rPr>
            </w:pPr>
            <w:r w:rsidRPr="00E94DC4">
              <w:rPr>
                <w:b/>
                <w:bCs/>
                <w:sz w:val="26"/>
                <w:szCs w:val="26"/>
              </w:rPr>
              <w:t>Action required</w:t>
            </w:r>
          </w:p>
          <w:p w14:paraId="40C01AB6" w14:textId="417D5CAA" w:rsidR="004D648B" w:rsidRPr="00E94DC4" w:rsidRDefault="009D024E" w:rsidP="00062D9A">
            <w:pPr>
              <w:spacing w:before="160"/>
              <w:jc w:val="both"/>
              <w:rPr>
                <w:b/>
                <w:bCs/>
                <w:szCs w:val="24"/>
              </w:rPr>
            </w:pPr>
            <w:r w:rsidRPr="00E94DC4">
              <w:t xml:space="preserve">The Expert Group on the International Telecommunication Regulations is invited to </w:t>
            </w:r>
            <w:r w:rsidRPr="00E94DC4">
              <w:rPr>
                <w:b/>
                <w:bCs/>
              </w:rPr>
              <w:t>consider</w:t>
            </w:r>
            <w:r w:rsidR="005D7E91">
              <w:rPr>
                <w:b/>
                <w:bCs/>
              </w:rPr>
              <w:t xml:space="preserve"> </w:t>
            </w:r>
            <w:r w:rsidRPr="00E94DC4">
              <w:t>this document.</w:t>
            </w:r>
          </w:p>
          <w:p w14:paraId="48FB95EF" w14:textId="77777777" w:rsidR="00D74C05" w:rsidRPr="00E94DC4" w:rsidRDefault="00D74C05">
            <w:r w:rsidRPr="00E94DC4">
              <w:t>_______________</w:t>
            </w:r>
          </w:p>
          <w:p w14:paraId="00DEE14C" w14:textId="0158CAEA" w:rsidR="00AD3606" w:rsidRPr="00E94DC4" w:rsidRDefault="00F02439" w:rsidP="004D648B">
            <w:pPr>
              <w:spacing w:before="160"/>
              <w:rPr>
                <w:b/>
                <w:bCs/>
                <w:sz w:val="26"/>
                <w:szCs w:val="26"/>
              </w:rPr>
            </w:pPr>
            <w:r w:rsidRPr="00E94DC4">
              <w:rPr>
                <w:b/>
                <w:bCs/>
                <w:sz w:val="26"/>
                <w:szCs w:val="26"/>
              </w:rPr>
              <w:t xml:space="preserve">References </w:t>
            </w:r>
          </w:p>
          <w:p w14:paraId="0175CD6C" w14:textId="0FCA9CF3" w:rsidR="00AD3606" w:rsidRPr="00E94DC4" w:rsidRDefault="003638B7" w:rsidP="00062D9A">
            <w:pPr>
              <w:spacing w:after="160"/>
              <w:jc w:val="both"/>
              <w:rPr>
                <w:i/>
                <w:iCs/>
                <w:sz w:val="22"/>
                <w:szCs w:val="22"/>
              </w:rPr>
            </w:pPr>
            <w:r w:rsidRPr="003638B7">
              <w:rPr>
                <w:i/>
                <w:iCs/>
                <w:sz w:val="22"/>
                <w:szCs w:val="22"/>
              </w:rPr>
              <w:t xml:space="preserve">Council Resolution </w:t>
            </w:r>
            <w:hyperlink r:id="rId8" w:history="1">
              <w:r w:rsidR="00F86198" w:rsidRPr="00F86198">
                <w:rPr>
                  <w:rStyle w:val="Hyperlink"/>
                  <w:i/>
                  <w:iCs/>
                  <w:sz w:val="22"/>
                  <w:szCs w:val="22"/>
                </w:rPr>
                <w:t xml:space="preserve">1379 (Mod. 2023) </w:t>
              </w:r>
              <w:r w:rsidR="00574338">
                <w:rPr>
                  <w:rStyle w:val="Hyperlink"/>
                  <w:i/>
                  <w:iCs/>
                  <w:sz w:val="22"/>
                  <w:szCs w:val="22"/>
                </w:rPr>
                <w:t>–</w:t>
              </w:r>
              <w:r w:rsidR="00F86198" w:rsidRPr="00F86198">
                <w:rPr>
                  <w:rStyle w:val="Hyperlink"/>
                  <w:i/>
                  <w:iCs/>
                  <w:sz w:val="22"/>
                  <w:szCs w:val="22"/>
                </w:rPr>
                <w:t xml:space="preserve"> Terms of Reference</w:t>
              </w:r>
            </w:hyperlink>
            <w:r>
              <w:rPr>
                <w:i/>
                <w:iCs/>
                <w:sz w:val="22"/>
                <w:szCs w:val="22"/>
              </w:rPr>
              <w:t xml:space="preserve">; Documents </w:t>
            </w:r>
            <w:hyperlink r:id="rId9" w:history="1">
              <w:r w:rsidRPr="00D01B70">
                <w:rPr>
                  <w:rStyle w:val="Hyperlink"/>
                  <w:i/>
                  <w:iCs/>
                  <w:sz w:val="22"/>
                  <w:szCs w:val="22"/>
                </w:rPr>
                <w:t>EG-</w:t>
              </w:r>
              <w:proofErr w:type="spellStart"/>
              <w:r w:rsidRPr="00D01B70">
                <w:rPr>
                  <w:rStyle w:val="Hyperlink"/>
                  <w:i/>
                  <w:iCs/>
                  <w:sz w:val="22"/>
                  <w:szCs w:val="22"/>
                </w:rPr>
                <w:t>ITRs</w:t>
              </w:r>
              <w:proofErr w:type="spellEnd"/>
              <w:r w:rsidRPr="00D01B70">
                <w:rPr>
                  <w:rStyle w:val="Hyperlink"/>
                  <w:i/>
                  <w:iCs/>
                  <w:sz w:val="22"/>
                  <w:szCs w:val="22"/>
                </w:rPr>
                <w:t>-5/3</w:t>
              </w:r>
            </w:hyperlink>
            <w:r w:rsidRPr="003638B7">
              <w:rPr>
                <w:i/>
                <w:iCs/>
                <w:sz w:val="22"/>
                <w:szCs w:val="22"/>
              </w:rPr>
              <w:t xml:space="preserve">; </w:t>
            </w:r>
            <w:hyperlink r:id="rId10" w:history="1">
              <w:r w:rsidRPr="00D01B70">
                <w:rPr>
                  <w:rStyle w:val="Hyperlink"/>
                  <w:i/>
                  <w:iCs/>
                  <w:sz w:val="22"/>
                  <w:szCs w:val="22"/>
                </w:rPr>
                <w:t>EG-</w:t>
              </w:r>
              <w:proofErr w:type="spellStart"/>
              <w:r w:rsidRPr="00D01B70">
                <w:rPr>
                  <w:rStyle w:val="Hyperlink"/>
                  <w:i/>
                  <w:iCs/>
                  <w:sz w:val="22"/>
                  <w:szCs w:val="22"/>
                </w:rPr>
                <w:t>ITRs</w:t>
              </w:r>
              <w:proofErr w:type="spellEnd"/>
              <w:r w:rsidRPr="00D01B70">
                <w:rPr>
                  <w:rStyle w:val="Hyperlink"/>
                  <w:i/>
                  <w:iCs/>
                  <w:sz w:val="22"/>
                  <w:szCs w:val="22"/>
                </w:rPr>
                <w:t>-4/4</w:t>
              </w:r>
            </w:hyperlink>
            <w:r w:rsidRPr="003638B7">
              <w:rPr>
                <w:i/>
                <w:iCs/>
                <w:sz w:val="22"/>
                <w:szCs w:val="22"/>
              </w:rPr>
              <w:t xml:space="preserve">; </w:t>
            </w:r>
            <w:hyperlink r:id="rId11" w:history="1">
              <w:r w:rsidRPr="00D01B70">
                <w:rPr>
                  <w:rStyle w:val="Hyperlink"/>
                  <w:i/>
                  <w:iCs/>
                  <w:sz w:val="22"/>
                  <w:szCs w:val="22"/>
                </w:rPr>
                <w:t>EG</w:t>
              </w:r>
              <w:r w:rsidR="00F86198" w:rsidRPr="00D01B70">
                <w:rPr>
                  <w:rStyle w:val="Hyperlink"/>
                  <w:i/>
                  <w:iCs/>
                  <w:sz w:val="22"/>
                  <w:szCs w:val="22"/>
                </w:rPr>
                <w:noBreakHyphen/>
              </w:r>
              <w:proofErr w:type="spellStart"/>
              <w:r w:rsidRPr="00D01B70">
                <w:rPr>
                  <w:rStyle w:val="Hyperlink"/>
                  <w:i/>
                  <w:iCs/>
                  <w:sz w:val="22"/>
                  <w:szCs w:val="22"/>
                </w:rPr>
                <w:t>ITRs</w:t>
              </w:r>
              <w:proofErr w:type="spellEnd"/>
              <w:r w:rsidRPr="00D01B70">
                <w:rPr>
                  <w:rStyle w:val="Hyperlink"/>
                  <w:i/>
                  <w:iCs/>
                  <w:sz w:val="22"/>
                  <w:szCs w:val="22"/>
                </w:rPr>
                <w:t>-4/5</w:t>
              </w:r>
            </w:hyperlink>
            <w:r w:rsidRPr="003638B7">
              <w:rPr>
                <w:i/>
                <w:iCs/>
                <w:sz w:val="22"/>
                <w:szCs w:val="22"/>
              </w:rPr>
              <w:t xml:space="preserve">; </w:t>
            </w:r>
            <w:hyperlink r:id="rId12" w:history="1">
              <w:r w:rsidRPr="0000260A">
                <w:rPr>
                  <w:rStyle w:val="Hyperlink"/>
                  <w:i/>
                  <w:iCs/>
                  <w:sz w:val="22"/>
                  <w:szCs w:val="22"/>
                </w:rPr>
                <w:t>EG-</w:t>
              </w:r>
              <w:proofErr w:type="spellStart"/>
              <w:r w:rsidRPr="0000260A">
                <w:rPr>
                  <w:rStyle w:val="Hyperlink"/>
                  <w:i/>
                  <w:iCs/>
                  <w:sz w:val="22"/>
                  <w:szCs w:val="22"/>
                </w:rPr>
                <w:t>ITR</w:t>
              </w:r>
              <w:r w:rsidR="00F86198" w:rsidRPr="0000260A">
                <w:rPr>
                  <w:rStyle w:val="Hyperlink"/>
                  <w:i/>
                  <w:iCs/>
                  <w:sz w:val="22"/>
                  <w:szCs w:val="22"/>
                </w:rPr>
                <w:t>s</w:t>
              </w:r>
              <w:proofErr w:type="spellEnd"/>
              <w:r w:rsidR="00F86198" w:rsidRPr="0000260A">
                <w:rPr>
                  <w:rStyle w:val="Hyperlink"/>
                  <w:i/>
                  <w:iCs/>
                  <w:sz w:val="22"/>
                  <w:szCs w:val="22"/>
                </w:rPr>
                <w:t>-</w:t>
              </w:r>
              <w:r w:rsidRPr="0000260A">
                <w:rPr>
                  <w:rStyle w:val="Hyperlink"/>
                  <w:i/>
                  <w:iCs/>
                  <w:sz w:val="22"/>
                  <w:szCs w:val="22"/>
                </w:rPr>
                <w:t>3/2</w:t>
              </w:r>
              <w:r w:rsidR="00F86198" w:rsidRPr="0000260A">
                <w:rPr>
                  <w:rStyle w:val="Hyperlink"/>
                  <w:i/>
                  <w:iCs/>
                  <w:sz w:val="22"/>
                  <w:szCs w:val="22"/>
                </w:rPr>
                <w:t>(+</w:t>
              </w:r>
              <w:proofErr w:type="spellStart"/>
              <w:r w:rsidRPr="0000260A">
                <w:rPr>
                  <w:rStyle w:val="Hyperlink"/>
                  <w:i/>
                  <w:iCs/>
                  <w:sz w:val="22"/>
                  <w:szCs w:val="22"/>
                </w:rPr>
                <w:t>Add</w:t>
              </w:r>
              <w:r w:rsidR="00F86198" w:rsidRPr="0000260A">
                <w:rPr>
                  <w:rStyle w:val="Hyperlink"/>
                  <w:i/>
                  <w:iCs/>
                  <w:sz w:val="22"/>
                  <w:szCs w:val="22"/>
                </w:rPr>
                <w:t>.</w:t>
              </w:r>
              <w:r w:rsidRPr="0000260A">
                <w:rPr>
                  <w:rStyle w:val="Hyperlink"/>
                  <w:i/>
                  <w:iCs/>
                  <w:sz w:val="22"/>
                  <w:szCs w:val="22"/>
                </w:rPr>
                <w:t>1</w:t>
              </w:r>
              <w:proofErr w:type="spellEnd"/>
              <w:r w:rsidR="00F86198" w:rsidRPr="0000260A">
                <w:rPr>
                  <w:rStyle w:val="Hyperlink"/>
                  <w:i/>
                  <w:iCs/>
                  <w:sz w:val="22"/>
                  <w:szCs w:val="22"/>
                </w:rPr>
                <w:t>)</w:t>
              </w:r>
            </w:hyperlink>
            <w:r w:rsidR="00F86198">
              <w:rPr>
                <w:i/>
                <w:iCs/>
                <w:sz w:val="22"/>
                <w:szCs w:val="22"/>
              </w:rPr>
              <w:t xml:space="preserve"> and</w:t>
            </w:r>
            <w:r w:rsidRPr="003638B7">
              <w:rPr>
                <w:i/>
                <w:iCs/>
                <w:sz w:val="22"/>
                <w:szCs w:val="22"/>
              </w:rPr>
              <w:t xml:space="preserve">; </w:t>
            </w:r>
            <w:hyperlink r:id="rId13" w:history="1">
              <w:r w:rsidRPr="009E3CCB">
                <w:rPr>
                  <w:rStyle w:val="Hyperlink"/>
                  <w:i/>
                  <w:iCs/>
                  <w:sz w:val="22"/>
                  <w:szCs w:val="22"/>
                </w:rPr>
                <w:t>EG-</w:t>
              </w:r>
              <w:proofErr w:type="spellStart"/>
              <w:r w:rsidRPr="009E3CCB">
                <w:rPr>
                  <w:rStyle w:val="Hyperlink"/>
                  <w:i/>
                  <w:iCs/>
                  <w:sz w:val="22"/>
                  <w:szCs w:val="22"/>
                </w:rPr>
                <w:t>ITR</w:t>
              </w:r>
              <w:r w:rsidR="00F86198" w:rsidRPr="009E3CCB">
                <w:rPr>
                  <w:rStyle w:val="Hyperlink"/>
                  <w:i/>
                  <w:iCs/>
                  <w:sz w:val="22"/>
                  <w:szCs w:val="22"/>
                </w:rPr>
                <w:t>s</w:t>
              </w:r>
              <w:proofErr w:type="spellEnd"/>
              <w:r w:rsidR="00F86198" w:rsidRPr="009E3CCB">
                <w:rPr>
                  <w:rStyle w:val="Hyperlink"/>
                  <w:i/>
                  <w:iCs/>
                  <w:sz w:val="22"/>
                  <w:szCs w:val="22"/>
                </w:rPr>
                <w:t>-</w:t>
              </w:r>
              <w:r w:rsidRPr="009E3CCB">
                <w:rPr>
                  <w:rStyle w:val="Hyperlink"/>
                  <w:i/>
                  <w:iCs/>
                  <w:sz w:val="22"/>
                  <w:szCs w:val="22"/>
                </w:rPr>
                <w:t>2/5</w:t>
              </w:r>
            </w:hyperlink>
          </w:p>
        </w:tc>
      </w:tr>
    </w:tbl>
    <w:p w14:paraId="4CDB8B60" w14:textId="77777777" w:rsidR="00E227F3" w:rsidRPr="003638B7"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582FE41" w14:textId="77777777" w:rsidR="005D7E91" w:rsidRPr="003638B7" w:rsidRDefault="0090147A">
      <w:pPr>
        <w:tabs>
          <w:tab w:val="clear" w:pos="567"/>
          <w:tab w:val="clear" w:pos="1134"/>
          <w:tab w:val="clear" w:pos="1701"/>
          <w:tab w:val="clear" w:pos="2268"/>
          <w:tab w:val="clear" w:pos="2835"/>
        </w:tabs>
        <w:overflowPunct/>
        <w:autoSpaceDE/>
        <w:autoSpaceDN/>
        <w:adjustRightInd/>
        <w:spacing w:before="0"/>
        <w:textAlignment w:val="auto"/>
      </w:pPr>
      <w:r w:rsidRPr="003638B7">
        <w:br w:type="page"/>
      </w:r>
    </w:p>
    <w:p w14:paraId="314B115A" w14:textId="69A28215" w:rsidR="009E3CCB" w:rsidRPr="009E3CCB" w:rsidRDefault="009E3CCB" w:rsidP="009E3CCB">
      <w:pPr>
        <w:pStyle w:val="Headingb"/>
      </w:pPr>
      <w:r w:rsidRPr="009E3CCB">
        <w:lastRenderedPageBreak/>
        <w:t>Summary</w:t>
      </w:r>
      <w:r>
        <w:t xml:space="preserve"> </w:t>
      </w:r>
      <w:r w:rsidRPr="009E3CCB">
        <w:t>of the proposal for the meeting Report</w:t>
      </w:r>
    </w:p>
    <w:p w14:paraId="27E57526" w14:textId="39EC4592" w:rsidR="009E3CCB" w:rsidRPr="009E3CCB" w:rsidRDefault="009E3CCB" w:rsidP="009E3CCB">
      <w:pPr>
        <w:jc w:val="both"/>
      </w:pPr>
      <w:r w:rsidRPr="009E3CCB">
        <w:t xml:space="preserve">This contribution reinforces the call for binding treaty-level provisions regarding the use of </w:t>
      </w:r>
      <w:r w:rsidR="00A405E7" w:rsidRPr="009E3CCB">
        <w:t xml:space="preserve">artificial intelligence </w:t>
      </w:r>
      <w:r w:rsidRPr="009E3CCB">
        <w:t>in international telecommunications services by referencing the September 2025 “Global Call for AI Red Lines” which is broadly supported by prominent leaders in policy, academia, and industry.</w:t>
      </w:r>
    </w:p>
    <w:p w14:paraId="28CC0946" w14:textId="77777777" w:rsidR="009E3CCB" w:rsidRPr="009E3CCB" w:rsidRDefault="009E3CCB" w:rsidP="009E3CCB">
      <w:pPr>
        <w:pStyle w:val="Headingb"/>
      </w:pPr>
      <w:r w:rsidRPr="009E3CCB">
        <w:t>Background</w:t>
      </w:r>
    </w:p>
    <w:p w14:paraId="368C8D6F" w14:textId="3958DD35" w:rsidR="009E3CCB" w:rsidRPr="009E3CCB" w:rsidRDefault="009E3CCB" w:rsidP="007D1AA7">
      <w:pPr>
        <w:jc w:val="both"/>
      </w:pPr>
      <w:r w:rsidRPr="009E3CCB">
        <w:t>As stated in previous contributions (see</w:t>
      </w:r>
      <w:r>
        <w:t>,</w:t>
      </w:r>
      <w:r w:rsidRPr="009E3CCB">
        <w:t xml:space="preserve"> in particular</w:t>
      </w:r>
      <w:r>
        <w:t>,</w:t>
      </w:r>
      <w:r w:rsidRPr="009E3CCB">
        <w:t xml:space="preserve"> </w:t>
      </w:r>
      <w:r>
        <w:t xml:space="preserve">Document </w:t>
      </w:r>
      <w:hyperlink r:id="rId14" w:history="1">
        <w:r w:rsidRPr="009E3CCB">
          <w:rPr>
            <w:rStyle w:val="Hyperlink"/>
          </w:rPr>
          <w:t>EG-</w:t>
        </w:r>
        <w:proofErr w:type="spellStart"/>
        <w:r w:rsidRPr="009E3CCB">
          <w:rPr>
            <w:rStyle w:val="Hyperlink"/>
          </w:rPr>
          <w:t>ITRs</w:t>
        </w:r>
        <w:proofErr w:type="spellEnd"/>
        <w:r w:rsidRPr="009E3CCB">
          <w:rPr>
            <w:rStyle w:val="Hyperlink"/>
          </w:rPr>
          <w:t>-5/3</w:t>
        </w:r>
      </w:hyperlink>
      <w:r w:rsidRPr="009E3CCB">
        <w:t>, Annex 1, no.</w:t>
      </w:r>
      <w:r>
        <w:t> </w:t>
      </w:r>
      <w:r w:rsidRPr="009E3CCB">
        <w:t xml:space="preserve">29), in order to accommodate new trends, consideration should be given to replacing the text of Article 3.3 of the 2012 </w:t>
      </w:r>
      <w:proofErr w:type="spellStart"/>
      <w:r w:rsidRPr="009E3CCB">
        <w:t>ITRs</w:t>
      </w:r>
      <w:proofErr w:type="spellEnd"/>
      <w:r w:rsidRPr="009E3CCB">
        <w:t xml:space="preserve"> with new provisions along the following lines:</w:t>
      </w:r>
    </w:p>
    <w:p w14:paraId="491AAE58" w14:textId="3C88E8BD" w:rsidR="009E3CCB" w:rsidRPr="007D1AA7" w:rsidRDefault="007D1AA7" w:rsidP="007D1AA7">
      <w:pPr>
        <w:jc w:val="both"/>
        <w:rPr>
          <w:i/>
          <w:iCs/>
        </w:rPr>
      </w:pPr>
      <w:r>
        <w:rPr>
          <w:i/>
          <w:iCs/>
        </w:rPr>
        <w:tab/>
      </w:r>
      <w:r w:rsidRPr="007D1AA7">
        <w:rPr>
          <w:i/>
          <w:iCs/>
        </w:rPr>
        <w:t>(</w:t>
      </w:r>
      <w:r w:rsidR="009E3CCB" w:rsidRPr="007D1AA7">
        <w:rPr>
          <w:i/>
          <w:iCs/>
        </w:rPr>
        <w:t>…</w:t>
      </w:r>
      <w:r w:rsidRPr="007D1AA7">
        <w:rPr>
          <w:i/>
          <w:iCs/>
        </w:rPr>
        <w:t>)</w:t>
      </w:r>
    </w:p>
    <w:p w14:paraId="1F9F49B3" w14:textId="533DE6A2" w:rsidR="009E3CCB" w:rsidRPr="007D1AA7" w:rsidRDefault="007D1AA7" w:rsidP="007D1AA7">
      <w:pPr>
        <w:pStyle w:val="enumlev1"/>
        <w:jc w:val="both"/>
        <w:rPr>
          <w:i/>
          <w:iCs/>
        </w:rPr>
      </w:pPr>
      <w:r w:rsidRPr="007D1AA7">
        <w:rPr>
          <w:i/>
          <w:iCs/>
        </w:rPr>
        <w:tab/>
      </w:r>
      <w:r w:rsidR="009E3CCB" w:rsidRPr="007D1AA7">
        <w:rPr>
          <w:i/>
          <w:iCs/>
        </w:rPr>
        <w:t>b)</w:t>
      </w:r>
      <w:r w:rsidRPr="007D1AA7">
        <w:rPr>
          <w:i/>
          <w:iCs/>
        </w:rPr>
        <w:tab/>
      </w:r>
      <w:r w:rsidR="009E3CCB" w:rsidRPr="007D1AA7">
        <w:rPr>
          <w:i/>
          <w:iCs/>
        </w:rPr>
        <w:t>Member States shall endeavour to ensure that Artificial Intelligence (AI) systems used for the international telecommunication network are transparent: it should be clear when something is AI-produced, and the training data and model architectures should be disclosed.</w:t>
      </w:r>
    </w:p>
    <w:p w14:paraId="3CDB28CD" w14:textId="074F8488" w:rsidR="009E3CCB" w:rsidRPr="007D1AA7" w:rsidRDefault="007D1AA7" w:rsidP="007D1AA7">
      <w:pPr>
        <w:pStyle w:val="enumlev1"/>
        <w:jc w:val="both"/>
        <w:rPr>
          <w:i/>
          <w:iCs/>
        </w:rPr>
      </w:pPr>
      <w:r w:rsidRPr="007D1AA7">
        <w:rPr>
          <w:i/>
          <w:iCs/>
        </w:rPr>
        <w:tab/>
      </w:r>
      <w:r w:rsidR="009E3CCB" w:rsidRPr="007D1AA7">
        <w:rPr>
          <w:i/>
          <w:iCs/>
        </w:rPr>
        <w:t>c)</w:t>
      </w:r>
      <w:r w:rsidRPr="007D1AA7">
        <w:rPr>
          <w:i/>
          <w:iCs/>
        </w:rPr>
        <w:tab/>
      </w:r>
      <w:r w:rsidR="009E3CCB" w:rsidRPr="007D1AA7">
        <w:rPr>
          <w:i/>
          <w:iCs/>
        </w:rPr>
        <w:t>Member States shall ensure that builders of AI systems used for the international telecommunication network are accountable for the outputs produced.</w:t>
      </w:r>
    </w:p>
    <w:p w14:paraId="3EB912F8" w14:textId="156C5BA4" w:rsidR="009E3CCB" w:rsidRPr="007D1AA7" w:rsidRDefault="007D1AA7" w:rsidP="007D1AA7">
      <w:pPr>
        <w:pStyle w:val="enumlev1"/>
        <w:jc w:val="both"/>
        <w:rPr>
          <w:i/>
          <w:iCs/>
        </w:rPr>
      </w:pPr>
      <w:r w:rsidRPr="007D1AA7">
        <w:rPr>
          <w:i/>
          <w:iCs/>
        </w:rPr>
        <w:tab/>
      </w:r>
      <w:r w:rsidR="009E3CCB" w:rsidRPr="007D1AA7">
        <w:rPr>
          <w:i/>
          <w:iCs/>
        </w:rPr>
        <w:t>d)</w:t>
      </w:r>
      <w:r w:rsidRPr="007D1AA7">
        <w:rPr>
          <w:i/>
          <w:iCs/>
        </w:rPr>
        <w:tab/>
      </w:r>
      <w:r w:rsidR="009E3CCB" w:rsidRPr="007D1AA7">
        <w:rPr>
          <w:i/>
          <w:iCs/>
        </w:rPr>
        <w:t>Member States shall ensure that AI systems do not have full autonomous control of critical systems or infrastructure used for the international telecommunication network (which would include basic telecommunications infrastructure).</w:t>
      </w:r>
    </w:p>
    <w:p w14:paraId="5D198D68" w14:textId="5C5B8499" w:rsidR="009E3CCB" w:rsidRPr="009E3CCB" w:rsidRDefault="009E3CCB" w:rsidP="009E3CCB">
      <w:pPr>
        <w:pStyle w:val="Headingb"/>
      </w:pPr>
      <w:r w:rsidRPr="009E3CCB">
        <w:t xml:space="preserve">Call for AI </w:t>
      </w:r>
      <w:r w:rsidR="007D1AA7" w:rsidRPr="009E3CCB">
        <w:t>red lines</w:t>
      </w:r>
    </w:p>
    <w:p w14:paraId="59128B4A" w14:textId="0FBACE81" w:rsidR="009E3CCB" w:rsidRPr="009E3CCB" w:rsidRDefault="009E3CCB" w:rsidP="007D1AA7">
      <w:pPr>
        <w:jc w:val="both"/>
      </w:pPr>
      <w:r w:rsidRPr="009E3CCB">
        <w:t>In September 2025, 300+ prominent figures, including 10 former heads of state and ministers, 90+ organizations, and 15 Nobel Prize and Turing Award recipients called for the establishment of “Global Call for AI Red Lines”, see (site accessed on 17 October 2025):</w:t>
      </w:r>
      <w:r w:rsidR="007D1AA7">
        <w:t xml:space="preserve"> </w:t>
      </w:r>
      <w:hyperlink r:id="rId15" w:history="1">
        <w:r w:rsidR="007D1AA7" w:rsidRPr="008C1269">
          <w:rPr>
            <w:rStyle w:val="Hyperlink"/>
          </w:rPr>
          <w:t>https://red-</w:t>
        </w:r>
        <w:proofErr w:type="spellStart"/>
        <w:r w:rsidR="007D1AA7" w:rsidRPr="008C1269">
          <w:rPr>
            <w:rStyle w:val="Hyperlink"/>
          </w:rPr>
          <w:t>lines.ai</w:t>
        </w:r>
        <w:proofErr w:type="spellEnd"/>
        <w:r w:rsidR="007D1AA7" w:rsidRPr="008C1269">
          <w:rPr>
            <w:rStyle w:val="Hyperlink"/>
          </w:rPr>
          <w:t>/</w:t>
        </w:r>
      </w:hyperlink>
      <w:r w:rsidR="007D1AA7">
        <w:t>.</w:t>
      </w:r>
    </w:p>
    <w:p w14:paraId="377687D9" w14:textId="77777777" w:rsidR="009E3CCB" w:rsidRPr="009E3CCB" w:rsidRDefault="009E3CCB" w:rsidP="009E3CCB">
      <w:r w:rsidRPr="009E3CCB">
        <w:t>The Call states:</w:t>
      </w:r>
    </w:p>
    <w:p w14:paraId="5946743C" w14:textId="1ACC5D54" w:rsidR="009E3CCB" w:rsidRPr="007D1AA7" w:rsidRDefault="007D1AA7" w:rsidP="007D1AA7">
      <w:pPr>
        <w:pStyle w:val="enumlev1"/>
        <w:jc w:val="both"/>
        <w:rPr>
          <w:i/>
          <w:iCs/>
        </w:rPr>
      </w:pPr>
      <w:r>
        <w:rPr>
          <w:i/>
          <w:iCs/>
        </w:rPr>
        <w:tab/>
      </w:r>
      <w:r w:rsidR="009E3CCB" w:rsidRPr="007D1AA7">
        <w:rPr>
          <w:i/>
          <w:iCs/>
        </w:rPr>
        <w:t xml:space="preserve">AI holds immense potential to advance human wellbeing, yet its current trajectory presents unprecedented dangers. AI could soon far surpass human capabilities and escalate risks such as engineered pandemics, widespread disinformation, large-scale manipulation of individuals including children, national and international security concerns, mass unemployment, and systematic human rights violations. </w:t>
      </w:r>
    </w:p>
    <w:p w14:paraId="7EE60AEB" w14:textId="2D252E6B" w:rsidR="009E3CCB" w:rsidRPr="007D1AA7" w:rsidRDefault="007D1AA7" w:rsidP="007D1AA7">
      <w:pPr>
        <w:pStyle w:val="enumlev1"/>
        <w:jc w:val="both"/>
        <w:rPr>
          <w:i/>
          <w:iCs/>
        </w:rPr>
      </w:pPr>
      <w:r>
        <w:rPr>
          <w:i/>
          <w:iCs/>
        </w:rPr>
        <w:tab/>
      </w:r>
      <w:r w:rsidR="009E3CCB" w:rsidRPr="007D1AA7">
        <w:rPr>
          <w:i/>
          <w:iCs/>
        </w:rPr>
        <w:t xml:space="preserve">Some advanced AI systems have already exhibited deceptive and harmful </w:t>
      </w:r>
      <w:proofErr w:type="spellStart"/>
      <w:r w:rsidR="009E3CCB" w:rsidRPr="007D1AA7">
        <w:rPr>
          <w:i/>
          <w:iCs/>
        </w:rPr>
        <w:t>behavior</w:t>
      </w:r>
      <w:proofErr w:type="spellEnd"/>
      <w:r w:rsidR="009E3CCB" w:rsidRPr="007D1AA7">
        <w:rPr>
          <w:i/>
          <w:iCs/>
        </w:rPr>
        <w:t xml:space="preserve">, and yet these systems are being given more autonomy to take actions and make decisions in the world. Left unchecked, many experts, including those at the forefront of development, warn that it will become increasingly difficult to exert meaningful human control in the coming years. </w:t>
      </w:r>
    </w:p>
    <w:p w14:paraId="5A3DD381" w14:textId="06727C9E" w:rsidR="009E3CCB" w:rsidRPr="007D1AA7" w:rsidRDefault="007D1AA7" w:rsidP="007D1AA7">
      <w:pPr>
        <w:pStyle w:val="enumlev1"/>
        <w:jc w:val="both"/>
        <w:rPr>
          <w:i/>
          <w:iCs/>
        </w:rPr>
      </w:pPr>
      <w:r>
        <w:rPr>
          <w:i/>
          <w:iCs/>
        </w:rPr>
        <w:tab/>
      </w:r>
      <w:r w:rsidR="009E3CCB" w:rsidRPr="007D1AA7">
        <w:rPr>
          <w:i/>
          <w:iCs/>
        </w:rPr>
        <w:t xml:space="preserve">Governments must act decisively before the window for meaningful intervention closes. An international agreement on clear and verifiable red lines is necessary for preventing universally unacceptable risks. These red lines should build upon and enforce existing global frameworks and voluntary corporate commitments, ensuring that all advanced AI providers are accountable to shared thresholds. </w:t>
      </w:r>
    </w:p>
    <w:p w14:paraId="10E7D8B4" w14:textId="090EC9A7" w:rsidR="009E3CCB" w:rsidRPr="007D1AA7" w:rsidRDefault="007D1AA7" w:rsidP="007D1AA7">
      <w:pPr>
        <w:pStyle w:val="enumlev1"/>
        <w:jc w:val="both"/>
        <w:rPr>
          <w:b/>
          <w:bCs/>
          <w:i/>
          <w:iCs/>
        </w:rPr>
      </w:pPr>
      <w:r>
        <w:rPr>
          <w:i/>
          <w:iCs/>
        </w:rPr>
        <w:lastRenderedPageBreak/>
        <w:tab/>
      </w:r>
      <w:r w:rsidR="009E3CCB" w:rsidRPr="007D1AA7">
        <w:rPr>
          <w:b/>
          <w:bCs/>
          <w:i/>
          <w:iCs/>
        </w:rPr>
        <w:t xml:space="preserve">We urge governments to reach an international agreement on red lines for AI —ensuring they are operational, with robust enforcement mechanisms— by the end of 2026. </w:t>
      </w:r>
    </w:p>
    <w:p w14:paraId="297126E4" w14:textId="4C4694C7" w:rsidR="009E3CCB" w:rsidRPr="009E3CCB" w:rsidRDefault="009E3CCB" w:rsidP="007D1AA7">
      <w:pPr>
        <w:jc w:val="both"/>
      </w:pPr>
      <w:r w:rsidRPr="009E3CCB">
        <w:t xml:space="preserve">The Call includes concrete examples of possible </w:t>
      </w:r>
      <w:r w:rsidR="00574338" w:rsidRPr="009E3CCB">
        <w:t>red lines</w:t>
      </w:r>
      <w:r w:rsidRPr="009E3CCB">
        <w:t xml:space="preserve">. The provisions proposed above for Article 3.3 of the </w:t>
      </w:r>
      <w:proofErr w:type="spellStart"/>
      <w:r w:rsidRPr="009E3CCB">
        <w:t>ITRs</w:t>
      </w:r>
      <w:proofErr w:type="spellEnd"/>
      <w:r w:rsidRPr="009E3CCB">
        <w:t xml:space="preserve"> are consistent with the examples given in the cited Call. In particular, the examples given in the cited Call include:</w:t>
      </w:r>
    </w:p>
    <w:p w14:paraId="74EDC6D3" w14:textId="71428C2E" w:rsidR="009E3CCB" w:rsidRPr="007D1AA7" w:rsidRDefault="007D1AA7" w:rsidP="007D1AA7">
      <w:pPr>
        <w:pStyle w:val="enumlev1"/>
        <w:jc w:val="both"/>
        <w:rPr>
          <w:i/>
          <w:iCs/>
        </w:rPr>
      </w:pPr>
      <w:r w:rsidRPr="007D1AA7">
        <w:rPr>
          <w:i/>
          <w:iCs/>
        </w:rPr>
        <w:tab/>
      </w:r>
      <w:r w:rsidR="009E3CCB" w:rsidRPr="007D1AA7">
        <w:rPr>
          <w:i/>
          <w:iCs/>
        </w:rPr>
        <w:t>Prohibiting the use and deployment of AI systems that deceive users into believing they are interacting with a human without disclosing their AI nature.</w:t>
      </w:r>
    </w:p>
    <w:p w14:paraId="60F1903A" w14:textId="2108C629" w:rsidR="009E3CCB" w:rsidRPr="007D1AA7" w:rsidRDefault="007D1AA7" w:rsidP="007D1AA7">
      <w:pPr>
        <w:pStyle w:val="enumlev1"/>
        <w:jc w:val="both"/>
        <w:rPr>
          <w:i/>
          <w:iCs/>
        </w:rPr>
      </w:pPr>
      <w:r w:rsidRPr="007D1AA7">
        <w:rPr>
          <w:i/>
          <w:iCs/>
        </w:rPr>
        <w:tab/>
      </w:r>
      <w:r w:rsidR="009E3CCB" w:rsidRPr="007D1AA7">
        <w:rPr>
          <w:i/>
          <w:iCs/>
        </w:rPr>
        <w:t>Prohibiting the development and deployment of AI systems capable of replicating or significantly improving themselves without explicit human authorization.</w:t>
      </w:r>
    </w:p>
    <w:p w14:paraId="1D7ED322" w14:textId="68A6D9B3" w:rsidR="0090147A" w:rsidRDefault="007D1AA7" w:rsidP="007D1AA7">
      <w:pPr>
        <w:pStyle w:val="enumlev1"/>
        <w:jc w:val="both"/>
        <w:rPr>
          <w:i/>
          <w:iCs/>
        </w:rPr>
      </w:pPr>
      <w:r w:rsidRPr="007D1AA7">
        <w:rPr>
          <w:i/>
          <w:iCs/>
        </w:rPr>
        <w:tab/>
      </w:r>
      <w:r w:rsidR="009E3CCB" w:rsidRPr="007D1AA7">
        <w:rPr>
          <w:i/>
          <w:iCs/>
        </w:rPr>
        <w:t>Prohibiting the development of AI systems that cannot be immediately terminated if meaningful human control over them is lost.</w:t>
      </w:r>
    </w:p>
    <w:p w14:paraId="48C38FA0" w14:textId="77777777" w:rsidR="00574338" w:rsidRPr="00574338" w:rsidRDefault="00574338" w:rsidP="00574338">
      <w:pPr>
        <w:pStyle w:val="Reasons"/>
      </w:pPr>
    </w:p>
    <w:p w14:paraId="3C1E7F20" w14:textId="4A62746F" w:rsidR="00574338" w:rsidRPr="009E3CCB" w:rsidRDefault="00574338" w:rsidP="00574338">
      <w:pPr>
        <w:jc w:val="center"/>
      </w:pPr>
      <w:r>
        <w:t>______________</w:t>
      </w:r>
    </w:p>
    <w:bookmarkEnd w:id="5"/>
    <w:bookmarkEnd w:id="10"/>
    <w:sectPr w:rsidR="00574338" w:rsidRPr="009E3CCB" w:rsidSect="00AD3606">
      <w:headerReference w:type="even" r:id="rId16"/>
      <w:headerReference w:type="default" r:id="rId17"/>
      <w:footerReference w:type="even" r:id="rId18"/>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0729" w14:textId="77777777" w:rsidR="00687CD9" w:rsidRDefault="00687CD9">
      <w:r>
        <w:separator/>
      </w:r>
    </w:p>
  </w:endnote>
  <w:endnote w:type="continuationSeparator" w:id="0">
    <w:p w14:paraId="3CB39E88" w14:textId="77777777" w:rsidR="00687CD9" w:rsidRDefault="006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25F7" w14:textId="77777777" w:rsidR="003E671B" w:rsidRDefault="003E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3113223E"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028B5">
            <w:rPr>
              <w:bCs/>
            </w:rPr>
            <w:t>EG-</w:t>
          </w:r>
          <w:proofErr w:type="spellStart"/>
          <w:r w:rsidR="00A028B5">
            <w:rPr>
              <w:bCs/>
            </w:rPr>
            <w:t>ITRs</w:t>
          </w:r>
          <w:proofErr w:type="spellEnd"/>
          <w:r w:rsidR="00A52C84">
            <w:rPr>
              <w:bCs/>
            </w:rPr>
            <w:t>-</w:t>
          </w:r>
          <w:r w:rsidR="00D74C05">
            <w:rPr>
              <w:bCs/>
            </w:rPr>
            <w:t>6</w:t>
          </w:r>
          <w:r w:rsidR="00A52C84" w:rsidRPr="00623AE3">
            <w:rPr>
              <w:bCs/>
            </w:rPr>
            <w:t>/</w:t>
          </w:r>
          <w:r w:rsidR="003E671B">
            <w:rPr>
              <w:bCs/>
            </w:rPr>
            <w:t>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DB7BCB1" w:rsidR="00EE49E8" w:rsidRDefault="00A52C84" w:rsidP="00EE49E8">
          <w:pPr>
            <w:pStyle w:val="Header"/>
            <w:jc w:val="left"/>
            <w:rPr>
              <w:noProof/>
            </w:rPr>
          </w:pPr>
          <w:hyperlink r:id="rId1" w:history="1">
            <w:proofErr w:type="spellStart"/>
            <w:r w:rsidRPr="00D74C05">
              <w:rPr>
                <w:rStyle w:val="Hyperlink"/>
              </w:rPr>
              <w:t>council.itu.int</w:t>
            </w:r>
            <w:proofErr w:type="spellEnd"/>
            <w:r w:rsidRPr="00D74C05">
              <w:rPr>
                <w:rStyle w:val="Hyperlink"/>
              </w:rPr>
              <w:t>/working-groups</w:t>
            </w:r>
          </w:hyperlink>
        </w:p>
      </w:tc>
      <w:tc>
        <w:tcPr>
          <w:tcW w:w="6957" w:type="dxa"/>
        </w:tcPr>
        <w:p w14:paraId="3F62E0D8" w14:textId="1AC57FEB" w:rsidR="00EE49E8" w:rsidRPr="00E06FD5" w:rsidRDefault="00EE49E8" w:rsidP="00D74C05">
          <w:pPr>
            <w:pStyle w:val="Header"/>
            <w:tabs>
              <w:tab w:val="left" w:pos="5148"/>
              <w:tab w:val="right" w:pos="8505"/>
              <w:tab w:val="right" w:pos="9639"/>
            </w:tabs>
            <w:jc w:val="left"/>
            <w:rPr>
              <w:rFonts w:ascii="Arial" w:hAnsi="Arial" w:cs="Arial"/>
              <w:b/>
              <w:bCs/>
              <w:szCs w:val="18"/>
            </w:rPr>
          </w:pPr>
          <w:r>
            <w:rPr>
              <w:bCs/>
            </w:rPr>
            <w:tab/>
          </w:r>
          <w:r w:rsidR="00A028B5">
            <w:rPr>
              <w:bCs/>
            </w:rPr>
            <w:t>EG-</w:t>
          </w:r>
          <w:proofErr w:type="spellStart"/>
          <w:r w:rsidR="00A028B5">
            <w:rPr>
              <w:bCs/>
            </w:rPr>
            <w:t>ITRs</w:t>
          </w:r>
          <w:proofErr w:type="spellEnd"/>
          <w:r w:rsidR="00A52C84">
            <w:rPr>
              <w:bCs/>
            </w:rPr>
            <w:t>-</w:t>
          </w:r>
          <w:r w:rsidR="00D74C05">
            <w:rPr>
              <w:bCs/>
            </w:rPr>
            <w:t>6</w:t>
          </w:r>
          <w:r w:rsidRPr="00623AE3">
            <w:rPr>
              <w:bCs/>
            </w:rPr>
            <w:t>/</w:t>
          </w:r>
          <w:r w:rsidR="003E671B">
            <w:rPr>
              <w:bCs/>
            </w:rPr>
            <w:t>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C126" w14:textId="77777777" w:rsidR="00687CD9" w:rsidRDefault="00687CD9">
      <w:r>
        <w:t>____________________</w:t>
      </w:r>
    </w:p>
  </w:footnote>
  <w:footnote w:type="continuationSeparator" w:id="0">
    <w:p w14:paraId="16E88419" w14:textId="77777777" w:rsidR="00687CD9" w:rsidRDefault="0068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DBA3" w14:textId="77777777" w:rsidR="003E671B" w:rsidRDefault="003E6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C9DD" w14:textId="77777777" w:rsidR="003E671B" w:rsidRDefault="003E6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16F04A2F"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D74C05">
                            <w:rPr>
                              <w:sz w:val="20"/>
                            </w:rPr>
                            <w:t>Sixth</w:t>
                          </w:r>
                          <w:r w:rsidR="00130599" w:rsidRPr="00130599">
                            <w:rPr>
                              <w:sz w:val="20"/>
                            </w:rPr>
                            <w:t xml:space="preserve"> meeting </w:t>
                          </w:r>
                          <w:r w:rsidR="00F7413F">
                            <w:rPr>
                              <w:sz w:val="20"/>
                            </w:rPr>
                            <w:t>–</w:t>
                          </w:r>
                          <w:r w:rsidR="00130599" w:rsidRPr="00130599">
                            <w:rPr>
                              <w:sz w:val="20"/>
                            </w:rPr>
                            <w:t xml:space="preserve"> </w:t>
                          </w:r>
                          <w:r w:rsidR="006601B2">
                            <w:rPr>
                              <w:sz w:val="20"/>
                            </w:rPr>
                            <w:t>19</w:t>
                          </w:r>
                          <w:r w:rsidR="00D74C05">
                            <w:rPr>
                              <w:sz w:val="20"/>
                            </w:rPr>
                            <w:t xml:space="preserve"> January </w:t>
                          </w:r>
                          <w:r w:rsidR="00F7413F">
                            <w:rPr>
                              <w:sz w:val="20"/>
                            </w:rPr>
                            <w:t>202</w:t>
                          </w:r>
                          <w:r w:rsidR="00D74C05">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16F04A2F"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D74C05">
                      <w:rPr>
                        <w:sz w:val="20"/>
                      </w:rPr>
                      <w:t>Sixth</w:t>
                    </w:r>
                    <w:r w:rsidR="00130599" w:rsidRPr="00130599">
                      <w:rPr>
                        <w:sz w:val="20"/>
                      </w:rPr>
                      <w:t xml:space="preserve"> meeting </w:t>
                    </w:r>
                    <w:r w:rsidR="00F7413F">
                      <w:rPr>
                        <w:sz w:val="20"/>
                      </w:rPr>
                      <w:t>–</w:t>
                    </w:r>
                    <w:r w:rsidR="00130599" w:rsidRPr="00130599">
                      <w:rPr>
                        <w:sz w:val="20"/>
                      </w:rPr>
                      <w:t xml:space="preserve"> </w:t>
                    </w:r>
                    <w:r w:rsidR="006601B2">
                      <w:rPr>
                        <w:sz w:val="20"/>
                      </w:rPr>
                      <w:t>19</w:t>
                    </w:r>
                    <w:r w:rsidR="00D74C05">
                      <w:rPr>
                        <w:sz w:val="20"/>
                      </w:rPr>
                      <w:t xml:space="preserve"> January </w:t>
                    </w:r>
                    <w:r w:rsidR="00F7413F">
                      <w:rPr>
                        <w:sz w:val="20"/>
                      </w:rPr>
                      <w:t>202</w:t>
                    </w:r>
                    <w:r w:rsidR="00D74C05">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260A"/>
    <w:rsid w:val="000210D4"/>
    <w:rsid w:val="00062D9A"/>
    <w:rsid w:val="00063016"/>
    <w:rsid w:val="00066795"/>
    <w:rsid w:val="00076AF6"/>
    <w:rsid w:val="00085CF2"/>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0555B"/>
    <w:rsid w:val="002119FD"/>
    <w:rsid w:val="002130E0"/>
    <w:rsid w:val="00244F7F"/>
    <w:rsid w:val="00264425"/>
    <w:rsid w:val="00265875"/>
    <w:rsid w:val="0027303B"/>
    <w:rsid w:val="0028109B"/>
    <w:rsid w:val="00293B38"/>
    <w:rsid w:val="002A2188"/>
    <w:rsid w:val="002B1F58"/>
    <w:rsid w:val="002C1C7A"/>
    <w:rsid w:val="002C54E2"/>
    <w:rsid w:val="002C70D3"/>
    <w:rsid w:val="0030160F"/>
    <w:rsid w:val="00320223"/>
    <w:rsid w:val="00322D0D"/>
    <w:rsid w:val="00361465"/>
    <w:rsid w:val="003638B7"/>
    <w:rsid w:val="0036415F"/>
    <w:rsid w:val="003877F5"/>
    <w:rsid w:val="003942D4"/>
    <w:rsid w:val="003958A8"/>
    <w:rsid w:val="003C2533"/>
    <w:rsid w:val="003D5A7F"/>
    <w:rsid w:val="003E671B"/>
    <w:rsid w:val="004016E2"/>
    <w:rsid w:val="0040435A"/>
    <w:rsid w:val="0041571E"/>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74338"/>
    <w:rsid w:val="005800BC"/>
    <w:rsid w:val="00582442"/>
    <w:rsid w:val="005A335D"/>
    <w:rsid w:val="005D7E91"/>
    <w:rsid w:val="005E2BD5"/>
    <w:rsid w:val="005F3269"/>
    <w:rsid w:val="00623AE3"/>
    <w:rsid w:val="00636853"/>
    <w:rsid w:val="0064737F"/>
    <w:rsid w:val="006535F1"/>
    <w:rsid w:val="0065557D"/>
    <w:rsid w:val="006577BB"/>
    <w:rsid w:val="006601B2"/>
    <w:rsid w:val="00660D50"/>
    <w:rsid w:val="00662984"/>
    <w:rsid w:val="006716BB"/>
    <w:rsid w:val="00687CD9"/>
    <w:rsid w:val="006B1859"/>
    <w:rsid w:val="006B6680"/>
    <w:rsid w:val="006B6DCC"/>
    <w:rsid w:val="006C11BB"/>
    <w:rsid w:val="00702DEF"/>
    <w:rsid w:val="00706861"/>
    <w:rsid w:val="00745D44"/>
    <w:rsid w:val="0075051B"/>
    <w:rsid w:val="00775655"/>
    <w:rsid w:val="00793188"/>
    <w:rsid w:val="00794D34"/>
    <w:rsid w:val="00794DFC"/>
    <w:rsid w:val="007D1AA7"/>
    <w:rsid w:val="00813E5E"/>
    <w:rsid w:val="00815106"/>
    <w:rsid w:val="0083408D"/>
    <w:rsid w:val="0083581B"/>
    <w:rsid w:val="00842B11"/>
    <w:rsid w:val="00863874"/>
    <w:rsid w:val="00864AFF"/>
    <w:rsid w:val="00865925"/>
    <w:rsid w:val="0086704D"/>
    <w:rsid w:val="008964B4"/>
    <w:rsid w:val="008975FE"/>
    <w:rsid w:val="008B4A6A"/>
    <w:rsid w:val="008C7E27"/>
    <w:rsid w:val="008F7448"/>
    <w:rsid w:val="0090147A"/>
    <w:rsid w:val="009173EF"/>
    <w:rsid w:val="00932906"/>
    <w:rsid w:val="00961B0B"/>
    <w:rsid w:val="00962D33"/>
    <w:rsid w:val="00986132"/>
    <w:rsid w:val="009B38C3"/>
    <w:rsid w:val="009D024E"/>
    <w:rsid w:val="009E17BD"/>
    <w:rsid w:val="009E3CCB"/>
    <w:rsid w:val="009E485A"/>
    <w:rsid w:val="00A028B5"/>
    <w:rsid w:val="00A04CEC"/>
    <w:rsid w:val="00A27F92"/>
    <w:rsid w:val="00A32257"/>
    <w:rsid w:val="00A36D20"/>
    <w:rsid w:val="00A405E7"/>
    <w:rsid w:val="00A467DF"/>
    <w:rsid w:val="00A514A4"/>
    <w:rsid w:val="00A52C84"/>
    <w:rsid w:val="00A55622"/>
    <w:rsid w:val="00A83502"/>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C251A"/>
    <w:rsid w:val="00BD032B"/>
    <w:rsid w:val="00BE2640"/>
    <w:rsid w:val="00BE6E33"/>
    <w:rsid w:val="00BF0749"/>
    <w:rsid w:val="00C01189"/>
    <w:rsid w:val="00C374DE"/>
    <w:rsid w:val="00C47AD4"/>
    <w:rsid w:val="00C52D81"/>
    <w:rsid w:val="00C55198"/>
    <w:rsid w:val="00CA6393"/>
    <w:rsid w:val="00CB18FF"/>
    <w:rsid w:val="00CD0C08"/>
    <w:rsid w:val="00CE03FB"/>
    <w:rsid w:val="00CE433C"/>
    <w:rsid w:val="00CF0161"/>
    <w:rsid w:val="00CF33F3"/>
    <w:rsid w:val="00D01B70"/>
    <w:rsid w:val="00D06183"/>
    <w:rsid w:val="00D22C42"/>
    <w:rsid w:val="00D464CC"/>
    <w:rsid w:val="00D53C61"/>
    <w:rsid w:val="00D65041"/>
    <w:rsid w:val="00D670A7"/>
    <w:rsid w:val="00D74C05"/>
    <w:rsid w:val="00DB00D5"/>
    <w:rsid w:val="00DB1936"/>
    <w:rsid w:val="00DB384B"/>
    <w:rsid w:val="00DC0573"/>
    <w:rsid w:val="00DF0189"/>
    <w:rsid w:val="00E01B6A"/>
    <w:rsid w:val="00E06FD5"/>
    <w:rsid w:val="00E10E80"/>
    <w:rsid w:val="00E124F0"/>
    <w:rsid w:val="00E227F3"/>
    <w:rsid w:val="00E543AC"/>
    <w:rsid w:val="00E545C6"/>
    <w:rsid w:val="00E60F04"/>
    <w:rsid w:val="00E65B24"/>
    <w:rsid w:val="00E854E4"/>
    <w:rsid w:val="00E86DBF"/>
    <w:rsid w:val="00E94DC4"/>
    <w:rsid w:val="00EB0D6F"/>
    <w:rsid w:val="00EB2232"/>
    <w:rsid w:val="00EC5337"/>
    <w:rsid w:val="00EE49E8"/>
    <w:rsid w:val="00F02439"/>
    <w:rsid w:val="00F16BAB"/>
    <w:rsid w:val="00F2150A"/>
    <w:rsid w:val="00F231D8"/>
    <w:rsid w:val="00F44C00"/>
    <w:rsid w:val="00F45D2C"/>
    <w:rsid w:val="00F46C5F"/>
    <w:rsid w:val="00F632C0"/>
    <w:rsid w:val="00F7413F"/>
    <w:rsid w:val="00F74694"/>
    <w:rsid w:val="00F86198"/>
    <w:rsid w:val="00F94A63"/>
    <w:rsid w:val="00FA1C28"/>
    <w:rsid w:val="00FB1279"/>
    <w:rsid w:val="00FB56C3"/>
    <w:rsid w:val="00FB6B76"/>
    <w:rsid w:val="00FB7596"/>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DC0573"/>
    <w:rPr>
      <w:color w:val="666666"/>
    </w:rPr>
  </w:style>
  <w:style w:type="paragraph" w:customStyle="1" w:styleId="Reasons">
    <w:name w:val="Reasons"/>
    <w:basedOn w:val="Normal"/>
    <w:qFormat/>
    <w:rsid w:val="00574338"/>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md/S24-EGITRS2-C-0005/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int/md/S24-EGITRS3-C-0002/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EGITRS4-C-0005/en" TargetMode="External"/><Relationship Id="rId5" Type="http://schemas.openxmlformats.org/officeDocument/2006/relationships/webSettings" Target="webSettings.xml"/><Relationship Id="rId15" Type="http://schemas.openxmlformats.org/officeDocument/2006/relationships/hyperlink" Target="https://red-lines.ai/" TargetMode="External"/><Relationship Id="rId23" Type="http://schemas.openxmlformats.org/officeDocument/2006/relationships/theme" Target="theme/theme1.xml"/><Relationship Id="rId10" Type="http://schemas.openxmlformats.org/officeDocument/2006/relationships/hyperlink" Target="https://www.itu.int/md/S25-EGITRS4-C-0004/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5-EGITRS5-C-0003/en" TargetMode="External"/><Relationship Id="rId14" Type="http://schemas.openxmlformats.org/officeDocument/2006/relationships/hyperlink" Target="https://www.itu.int/md/S25-EGITRS5-C-0003/en"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3586</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HILL - Call for AI Red Lines</vt:lpstr>
    </vt:vector>
  </TitlesOfParts>
  <Manager/>
  <Company/>
  <LinksUpToDate>false</LinksUpToDate>
  <CharactersWithSpaces>4160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 - Call for AI Red Lines</dc:title>
  <dc:subject>Council Expert Group on the International Telecommunication Regulations</dc:subject>
  <dc:creator/>
  <cp:keywords>EG-ITRs; Council-26; C26</cp:keywords>
  <dc:description/>
  <cp:lastModifiedBy/>
  <dcterms:created xsi:type="dcterms:W3CDTF">2025-10-20T09:16:00Z</dcterms:created>
  <dcterms:modified xsi:type="dcterms:W3CDTF">2025-10-20T13:50:00Z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1aa79a70-86d2-4c13-801f-f85098b147e8</vt:lpwstr>
  </property>
</Properties>
</file>