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94DC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C028724" w:rsidR="00AD3606" w:rsidRPr="00E94DC4" w:rsidRDefault="00AD3606" w:rsidP="00472BAD">
            <w:pPr>
              <w:tabs>
                <w:tab w:val="left" w:pos="851"/>
              </w:tabs>
              <w:spacing w:before="0" w:line="240" w:lineRule="atLeast"/>
              <w:jc w:val="right"/>
              <w:rPr>
                <w:b/>
                <w:lang w:val="fr-CH"/>
              </w:rPr>
            </w:pPr>
            <w:r w:rsidRPr="00E94DC4">
              <w:rPr>
                <w:b/>
                <w:lang w:val="fr-CH"/>
              </w:rPr>
              <w:t xml:space="preserve">Document </w:t>
            </w:r>
            <w:proofErr w:type="spellStart"/>
            <w:r w:rsidR="00A028B5" w:rsidRPr="00E94DC4">
              <w:rPr>
                <w:b/>
                <w:lang w:val="fr-CH"/>
              </w:rPr>
              <w:t>EG</w:t>
            </w:r>
            <w:proofErr w:type="spellEnd"/>
            <w:r w:rsidR="00A028B5" w:rsidRPr="00E94DC4">
              <w:rPr>
                <w:b/>
                <w:lang w:val="fr-CH"/>
              </w:rPr>
              <w:t>-</w:t>
            </w:r>
            <w:proofErr w:type="spellStart"/>
            <w:r w:rsidR="00A028B5" w:rsidRPr="00E94DC4">
              <w:rPr>
                <w:b/>
                <w:lang w:val="fr-CH"/>
              </w:rPr>
              <w:t>ITRs</w:t>
            </w:r>
            <w:proofErr w:type="spellEnd"/>
            <w:r w:rsidR="00A52C84" w:rsidRPr="00E94DC4">
              <w:rPr>
                <w:b/>
                <w:lang w:val="fr-CH"/>
              </w:rPr>
              <w:t>-</w:t>
            </w:r>
            <w:r w:rsidR="00D74C05" w:rsidRPr="00E94DC4">
              <w:rPr>
                <w:b/>
                <w:lang w:val="fr-CH"/>
              </w:rPr>
              <w:t>6</w:t>
            </w:r>
            <w:r w:rsidRPr="00E94DC4">
              <w:rPr>
                <w:b/>
                <w:lang w:val="fr-CH"/>
              </w:rPr>
              <w:t>/</w:t>
            </w:r>
            <w:r w:rsidR="003E46F5">
              <w:rPr>
                <w:b/>
                <w:lang w:val="fr-CH"/>
              </w:rPr>
              <w:t>2</w:t>
            </w:r>
          </w:p>
        </w:tc>
      </w:tr>
      <w:tr w:rsidR="00AD3606" w:rsidRPr="00E94DC4" w14:paraId="789B45BA" w14:textId="77777777" w:rsidTr="00AD3606">
        <w:trPr>
          <w:cantSplit/>
        </w:trPr>
        <w:tc>
          <w:tcPr>
            <w:tcW w:w="3969" w:type="dxa"/>
            <w:vMerge/>
          </w:tcPr>
          <w:p w14:paraId="3F3D4E17" w14:textId="77777777" w:rsidR="00AD3606" w:rsidRPr="00E94DC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7F81AC90" w:rsidR="00AD3606" w:rsidRPr="00E94DC4" w:rsidRDefault="009C0F27" w:rsidP="00AD3606">
            <w:pPr>
              <w:tabs>
                <w:tab w:val="left" w:pos="851"/>
              </w:tabs>
              <w:spacing w:before="0"/>
              <w:jc w:val="right"/>
              <w:rPr>
                <w:b/>
              </w:rPr>
            </w:pPr>
            <w:r>
              <w:rPr>
                <w:b/>
              </w:rPr>
              <w:t>17 October 2025</w:t>
            </w:r>
          </w:p>
        </w:tc>
      </w:tr>
      <w:tr w:rsidR="00AD3606" w:rsidRPr="00E94DC4" w14:paraId="58A84C4A" w14:textId="77777777" w:rsidTr="00AD3606">
        <w:trPr>
          <w:cantSplit/>
          <w:trHeight w:val="23"/>
        </w:trPr>
        <w:tc>
          <w:tcPr>
            <w:tcW w:w="3969" w:type="dxa"/>
            <w:vMerge/>
          </w:tcPr>
          <w:p w14:paraId="77CEDDAA" w14:textId="77777777" w:rsidR="00AD3606" w:rsidRPr="00E94DC4"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94DC4" w:rsidRDefault="00E01B6A" w:rsidP="00AD3606">
            <w:pPr>
              <w:tabs>
                <w:tab w:val="left" w:pos="851"/>
              </w:tabs>
              <w:spacing w:before="0" w:line="240" w:lineRule="atLeast"/>
              <w:jc w:val="right"/>
              <w:rPr>
                <w:b/>
              </w:rPr>
            </w:pPr>
            <w:r w:rsidRPr="00E94DC4">
              <w:rPr>
                <w:b/>
              </w:rPr>
              <w:t>English only</w:t>
            </w:r>
          </w:p>
        </w:tc>
      </w:tr>
      <w:tr w:rsidR="00472BAD" w:rsidRPr="00E94DC4" w14:paraId="12C5EF5F" w14:textId="77777777" w:rsidTr="00AD3606">
        <w:trPr>
          <w:cantSplit/>
          <w:trHeight w:val="23"/>
        </w:trPr>
        <w:tc>
          <w:tcPr>
            <w:tcW w:w="3969" w:type="dxa"/>
          </w:tcPr>
          <w:p w14:paraId="4B839BA2" w14:textId="77777777" w:rsidR="00472BAD" w:rsidRPr="00E94DC4" w:rsidRDefault="00472BAD" w:rsidP="00AD3606">
            <w:pPr>
              <w:tabs>
                <w:tab w:val="left" w:pos="851"/>
              </w:tabs>
              <w:spacing w:line="240" w:lineRule="atLeast"/>
              <w:rPr>
                <w:b/>
              </w:rPr>
            </w:pPr>
          </w:p>
        </w:tc>
        <w:tc>
          <w:tcPr>
            <w:tcW w:w="5245" w:type="dxa"/>
          </w:tcPr>
          <w:p w14:paraId="12F66D25" w14:textId="77777777" w:rsidR="00472BAD" w:rsidRPr="00E94DC4" w:rsidRDefault="00472BAD" w:rsidP="00AD3606">
            <w:pPr>
              <w:tabs>
                <w:tab w:val="left" w:pos="851"/>
              </w:tabs>
              <w:spacing w:before="0" w:line="240" w:lineRule="atLeast"/>
              <w:jc w:val="right"/>
              <w:rPr>
                <w:b/>
              </w:rPr>
            </w:pPr>
          </w:p>
        </w:tc>
      </w:tr>
      <w:tr w:rsidR="00AD3606" w:rsidRPr="00E94DC4" w14:paraId="27000B2A" w14:textId="77777777" w:rsidTr="00AD3606">
        <w:trPr>
          <w:cantSplit/>
        </w:trPr>
        <w:tc>
          <w:tcPr>
            <w:tcW w:w="9214" w:type="dxa"/>
            <w:gridSpan w:val="2"/>
            <w:tcMar>
              <w:left w:w="0" w:type="dxa"/>
            </w:tcMar>
          </w:tcPr>
          <w:p w14:paraId="4E7CDB90" w14:textId="790AC257" w:rsidR="00AD3606" w:rsidRPr="00E94DC4" w:rsidRDefault="00244F7F" w:rsidP="009D024E">
            <w:pPr>
              <w:pStyle w:val="Source"/>
              <w:framePr w:hSpace="0" w:wrap="auto" w:vAnchor="margin" w:hAnchor="text" w:xAlign="left" w:yAlign="inline"/>
            </w:pPr>
            <w:bookmarkStart w:id="8" w:name="dsource" w:colFirst="0" w:colLast="0"/>
            <w:bookmarkEnd w:id="7"/>
            <w:r w:rsidRPr="00E94DC4">
              <w:t>Contribution</w:t>
            </w:r>
            <w:r w:rsidR="00AD3606" w:rsidRPr="00E94DC4">
              <w:t xml:space="preserve"> </w:t>
            </w:r>
            <w:r w:rsidR="00F7413F" w:rsidRPr="00E94DC4">
              <w:t>by</w:t>
            </w:r>
            <w:r w:rsidR="00842B11" w:rsidRPr="00E94DC4">
              <w:t xml:space="preserve"> </w:t>
            </w:r>
            <w:r w:rsidR="009C0F27">
              <w:t>Hill</w:t>
            </w:r>
          </w:p>
        </w:tc>
      </w:tr>
      <w:tr w:rsidR="00AD3606" w:rsidRPr="00E94DC4" w14:paraId="2340750D" w14:textId="77777777" w:rsidTr="00AD3606">
        <w:trPr>
          <w:cantSplit/>
        </w:trPr>
        <w:tc>
          <w:tcPr>
            <w:tcW w:w="9214" w:type="dxa"/>
            <w:gridSpan w:val="2"/>
            <w:tcMar>
              <w:left w:w="0" w:type="dxa"/>
            </w:tcMar>
          </w:tcPr>
          <w:p w14:paraId="47B91AA8" w14:textId="4D6CE6C9" w:rsidR="00AD3606" w:rsidRPr="00E94DC4" w:rsidRDefault="0090517D" w:rsidP="009D024E">
            <w:pPr>
              <w:pStyle w:val="Subtitle"/>
              <w:framePr w:hSpace="0" w:wrap="auto" w:xAlign="left" w:yAlign="inline"/>
            </w:pPr>
            <w:bookmarkStart w:id="9" w:name="dtitle1" w:colFirst="0" w:colLast="0"/>
            <w:bookmarkEnd w:id="8"/>
            <w:r>
              <w:t xml:space="preserve">IMPACT OF THE </w:t>
            </w:r>
            <w:proofErr w:type="spellStart"/>
            <w:r>
              <w:t>ITRs</w:t>
            </w:r>
            <w:proofErr w:type="spellEnd"/>
          </w:p>
        </w:tc>
      </w:tr>
      <w:tr w:rsidR="00AD3606" w:rsidRPr="00E94DC4"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E94DC4" w:rsidRDefault="004D648B" w:rsidP="004D648B">
            <w:pPr>
              <w:spacing w:before="160"/>
              <w:rPr>
                <w:b/>
                <w:bCs/>
                <w:sz w:val="26"/>
                <w:szCs w:val="26"/>
              </w:rPr>
            </w:pPr>
            <w:r w:rsidRPr="00E94DC4">
              <w:rPr>
                <w:b/>
                <w:bCs/>
                <w:sz w:val="26"/>
                <w:szCs w:val="26"/>
              </w:rPr>
              <w:t>Purpose</w:t>
            </w:r>
          </w:p>
          <w:p w14:paraId="7B62C026" w14:textId="56CFF7AB" w:rsidR="004D648B" w:rsidRPr="00990D91" w:rsidRDefault="00990D91" w:rsidP="00990D91">
            <w:pPr>
              <w:spacing w:before="160"/>
              <w:jc w:val="both"/>
              <w:rPr>
                <w:szCs w:val="24"/>
              </w:rPr>
            </w:pPr>
            <w:r>
              <w:rPr>
                <w:szCs w:val="24"/>
              </w:rPr>
              <w:t xml:space="preserve">To remind the Group that the 1988 </w:t>
            </w:r>
            <w:proofErr w:type="spellStart"/>
            <w:r>
              <w:rPr>
                <w:szCs w:val="24"/>
              </w:rPr>
              <w:t>ITRs</w:t>
            </w:r>
            <w:proofErr w:type="spellEnd"/>
            <w:r>
              <w:rPr>
                <w:szCs w:val="24"/>
              </w:rPr>
              <w:t xml:space="preserve"> were instrumental in facilitating </w:t>
            </w:r>
            <w:r>
              <w:t>the successful deployment and use of telecommunication services and applications worldwide, including in particular the expansion of networks based on the TCP/IP protocol and of the services popularly referred to as the Internet</w:t>
            </w:r>
            <w:r>
              <w:rPr>
                <w:szCs w:val="24"/>
              </w:rPr>
              <w:t xml:space="preserve">. </w:t>
            </w:r>
          </w:p>
          <w:p w14:paraId="16727A07" w14:textId="77777777" w:rsidR="004D648B" w:rsidRPr="00E94DC4" w:rsidRDefault="004D648B" w:rsidP="004D648B">
            <w:pPr>
              <w:spacing w:before="160"/>
              <w:rPr>
                <w:b/>
                <w:bCs/>
                <w:sz w:val="26"/>
                <w:szCs w:val="26"/>
              </w:rPr>
            </w:pPr>
            <w:r w:rsidRPr="00E94DC4">
              <w:rPr>
                <w:b/>
                <w:bCs/>
                <w:sz w:val="26"/>
                <w:szCs w:val="26"/>
              </w:rPr>
              <w:t>Action required</w:t>
            </w:r>
          </w:p>
          <w:p w14:paraId="40C01AB6" w14:textId="2D5A89C9" w:rsidR="004D648B" w:rsidRPr="00E94DC4" w:rsidRDefault="009D024E" w:rsidP="00990D91">
            <w:pPr>
              <w:spacing w:before="160"/>
              <w:jc w:val="both"/>
              <w:rPr>
                <w:b/>
                <w:bCs/>
                <w:szCs w:val="24"/>
              </w:rPr>
            </w:pPr>
            <w:r w:rsidRPr="00E94DC4">
              <w:t xml:space="preserve">The Expert Group on the International Telecommunication Regulations is invited to </w:t>
            </w:r>
            <w:r w:rsidRPr="00E94DC4">
              <w:rPr>
                <w:b/>
                <w:bCs/>
              </w:rPr>
              <w:t>consider</w:t>
            </w:r>
            <w:r w:rsidR="005D7E91">
              <w:rPr>
                <w:b/>
                <w:bCs/>
              </w:rPr>
              <w:t xml:space="preserve"> </w:t>
            </w:r>
            <w:r w:rsidRPr="00E94DC4">
              <w:t>this document.</w:t>
            </w:r>
          </w:p>
          <w:p w14:paraId="48FB95EF" w14:textId="77777777" w:rsidR="00D74C05" w:rsidRPr="00E94DC4" w:rsidRDefault="00D74C05">
            <w:r w:rsidRPr="00E94DC4">
              <w:t>_______________</w:t>
            </w:r>
          </w:p>
          <w:p w14:paraId="00DEE14C" w14:textId="1B4B5847" w:rsidR="00AD3606" w:rsidRPr="00E94DC4" w:rsidRDefault="00F02439" w:rsidP="004D648B">
            <w:pPr>
              <w:spacing w:before="160"/>
              <w:rPr>
                <w:b/>
                <w:bCs/>
                <w:sz w:val="26"/>
                <w:szCs w:val="26"/>
              </w:rPr>
            </w:pPr>
            <w:r w:rsidRPr="00E94DC4">
              <w:rPr>
                <w:b/>
                <w:bCs/>
                <w:sz w:val="26"/>
                <w:szCs w:val="26"/>
              </w:rPr>
              <w:t xml:space="preserve">References </w:t>
            </w:r>
          </w:p>
          <w:p w14:paraId="0175CD6C" w14:textId="0DD57352" w:rsidR="00AD3606" w:rsidRPr="00E94DC4" w:rsidRDefault="00990D91" w:rsidP="00F16BAB">
            <w:pPr>
              <w:spacing w:after="160"/>
              <w:rPr>
                <w:i/>
                <w:iCs/>
                <w:sz w:val="22"/>
                <w:szCs w:val="22"/>
              </w:rPr>
            </w:pPr>
            <w:r w:rsidRPr="003638B7">
              <w:rPr>
                <w:i/>
                <w:iCs/>
                <w:sz w:val="22"/>
                <w:szCs w:val="22"/>
              </w:rPr>
              <w:t xml:space="preserve">Council Resolution </w:t>
            </w:r>
            <w:hyperlink r:id="rId8" w:history="1">
              <w:r w:rsidRPr="00F86198">
                <w:rPr>
                  <w:rStyle w:val="Hyperlink"/>
                  <w:i/>
                  <w:iCs/>
                  <w:sz w:val="22"/>
                  <w:szCs w:val="22"/>
                </w:rPr>
                <w:t xml:space="preserve">1379 (Mod. 2023) </w:t>
              </w:r>
              <w:r>
                <w:rPr>
                  <w:rStyle w:val="Hyperlink"/>
                  <w:i/>
                  <w:iCs/>
                  <w:sz w:val="22"/>
                  <w:szCs w:val="22"/>
                </w:rPr>
                <w:t>–</w:t>
              </w:r>
              <w:r w:rsidRPr="00F86198">
                <w:rPr>
                  <w:rStyle w:val="Hyperlink"/>
                  <w:i/>
                  <w:iCs/>
                  <w:sz w:val="22"/>
                  <w:szCs w:val="22"/>
                </w:rPr>
                <w:t xml:space="preserve"> Terms of Reference</w:t>
              </w:r>
            </w:hyperlink>
            <w:r>
              <w:rPr>
                <w:i/>
                <w:iCs/>
                <w:sz w:val="22"/>
                <w:szCs w:val="22"/>
              </w:rPr>
              <w:t>; Documents</w:t>
            </w:r>
            <w:r>
              <w:t xml:space="preserve"> </w:t>
            </w:r>
            <w:hyperlink r:id="rId9" w:history="1">
              <w:proofErr w:type="spellStart"/>
              <w:r w:rsidRPr="00990D91">
                <w:rPr>
                  <w:rStyle w:val="Hyperlink"/>
                  <w:i/>
                  <w:iCs/>
                  <w:sz w:val="22"/>
                  <w:szCs w:val="22"/>
                </w:rPr>
                <w:t>ITR</w:t>
              </w:r>
              <w:proofErr w:type="spellEnd"/>
              <w:r w:rsidRPr="00990D91">
                <w:rPr>
                  <w:rStyle w:val="Hyperlink"/>
                  <w:i/>
                  <w:iCs/>
                  <w:sz w:val="22"/>
                  <w:szCs w:val="22"/>
                </w:rPr>
                <w:t>-EG-</w:t>
              </w:r>
              <w:proofErr w:type="spellStart"/>
              <w:r w:rsidRPr="00990D91">
                <w:rPr>
                  <w:rStyle w:val="Hyperlink"/>
                  <w:i/>
                  <w:iCs/>
                  <w:sz w:val="22"/>
                  <w:szCs w:val="22"/>
                </w:rPr>
                <w:t>C10</w:t>
              </w:r>
              <w:proofErr w:type="spellEnd"/>
            </w:hyperlink>
            <w:r w:rsidRPr="003638B7">
              <w:rPr>
                <w:i/>
                <w:iCs/>
                <w:sz w:val="22"/>
                <w:szCs w:val="22"/>
              </w:rPr>
              <w:t xml:space="preserve">; </w:t>
            </w:r>
            <w:hyperlink r:id="rId10" w:history="1">
              <w:r w:rsidRPr="00D01B70">
                <w:rPr>
                  <w:rStyle w:val="Hyperlink"/>
                  <w:i/>
                  <w:iCs/>
                  <w:sz w:val="22"/>
                  <w:szCs w:val="22"/>
                </w:rPr>
                <w:t>EG-</w:t>
              </w:r>
              <w:proofErr w:type="spellStart"/>
              <w:r w:rsidRPr="00D01B70">
                <w:rPr>
                  <w:rStyle w:val="Hyperlink"/>
                  <w:i/>
                  <w:iCs/>
                  <w:sz w:val="22"/>
                  <w:szCs w:val="22"/>
                </w:rPr>
                <w:t>ITRs</w:t>
              </w:r>
              <w:proofErr w:type="spellEnd"/>
              <w:r w:rsidRPr="00D01B70">
                <w:rPr>
                  <w:rStyle w:val="Hyperlink"/>
                  <w:i/>
                  <w:iCs/>
                  <w:sz w:val="22"/>
                  <w:szCs w:val="22"/>
                </w:rPr>
                <w:t>-</w:t>
              </w:r>
              <w:r>
                <w:rPr>
                  <w:rStyle w:val="Hyperlink"/>
                  <w:i/>
                  <w:iCs/>
                  <w:sz w:val="22"/>
                  <w:szCs w:val="22"/>
                </w:rPr>
                <w:t>1</w:t>
              </w:r>
              <w:r w:rsidRPr="00D01B70">
                <w:rPr>
                  <w:rStyle w:val="Hyperlink"/>
                  <w:i/>
                  <w:iCs/>
                  <w:sz w:val="22"/>
                  <w:szCs w:val="22"/>
                </w:rPr>
                <w:t>/</w:t>
              </w:r>
              <w:r>
                <w:rPr>
                  <w:rStyle w:val="Hyperlink"/>
                  <w:i/>
                  <w:iCs/>
                  <w:sz w:val="22"/>
                  <w:szCs w:val="22"/>
                </w:rPr>
                <w:t>2</w:t>
              </w:r>
            </w:hyperlink>
            <w:r w:rsidRPr="003638B7">
              <w:rPr>
                <w:i/>
                <w:iCs/>
                <w:sz w:val="22"/>
                <w:szCs w:val="22"/>
              </w:rPr>
              <w:t xml:space="preserve">; </w:t>
            </w:r>
            <w:hyperlink r:id="rId11" w:history="1">
              <w:r w:rsidRPr="0000260A">
                <w:rPr>
                  <w:rStyle w:val="Hyperlink"/>
                  <w:i/>
                  <w:iCs/>
                  <w:sz w:val="22"/>
                  <w:szCs w:val="22"/>
                </w:rPr>
                <w:t>EG</w:t>
              </w:r>
              <w:r w:rsidR="0027703D">
                <w:rPr>
                  <w:rStyle w:val="Hyperlink"/>
                  <w:i/>
                  <w:iCs/>
                  <w:sz w:val="22"/>
                  <w:szCs w:val="22"/>
                </w:rPr>
                <w:noBreakHyphen/>
              </w:r>
              <w:proofErr w:type="spellStart"/>
              <w:r w:rsidRPr="0000260A">
                <w:rPr>
                  <w:rStyle w:val="Hyperlink"/>
                  <w:i/>
                  <w:iCs/>
                  <w:sz w:val="22"/>
                  <w:szCs w:val="22"/>
                </w:rPr>
                <w:t>ITRs</w:t>
              </w:r>
              <w:proofErr w:type="spellEnd"/>
              <w:r w:rsidRPr="0000260A">
                <w:rPr>
                  <w:rStyle w:val="Hyperlink"/>
                  <w:i/>
                  <w:iCs/>
                  <w:sz w:val="22"/>
                  <w:szCs w:val="22"/>
                </w:rPr>
                <w:t>-3/2</w:t>
              </w:r>
            </w:hyperlink>
            <w:r w:rsidR="001E2BE8" w:rsidRPr="003638B7">
              <w:rPr>
                <w:i/>
                <w:iCs/>
                <w:sz w:val="22"/>
                <w:szCs w:val="22"/>
              </w:rPr>
              <w:t>;</w:t>
            </w:r>
            <w:r>
              <w:rPr>
                <w:i/>
                <w:iCs/>
                <w:sz w:val="22"/>
                <w:szCs w:val="22"/>
              </w:rPr>
              <w:t xml:space="preserve"> </w:t>
            </w:r>
            <w:hyperlink r:id="rId12" w:history="1">
              <w:r w:rsidR="001E2BE8" w:rsidRPr="00D01B70">
                <w:rPr>
                  <w:rStyle w:val="Hyperlink"/>
                  <w:i/>
                  <w:iCs/>
                  <w:sz w:val="22"/>
                  <w:szCs w:val="22"/>
                </w:rPr>
                <w:t>EG</w:t>
              </w:r>
              <w:r w:rsidR="001E2BE8" w:rsidRPr="00D01B70">
                <w:rPr>
                  <w:rStyle w:val="Hyperlink"/>
                  <w:i/>
                  <w:iCs/>
                  <w:sz w:val="22"/>
                  <w:szCs w:val="22"/>
                </w:rPr>
                <w:noBreakHyphen/>
              </w:r>
              <w:proofErr w:type="spellStart"/>
              <w:r w:rsidR="001E2BE8" w:rsidRPr="00D01B70">
                <w:rPr>
                  <w:rStyle w:val="Hyperlink"/>
                  <w:i/>
                  <w:iCs/>
                  <w:sz w:val="22"/>
                  <w:szCs w:val="22"/>
                </w:rPr>
                <w:t>ITRs</w:t>
              </w:r>
              <w:proofErr w:type="spellEnd"/>
              <w:r w:rsidR="001E2BE8" w:rsidRPr="00D01B70">
                <w:rPr>
                  <w:rStyle w:val="Hyperlink"/>
                  <w:i/>
                  <w:iCs/>
                  <w:sz w:val="22"/>
                  <w:szCs w:val="22"/>
                </w:rPr>
                <w:t>-4/</w:t>
              </w:r>
              <w:r w:rsidR="001E2BE8">
                <w:rPr>
                  <w:rStyle w:val="Hyperlink"/>
                  <w:i/>
                  <w:iCs/>
                  <w:sz w:val="22"/>
                  <w:szCs w:val="22"/>
                </w:rPr>
                <w:t>2</w:t>
              </w:r>
            </w:hyperlink>
            <w:r w:rsidR="001E2BE8" w:rsidRPr="003638B7">
              <w:rPr>
                <w:i/>
                <w:iCs/>
                <w:sz w:val="22"/>
                <w:szCs w:val="22"/>
              </w:rPr>
              <w:t xml:space="preserve"> </w:t>
            </w:r>
            <w:r>
              <w:rPr>
                <w:i/>
                <w:iCs/>
                <w:sz w:val="22"/>
                <w:szCs w:val="22"/>
              </w:rPr>
              <w:t>and</w:t>
            </w:r>
            <w:r w:rsidRPr="003638B7">
              <w:rPr>
                <w:i/>
                <w:iCs/>
                <w:sz w:val="22"/>
                <w:szCs w:val="22"/>
              </w:rPr>
              <w:t xml:space="preserve"> </w:t>
            </w:r>
            <w:hyperlink r:id="rId13" w:history="1">
              <w:r w:rsidR="0027703D">
                <w:rPr>
                  <w:rStyle w:val="Hyperlink"/>
                  <w:i/>
                  <w:iCs/>
                  <w:sz w:val="22"/>
                  <w:szCs w:val="22"/>
                </w:rPr>
                <w:t>EG-</w:t>
              </w:r>
              <w:proofErr w:type="spellStart"/>
              <w:r w:rsidR="0027703D">
                <w:rPr>
                  <w:rStyle w:val="Hyperlink"/>
                  <w:i/>
                  <w:iCs/>
                  <w:sz w:val="22"/>
                  <w:szCs w:val="22"/>
                </w:rPr>
                <w:t>ITRs</w:t>
              </w:r>
              <w:proofErr w:type="spellEnd"/>
              <w:r w:rsidR="0027703D">
                <w:rPr>
                  <w:rStyle w:val="Hyperlink"/>
                  <w:i/>
                  <w:iCs/>
                  <w:sz w:val="22"/>
                  <w:szCs w:val="22"/>
                </w:rPr>
                <w:t>-5/10(</w:t>
              </w:r>
              <w:proofErr w:type="spellStart"/>
              <w:r w:rsidR="0027703D">
                <w:rPr>
                  <w:rStyle w:val="Hyperlink"/>
                  <w:i/>
                  <w:iCs/>
                  <w:sz w:val="22"/>
                  <w:szCs w:val="22"/>
                </w:rPr>
                <w:t>Rev.1</w:t>
              </w:r>
              <w:proofErr w:type="spellEnd"/>
              <w:r w:rsidR="0027703D">
                <w:rPr>
                  <w:rStyle w:val="Hyperlink"/>
                  <w:i/>
                  <w:iCs/>
                  <w:sz w:val="22"/>
                  <w:szCs w:val="22"/>
                </w:rPr>
                <w:t>)</w:t>
              </w:r>
            </w:hyperlink>
          </w:p>
        </w:tc>
      </w:tr>
    </w:tbl>
    <w:p w14:paraId="4CDB8B60" w14:textId="77777777" w:rsidR="00E227F3" w:rsidRPr="00990D91"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582FE41" w14:textId="77777777" w:rsidR="005D7E91" w:rsidRPr="00990D91" w:rsidRDefault="0090147A">
      <w:pPr>
        <w:tabs>
          <w:tab w:val="clear" w:pos="567"/>
          <w:tab w:val="clear" w:pos="1134"/>
          <w:tab w:val="clear" w:pos="1701"/>
          <w:tab w:val="clear" w:pos="2268"/>
          <w:tab w:val="clear" w:pos="2835"/>
        </w:tabs>
        <w:overflowPunct/>
        <w:autoSpaceDE/>
        <w:autoSpaceDN/>
        <w:adjustRightInd/>
        <w:spacing w:before="0"/>
        <w:textAlignment w:val="auto"/>
      </w:pPr>
      <w:r w:rsidRPr="00990D91">
        <w:br w:type="page"/>
      </w:r>
    </w:p>
    <w:p w14:paraId="2D35EC94" w14:textId="79AE18F9" w:rsidR="0027703D" w:rsidRPr="0027703D" w:rsidRDefault="0027703D" w:rsidP="0027703D">
      <w:pPr>
        <w:pStyle w:val="Headingb"/>
      </w:pPr>
      <w:r w:rsidRPr="0027703D">
        <w:lastRenderedPageBreak/>
        <w:t>Summary of the proposal for the meeting report</w:t>
      </w:r>
    </w:p>
    <w:p w14:paraId="08C1B586" w14:textId="77777777" w:rsidR="0027703D" w:rsidRPr="0027703D" w:rsidRDefault="0027703D" w:rsidP="0027703D">
      <w:pPr>
        <w:jc w:val="both"/>
      </w:pPr>
      <w:r w:rsidRPr="0027703D">
        <w:t xml:space="preserve">The 1988 </w:t>
      </w:r>
      <w:proofErr w:type="spellStart"/>
      <w:r w:rsidRPr="0027703D">
        <w:t>ITRs</w:t>
      </w:r>
      <w:proofErr w:type="spellEnd"/>
      <w:r w:rsidRPr="0027703D">
        <w:t xml:space="preserve"> were instrumental in facilitating the successful deployment and use of telecommunication services and applications worldwide, including in particular the expansion of networks based on the TCP/IP protocol and of the services popularly referred to as the Internet: Article 9, Special Arrangements, removed restrictions that could have impeded the expansion of such services. We request that the text of this contribution be annexed, as a statement </w:t>
      </w:r>
      <w:proofErr w:type="gramStart"/>
      <w:r w:rsidRPr="0027703D">
        <w:t>from Hill,</w:t>
      </w:r>
      <w:proofErr w:type="gramEnd"/>
      <w:r w:rsidRPr="0027703D">
        <w:t xml:space="preserve"> to the report of the present meeting.</w:t>
      </w:r>
    </w:p>
    <w:p w14:paraId="0A5D7B4C" w14:textId="77777777" w:rsidR="0027703D" w:rsidRPr="0027703D" w:rsidRDefault="0027703D" w:rsidP="0027703D">
      <w:pPr>
        <w:pStyle w:val="Headingb"/>
      </w:pPr>
      <w:r w:rsidRPr="0027703D">
        <w:t>Background</w:t>
      </w:r>
    </w:p>
    <w:p w14:paraId="3F4FCD21" w14:textId="5CF400D6" w:rsidR="0027703D" w:rsidRPr="0027703D" w:rsidRDefault="0027703D" w:rsidP="000C43D0">
      <w:pPr>
        <w:jc w:val="both"/>
      </w:pPr>
      <w:r w:rsidRPr="0027703D">
        <w:t>I</w:t>
      </w:r>
      <w:r w:rsidR="000C43D0">
        <w:t>n</w:t>
      </w:r>
      <w:r w:rsidRPr="0027703D">
        <w:t xml:space="preserve"> its statement annexed to the report of the fifth meeting of the EG-</w:t>
      </w:r>
      <w:proofErr w:type="spellStart"/>
      <w:r w:rsidRPr="0027703D">
        <w:t>ITRs</w:t>
      </w:r>
      <w:proofErr w:type="spellEnd"/>
      <w:r w:rsidRPr="0027703D">
        <w:t xml:space="preserve"> (</w:t>
      </w:r>
      <w:r w:rsidR="000C43D0">
        <w:t>see Document </w:t>
      </w:r>
      <w:hyperlink r:id="rId14" w:history="1">
        <w:r w:rsidRPr="000C43D0">
          <w:rPr>
            <w:rStyle w:val="Hyperlink"/>
          </w:rPr>
          <w:t>EG</w:t>
        </w:r>
        <w:r w:rsidR="000C43D0" w:rsidRPr="000C43D0">
          <w:rPr>
            <w:rStyle w:val="Hyperlink"/>
          </w:rPr>
          <w:noBreakHyphen/>
        </w:r>
        <w:proofErr w:type="spellStart"/>
        <w:r w:rsidRPr="000C43D0">
          <w:rPr>
            <w:rStyle w:val="Hyperlink"/>
          </w:rPr>
          <w:t>ITRs</w:t>
        </w:r>
        <w:proofErr w:type="spellEnd"/>
        <w:r w:rsidRPr="000C43D0">
          <w:rPr>
            <w:rStyle w:val="Hyperlink"/>
          </w:rPr>
          <w:t>-5/10</w:t>
        </w:r>
      </w:hyperlink>
      <w:r w:rsidRPr="0027703D">
        <w:t>), Canada states:</w:t>
      </w:r>
    </w:p>
    <w:p w14:paraId="737D3F81" w14:textId="55920004" w:rsidR="0027703D" w:rsidRPr="000C43D0" w:rsidRDefault="000C43D0" w:rsidP="000C43D0">
      <w:pPr>
        <w:pStyle w:val="enumlev1"/>
        <w:jc w:val="both"/>
        <w:rPr>
          <w:i/>
          <w:iCs/>
        </w:rPr>
      </w:pPr>
      <w:r w:rsidRPr="000C43D0">
        <w:rPr>
          <w:i/>
          <w:iCs/>
        </w:rPr>
        <w:tab/>
        <w:t>(</w:t>
      </w:r>
      <w:r w:rsidR="0027703D" w:rsidRPr="000C43D0">
        <w:rPr>
          <w:i/>
          <w:iCs/>
        </w:rPr>
        <w:t>…</w:t>
      </w:r>
      <w:r w:rsidRPr="000C43D0">
        <w:rPr>
          <w:i/>
          <w:iCs/>
        </w:rPr>
        <w:t>)</w:t>
      </w:r>
      <w:r w:rsidR="0027703D" w:rsidRPr="000C43D0">
        <w:rPr>
          <w:i/>
          <w:iCs/>
        </w:rPr>
        <w:t xml:space="preserve"> the successful deployment and use of telecommunication services and applications worldwide, as reflected and evidenced in several international telecommunication reports and publications, including those of the ITU, has not been the result of the </w:t>
      </w:r>
      <w:proofErr w:type="spellStart"/>
      <w:r w:rsidR="0027703D" w:rsidRPr="000C43D0">
        <w:rPr>
          <w:i/>
          <w:iCs/>
        </w:rPr>
        <w:t>ITRs</w:t>
      </w:r>
      <w:proofErr w:type="spellEnd"/>
      <w:r w:rsidR="0027703D" w:rsidRPr="000C43D0">
        <w:rPr>
          <w:i/>
          <w:iCs/>
        </w:rPr>
        <w:t xml:space="preserve">. </w:t>
      </w:r>
      <w:r w:rsidRPr="000C43D0">
        <w:rPr>
          <w:i/>
          <w:iCs/>
        </w:rPr>
        <w:t>(</w:t>
      </w:r>
      <w:r w:rsidR="0027703D" w:rsidRPr="000C43D0">
        <w:rPr>
          <w:i/>
          <w:iCs/>
        </w:rPr>
        <w:t>…</w:t>
      </w:r>
      <w:r w:rsidRPr="000C43D0">
        <w:rPr>
          <w:i/>
          <w:iCs/>
        </w:rPr>
        <w:t>)</w:t>
      </w:r>
    </w:p>
    <w:p w14:paraId="26FA33DF" w14:textId="77777777" w:rsidR="0027703D" w:rsidRPr="0027703D" w:rsidRDefault="0027703D" w:rsidP="0027703D">
      <w:r w:rsidRPr="0027703D">
        <w:t>However, several contributions to the EG-</w:t>
      </w:r>
      <w:proofErr w:type="spellStart"/>
      <w:r w:rsidRPr="0027703D">
        <w:t>ITRs</w:t>
      </w:r>
      <w:proofErr w:type="spellEnd"/>
      <w:r w:rsidRPr="0027703D">
        <w:t xml:space="preserve"> have set forth a different view.</w:t>
      </w:r>
    </w:p>
    <w:p w14:paraId="67A4BD2A" w14:textId="77777777" w:rsidR="0027703D" w:rsidRPr="0027703D" w:rsidRDefault="0027703D" w:rsidP="000C43D0">
      <w:pPr>
        <w:pStyle w:val="Headingb"/>
      </w:pPr>
      <w:r w:rsidRPr="0027703D">
        <w:t xml:space="preserve">Impact of the </w:t>
      </w:r>
      <w:proofErr w:type="spellStart"/>
      <w:r w:rsidRPr="0027703D">
        <w:t>ITRs</w:t>
      </w:r>
      <w:proofErr w:type="spellEnd"/>
    </w:p>
    <w:p w14:paraId="35F9D537" w14:textId="709611B3" w:rsidR="0027703D" w:rsidRPr="0027703D" w:rsidRDefault="000C43D0" w:rsidP="0027703D">
      <w:r>
        <w:t xml:space="preserve">Document </w:t>
      </w:r>
      <w:hyperlink r:id="rId15" w:history="1">
        <w:r w:rsidR="0027703D" w:rsidRPr="000C43D0">
          <w:rPr>
            <w:rStyle w:val="Hyperlink"/>
          </w:rPr>
          <w:t>EG-</w:t>
        </w:r>
        <w:proofErr w:type="spellStart"/>
        <w:r w:rsidR="0027703D" w:rsidRPr="000C43D0">
          <w:rPr>
            <w:rStyle w:val="Hyperlink"/>
          </w:rPr>
          <w:t>ITRs</w:t>
        </w:r>
        <w:proofErr w:type="spellEnd"/>
        <w:r w:rsidR="0027703D" w:rsidRPr="000C43D0">
          <w:rPr>
            <w:rStyle w:val="Hyperlink"/>
          </w:rPr>
          <w:t>-1/2</w:t>
        </w:r>
      </w:hyperlink>
      <w:r w:rsidR="0027703D" w:rsidRPr="0027703D">
        <w:t xml:space="preserve"> states:</w:t>
      </w:r>
    </w:p>
    <w:p w14:paraId="4C757A78" w14:textId="712ABF04" w:rsidR="0027703D" w:rsidRPr="000C43D0" w:rsidRDefault="000C43D0" w:rsidP="000C43D0">
      <w:pPr>
        <w:pStyle w:val="enumlev1"/>
        <w:jc w:val="both"/>
        <w:rPr>
          <w:i/>
          <w:iCs/>
        </w:rPr>
      </w:pPr>
      <w:r w:rsidRPr="000C43D0">
        <w:rPr>
          <w:i/>
          <w:iCs/>
        </w:rPr>
        <w:tab/>
      </w:r>
      <w:r w:rsidR="0027703D" w:rsidRPr="000C43D0">
        <w:rPr>
          <w:i/>
          <w:iCs/>
        </w:rPr>
        <w:t>1.8</w:t>
      </w:r>
      <w:r w:rsidRPr="000C43D0">
        <w:rPr>
          <w:i/>
          <w:iCs/>
        </w:rPr>
        <w:tab/>
      </w:r>
      <w:r w:rsidR="0027703D" w:rsidRPr="000C43D0">
        <w:rPr>
          <w:i/>
          <w:iCs/>
        </w:rPr>
        <w:t>Further, contrary to what seems to be implied in C 73</w:t>
      </w:r>
      <w:r w:rsidR="00EE513F">
        <w:rPr>
          <w:rStyle w:val="FootnoteReference"/>
          <w:i/>
          <w:iCs/>
        </w:rPr>
        <w:footnoteReference w:customMarkFollows="1" w:id="1"/>
        <w:t>2</w:t>
      </w:r>
      <w:r w:rsidR="0027703D" w:rsidRPr="000C43D0">
        <w:rPr>
          <w:i/>
          <w:iCs/>
        </w:rPr>
        <w:t>, and C 66</w:t>
      </w:r>
      <w:r w:rsidR="00EE513F">
        <w:rPr>
          <w:rStyle w:val="FootnoteReference"/>
          <w:i/>
          <w:iCs/>
        </w:rPr>
        <w:footnoteReference w:customMarkFollows="1" w:id="2"/>
        <w:t>3</w:t>
      </w:r>
      <w:r w:rsidR="0027703D" w:rsidRPr="000C43D0">
        <w:rPr>
          <w:i/>
          <w:iCs/>
        </w:rPr>
        <w:t xml:space="preserve">, all international telecommunication services rely on the </w:t>
      </w:r>
      <w:proofErr w:type="spellStart"/>
      <w:r w:rsidR="0027703D" w:rsidRPr="000C43D0">
        <w:rPr>
          <w:i/>
          <w:iCs/>
        </w:rPr>
        <w:t>ITRs</w:t>
      </w:r>
      <w:proofErr w:type="spellEnd"/>
      <w:r w:rsidR="0027703D" w:rsidRPr="000C43D0">
        <w:rPr>
          <w:i/>
          <w:iCs/>
        </w:rPr>
        <w:t xml:space="preserve"> to some extent, and the provisions of the </w:t>
      </w:r>
      <w:proofErr w:type="spellStart"/>
      <w:r w:rsidR="0027703D" w:rsidRPr="000C43D0">
        <w:rPr>
          <w:i/>
          <w:iCs/>
        </w:rPr>
        <w:t>ITRs</w:t>
      </w:r>
      <w:proofErr w:type="spellEnd"/>
      <w:r w:rsidR="0027703D" w:rsidRPr="000C43D0">
        <w:rPr>
          <w:i/>
          <w:iCs/>
        </w:rPr>
        <w:t xml:space="preserve"> </w:t>
      </w:r>
      <w:r w:rsidR="0027703D" w:rsidRPr="008236AF">
        <w:rPr>
          <w:b/>
          <w:bCs/>
          <w:i/>
          <w:iCs/>
          <w:u w:val="single"/>
        </w:rPr>
        <w:t>are</w:t>
      </w:r>
      <w:r w:rsidR="0027703D" w:rsidRPr="000C43D0">
        <w:rPr>
          <w:i/>
          <w:iCs/>
        </w:rPr>
        <w:t xml:space="preserve"> applicable in fostering the provision and development of international telecommunication/ICT services and networks. While most international telecommunication services no longer use the accounting rates of Article 6 of the 1988 </w:t>
      </w:r>
      <w:proofErr w:type="spellStart"/>
      <w:r w:rsidR="0027703D" w:rsidRPr="000C43D0">
        <w:rPr>
          <w:i/>
          <w:iCs/>
        </w:rPr>
        <w:t>ITRs</w:t>
      </w:r>
      <w:proofErr w:type="spellEnd"/>
      <w:r w:rsidR="0027703D" w:rsidRPr="000C43D0">
        <w:rPr>
          <w:i/>
          <w:iCs/>
        </w:rPr>
        <w:t xml:space="preserve">, Internet traffic is enabled by the Special Arrangements of Article 9 of the 1988 </w:t>
      </w:r>
      <w:proofErr w:type="spellStart"/>
      <w:r w:rsidR="0027703D" w:rsidRPr="000C43D0">
        <w:rPr>
          <w:i/>
          <w:iCs/>
        </w:rPr>
        <w:t>ITRs</w:t>
      </w:r>
      <w:proofErr w:type="spellEnd"/>
      <w:r w:rsidR="008236AF">
        <w:rPr>
          <w:rStyle w:val="FootnoteReference"/>
          <w:i/>
          <w:iCs/>
        </w:rPr>
        <w:footnoteReference w:customMarkFollows="1" w:id="3"/>
        <w:t>4</w:t>
      </w:r>
      <w:r w:rsidR="0027703D" w:rsidRPr="000C43D0">
        <w:rPr>
          <w:i/>
          <w:iCs/>
        </w:rPr>
        <w:t xml:space="preserve">. Indeed, the 2012 </w:t>
      </w:r>
      <w:proofErr w:type="spellStart"/>
      <w:r w:rsidR="0027703D" w:rsidRPr="000C43D0">
        <w:rPr>
          <w:i/>
          <w:iCs/>
        </w:rPr>
        <w:t>ITRs</w:t>
      </w:r>
      <w:proofErr w:type="spellEnd"/>
      <w:r w:rsidR="0027703D" w:rsidRPr="000C43D0">
        <w:rPr>
          <w:i/>
          <w:iCs/>
        </w:rPr>
        <w:t xml:space="preserve"> recognize the fact, in their Article 8, that accounting rates are no longer prevalent, however Special Provisions were retained as Article 13, in order to ensure that Internet traffic would not be disrupted. </w:t>
      </w:r>
      <w:r w:rsidR="00CF1EC7">
        <w:rPr>
          <w:i/>
          <w:iCs/>
        </w:rPr>
        <w:t>(</w:t>
      </w:r>
      <w:r w:rsidR="0027703D" w:rsidRPr="000C43D0">
        <w:rPr>
          <w:i/>
          <w:iCs/>
        </w:rPr>
        <w:t>…</w:t>
      </w:r>
      <w:r w:rsidR="00CF1EC7">
        <w:rPr>
          <w:i/>
          <w:iCs/>
        </w:rPr>
        <w:t>)</w:t>
      </w:r>
    </w:p>
    <w:p w14:paraId="51E81F1D" w14:textId="776D778A" w:rsidR="0027703D" w:rsidRPr="0027703D" w:rsidRDefault="0027703D" w:rsidP="0027703D">
      <w:r w:rsidRPr="0027703D">
        <w:t xml:space="preserve">The same text is set forth in 1.8 of </w:t>
      </w:r>
      <w:r w:rsidR="00CF1EC7">
        <w:t xml:space="preserve">Document </w:t>
      </w:r>
      <w:hyperlink r:id="rId16" w:history="1">
        <w:r w:rsidRPr="00CF1EC7">
          <w:rPr>
            <w:rStyle w:val="Hyperlink"/>
          </w:rPr>
          <w:t>EG-</w:t>
        </w:r>
        <w:proofErr w:type="spellStart"/>
        <w:r w:rsidRPr="00CF1EC7">
          <w:rPr>
            <w:rStyle w:val="Hyperlink"/>
          </w:rPr>
          <w:t>ITRs</w:t>
        </w:r>
        <w:proofErr w:type="spellEnd"/>
        <w:r w:rsidRPr="00CF1EC7">
          <w:rPr>
            <w:rStyle w:val="Hyperlink"/>
          </w:rPr>
          <w:t>-3/2</w:t>
        </w:r>
      </w:hyperlink>
      <w:r w:rsidRPr="0027703D">
        <w:t>.</w:t>
      </w:r>
    </w:p>
    <w:p w14:paraId="50FE8D5A" w14:textId="7D5058D2" w:rsidR="0027703D" w:rsidRPr="0027703D" w:rsidRDefault="0027703D" w:rsidP="00CF1EC7">
      <w:pPr>
        <w:jc w:val="both"/>
      </w:pPr>
      <w:r w:rsidRPr="0027703D">
        <w:t xml:space="preserve">Further, the continuing importance of the Special Arrangements provision (Article 9 of the 1988 </w:t>
      </w:r>
      <w:proofErr w:type="spellStart"/>
      <w:r w:rsidRPr="0027703D">
        <w:t>ITRs</w:t>
      </w:r>
      <w:proofErr w:type="spellEnd"/>
      <w:r w:rsidRPr="0027703D">
        <w:t xml:space="preserve">) is explained in detail in </w:t>
      </w:r>
      <w:r w:rsidR="00CF1EC7">
        <w:t xml:space="preserve">Document </w:t>
      </w:r>
      <w:hyperlink r:id="rId17" w:history="1">
        <w:r w:rsidRPr="00CF1EC7">
          <w:rPr>
            <w:rStyle w:val="Hyperlink"/>
          </w:rPr>
          <w:t>EG-</w:t>
        </w:r>
        <w:proofErr w:type="spellStart"/>
        <w:r w:rsidRPr="00CF1EC7">
          <w:rPr>
            <w:rStyle w:val="Hyperlink"/>
          </w:rPr>
          <w:t>ITRs</w:t>
        </w:r>
        <w:proofErr w:type="spellEnd"/>
        <w:r w:rsidRPr="00CF1EC7">
          <w:rPr>
            <w:rStyle w:val="Hyperlink"/>
          </w:rPr>
          <w:t>-4/2</w:t>
        </w:r>
      </w:hyperlink>
      <w:r w:rsidRPr="0027703D">
        <w:t>.</w:t>
      </w:r>
    </w:p>
    <w:p w14:paraId="50818C29" w14:textId="77777777" w:rsidR="0027703D" w:rsidRPr="0027703D" w:rsidRDefault="0027703D" w:rsidP="00CF1EC7">
      <w:pPr>
        <w:jc w:val="both"/>
      </w:pPr>
      <w:r w:rsidRPr="0027703D">
        <w:t xml:space="preserve">Indeed, the importance of the </w:t>
      </w:r>
      <w:proofErr w:type="spellStart"/>
      <w:r w:rsidRPr="0027703D">
        <w:t>ITRs</w:t>
      </w:r>
      <w:proofErr w:type="spellEnd"/>
      <w:r w:rsidRPr="0027703D">
        <w:t xml:space="preserve"> is well documented, with references, in pp. 8-16 of Hill, Richard (2013), The New International Telecommunications Regulations and the Internet, Springer/Schulthess, a peer-reviewed book. As shown therein, the 1988 </w:t>
      </w:r>
      <w:proofErr w:type="spellStart"/>
      <w:r w:rsidRPr="0027703D">
        <w:t>ITRs</w:t>
      </w:r>
      <w:proofErr w:type="spellEnd"/>
      <w:r w:rsidRPr="0027703D">
        <w:t xml:space="preserve"> were instrumental in facilitating the successful deployment and use of telecommunication services and applications worldwide, including in particular the expansion of networks based on the TCP/IP protocol and of the services popularly referred to as the Internet: Article 9, Special Arrangements, removed restrictions that could have impeded the expansion of such services.</w:t>
      </w:r>
    </w:p>
    <w:p w14:paraId="14EAF244" w14:textId="77777777" w:rsidR="0027703D" w:rsidRPr="0027703D" w:rsidRDefault="0027703D" w:rsidP="00CF1EC7">
      <w:pPr>
        <w:jc w:val="both"/>
      </w:pPr>
      <w:r w:rsidRPr="0027703D">
        <w:lastRenderedPageBreak/>
        <w:t xml:space="preserve">In addition, as documented in pp. 23-26 of the cited book, with references to contributions to ITU meetings, from 1998 to 2010, the US argued that the </w:t>
      </w:r>
      <w:proofErr w:type="spellStart"/>
      <w:r w:rsidRPr="0027703D">
        <w:t>ITRs</w:t>
      </w:r>
      <w:proofErr w:type="spellEnd"/>
      <w:r w:rsidRPr="0027703D">
        <w:t xml:space="preserve"> had served the telecommunications industry well, so there was no need to modify them. In particular, the US staunchly defended the three-month deadline for settlement of accounts found in Article 2 of Appendix 1 of the 1988 </w:t>
      </w:r>
      <w:proofErr w:type="spellStart"/>
      <w:r w:rsidRPr="0027703D">
        <w:t>ITRs</w:t>
      </w:r>
      <w:proofErr w:type="spellEnd"/>
      <w:r w:rsidRPr="0027703D">
        <w:t>.</w:t>
      </w:r>
    </w:p>
    <w:p w14:paraId="145CC75D" w14:textId="08A5317B" w:rsidR="0027703D" w:rsidRPr="0027703D" w:rsidRDefault="0027703D" w:rsidP="00CF1EC7">
      <w:pPr>
        <w:jc w:val="both"/>
      </w:pPr>
      <w:r w:rsidRPr="0027703D">
        <w:t xml:space="preserve">As late as March 2008, the US stated “Although some have suggested that the </w:t>
      </w:r>
      <w:proofErr w:type="spellStart"/>
      <w:r w:rsidRPr="0027703D">
        <w:t>ITRs</w:t>
      </w:r>
      <w:proofErr w:type="spellEnd"/>
      <w:r w:rsidRPr="0027703D">
        <w:t xml:space="preserve"> are outdated or not widely used, the United States disagrees. US telecommunications carriers regularly reference the </w:t>
      </w:r>
      <w:proofErr w:type="spellStart"/>
      <w:r w:rsidRPr="0027703D">
        <w:t>ITRs</w:t>
      </w:r>
      <w:proofErr w:type="spellEnd"/>
      <w:r w:rsidRPr="0027703D">
        <w:t xml:space="preserve"> (often references as the ‘Melbourne Agreement’ or ‘Melbourne Convention’) in their bilateral operating agreements with other international carriers … The removal of the </w:t>
      </w:r>
      <w:proofErr w:type="spellStart"/>
      <w:r w:rsidRPr="0027703D">
        <w:t>ITRs</w:t>
      </w:r>
      <w:proofErr w:type="spellEnd"/>
      <w:r w:rsidRPr="0027703D">
        <w:t xml:space="preserve"> would risk creating unnecessary uncertainty and confusion in these traffic arrangements which could adversely impact the delivery of services.”</w:t>
      </w:r>
    </w:p>
    <w:p w14:paraId="4658F827" w14:textId="6FCE52D5" w:rsidR="0027703D" w:rsidRPr="0027703D" w:rsidRDefault="0027703D" w:rsidP="00CF1EC7">
      <w:pPr>
        <w:jc w:val="both"/>
      </w:pPr>
      <w:r w:rsidRPr="0027703D">
        <w:t xml:space="preserve">The US went on to provide selected examples of </w:t>
      </w:r>
      <w:proofErr w:type="spellStart"/>
      <w:r w:rsidRPr="0027703D">
        <w:t>ITR</w:t>
      </w:r>
      <w:proofErr w:type="spellEnd"/>
      <w:r w:rsidRPr="0027703D">
        <w:t xml:space="preserve"> Articles and their application to international telecommunications agreements to illustrate their continued use and value, citing </w:t>
      </w:r>
      <w:r w:rsidR="00CF1EC7" w:rsidRPr="0027703D">
        <w:t xml:space="preserve">Articles </w:t>
      </w:r>
      <w:proofErr w:type="spellStart"/>
      <w:r w:rsidRPr="0027703D">
        <w:t>1.1b</w:t>
      </w:r>
      <w:proofErr w:type="spellEnd"/>
      <w:r w:rsidRPr="0027703D">
        <w:t xml:space="preserve">, 1.5, </w:t>
      </w:r>
      <w:proofErr w:type="spellStart"/>
      <w:r w:rsidRPr="0027703D">
        <w:t>1.7a</w:t>
      </w:r>
      <w:proofErr w:type="spellEnd"/>
      <w:r w:rsidRPr="0027703D">
        <w:t>, 3, 4, 5, 6, 9, and Appendix I.</w:t>
      </w:r>
    </w:p>
    <w:p w14:paraId="5E34C0F0" w14:textId="77777777" w:rsidR="0027703D" w:rsidRPr="0027703D" w:rsidRDefault="0027703D" w:rsidP="0027703D">
      <w:r w:rsidRPr="0027703D">
        <w:t>The US concluded:</w:t>
      </w:r>
    </w:p>
    <w:p w14:paraId="28DAB00C" w14:textId="46D13FE2" w:rsidR="0027703D" w:rsidRPr="0027703D" w:rsidRDefault="00CF1EC7" w:rsidP="00CF1EC7">
      <w:pPr>
        <w:pStyle w:val="enumlev1"/>
        <w:jc w:val="both"/>
      </w:pPr>
      <w:r>
        <w:t>–</w:t>
      </w:r>
      <w:r>
        <w:tab/>
      </w:r>
      <w:r w:rsidR="0027703D" w:rsidRPr="0027703D">
        <w:t xml:space="preserve">The </w:t>
      </w:r>
      <w:proofErr w:type="spellStart"/>
      <w:r w:rsidR="0027703D" w:rsidRPr="0027703D">
        <w:t>ITRs</w:t>
      </w:r>
      <w:proofErr w:type="spellEnd"/>
      <w:r w:rsidR="0027703D" w:rsidRPr="0027703D">
        <w:t xml:space="preserve"> provide a well-understood and </w:t>
      </w:r>
      <w:r w:rsidR="00E15BF1">
        <w:t>well-established</w:t>
      </w:r>
      <w:r w:rsidR="0027703D" w:rsidRPr="0027703D">
        <w:t xml:space="preserve"> framework of principles and rules which facilitate the global exchange of international traffic and the expansion of networks and services to meet user needs in all countries.</w:t>
      </w:r>
    </w:p>
    <w:p w14:paraId="68A095AC" w14:textId="3F55A2AA" w:rsidR="0027703D" w:rsidRPr="0027703D" w:rsidRDefault="00CF1EC7" w:rsidP="00CF1EC7">
      <w:pPr>
        <w:pStyle w:val="enumlev1"/>
        <w:jc w:val="both"/>
      </w:pPr>
      <w:r>
        <w:t>–</w:t>
      </w:r>
      <w:r>
        <w:tab/>
      </w:r>
      <w:r w:rsidR="0027703D" w:rsidRPr="0027703D">
        <w:t xml:space="preserve">The role of the </w:t>
      </w:r>
      <w:proofErr w:type="spellStart"/>
      <w:r w:rsidR="0027703D" w:rsidRPr="0027703D">
        <w:t>ITRs</w:t>
      </w:r>
      <w:proofErr w:type="spellEnd"/>
      <w:r w:rsidR="0027703D" w:rsidRPr="0027703D">
        <w:t xml:space="preserve">, as a </w:t>
      </w:r>
      <w:r w:rsidR="00E15BF1">
        <w:t>treaty-level</w:t>
      </w:r>
      <w:r w:rsidR="0027703D" w:rsidRPr="0027703D">
        <w:t xml:space="preserve"> agreement, remains critical to help ensure the stable and reliable flow of international telecommunications. Any termination or modification of the </w:t>
      </w:r>
      <w:proofErr w:type="spellStart"/>
      <w:r w:rsidR="0027703D" w:rsidRPr="0027703D">
        <w:t>ITRs</w:t>
      </w:r>
      <w:proofErr w:type="spellEnd"/>
      <w:r w:rsidR="0027703D" w:rsidRPr="0027703D">
        <w:t xml:space="preserve"> must be assessed in light of these tangible benefits the </w:t>
      </w:r>
      <w:proofErr w:type="spellStart"/>
      <w:r w:rsidR="0027703D" w:rsidRPr="0027703D">
        <w:t>ITRs</w:t>
      </w:r>
      <w:proofErr w:type="spellEnd"/>
      <w:r w:rsidR="0027703D" w:rsidRPr="0027703D">
        <w:t xml:space="preserve"> provide. </w:t>
      </w:r>
    </w:p>
    <w:p w14:paraId="739AD51A" w14:textId="7208F9E2" w:rsidR="0027703D" w:rsidRPr="0027703D" w:rsidRDefault="0027703D" w:rsidP="0027703D">
      <w:r w:rsidRPr="0027703D">
        <w:t xml:space="preserve">See </w:t>
      </w:r>
      <w:r w:rsidR="00CF1EC7">
        <w:t xml:space="preserve">Document </w:t>
      </w:r>
      <w:proofErr w:type="spellStart"/>
      <w:r w:rsidRPr="0027703D">
        <w:t>ITR</w:t>
      </w:r>
      <w:proofErr w:type="spellEnd"/>
      <w:r w:rsidRPr="0027703D">
        <w:t>-EG</w:t>
      </w:r>
      <w:r w:rsidR="00CF1EC7">
        <w:t>-</w:t>
      </w:r>
      <w:proofErr w:type="spellStart"/>
      <w:r w:rsidRPr="0027703D">
        <w:t>C10</w:t>
      </w:r>
      <w:proofErr w:type="spellEnd"/>
      <w:r w:rsidRPr="0027703D">
        <w:t xml:space="preserve"> at: </w:t>
      </w:r>
      <w:hyperlink r:id="rId18" w:history="1">
        <w:r w:rsidR="00CF1EC7" w:rsidRPr="008C1269">
          <w:rPr>
            <w:rStyle w:val="Hyperlink"/>
          </w:rPr>
          <w:t>https://</w:t>
        </w:r>
        <w:proofErr w:type="spellStart"/>
        <w:r w:rsidR="00CF1EC7" w:rsidRPr="008C1269">
          <w:rPr>
            <w:rStyle w:val="Hyperlink"/>
          </w:rPr>
          <w:t>www.itu.int</w:t>
        </w:r>
        <w:proofErr w:type="spellEnd"/>
        <w:r w:rsidR="00CF1EC7" w:rsidRPr="008C1269">
          <w:rPr>
            <w:rStyle w:val="Hyperlink"/>
          </w:rPr>
          <w:t>/md/</w:t>
        </w:r>
        <w:proofErr w:type="spellStart"/>
        <w:r w:rsidR="00CF1EC7" w:rsidRPr="008C1269">
          <w:rPr>
            <w:rStyle w:val="Hyperlink"/>
          </w:rPr>
          <w:t>T05</w:t>
        </w:r>
        <w:proofErr w:type="spellEnd"/>
        <w:r w:rsidR="00CF1EC7" w:rsidRPr="008C1269">
          <w:rPr>
            <w:rStyle w:val="Hyperlink"/>
          </w:rPr>
          <w:t>-</w:t>
        </w:r>
        <w:proofErr w:type="spellStart"/>
        <w:r w:rsidR="00CF1EC7" w:rsidRPr="008C1269">
          <w:rPr>
            <w:rStyle w:val="Hyperlink"/>
          </w:rPr>
          <w:t>ITR.EG</w:t>
        </w:r>
        <w:proofErr w:type="spellEnd"/>
        <w:r w:rsidR="00CF1EC7" w:rsidRPr="008C1269">
          <w:rPr>
            <w:rStyle w:val="Hyperlink"/>
          </w:rPr>
          <w:t>-C-0010/en</w:t>
        </w:r>
      </w:hyperlink>
      <w:r w:rsidR="00CF1EC7">
        <w:t>.</w:t>
      </w:r>
      <w:r w:rsidRPr="0027703D">
        <w:t xml:space="preserve"> </w:t>
      </w:r>
    </w:p>
    <w:p w14:paraId="15EE3CAF" w14:textId="77777777" w:rsidR="0027703D" w:rsidRPr="008318F0" w:rsidRDefault="0027703D" w:rsidP="00CF1EC7">
      <w:pPr>
        <w:pStyle w:val="Headingb"/>
      </w:pPr>
      <w:r w:rsidRPr="008318F0">
        <w:t>Statement</w:t>
      </w:r>
    </w:p>
    <w:p w14:paraId="1D7ED322" w14:textId="2DC2D987" w:rsidR="0090147A" w:rsidRDefault="0027703D" w:rsidP="00CF1EC7">
      <w:pPr>
        <w:jc w:val="both"/>
      </w:pPr>
      <w:r w:rsidRPr="0027703D">
        <w:t xml:space="preserve">We request that the above text (that is, the sections “Summary”, “Background”, and “Impact of the </w:t>
      </w:r>
      <w:proofErr w:type="spellStart"/>
      <w:r w:rsidRPr="0027703D">
        <w:t>ITRs</w:t>
      </w:r>
      <w:proofErr w:type="spellEnd"/>
      <w:r w:rsidRPr="0027703D">
        <w:t xml:space="preserve">”) be annexed as a statement from Hill to the </w:t>
      </w:r>
      <w:r w:rsidR="008318F0" w:rsidRPr="0027703D">
        <w:t xml:space="preserve">Report </w:t>
      </w:r>
      <w:r w:rsidRPr="0027703D">
        <w:t>of the present meeting.</w:t>
      </w:r>
    </w:p>
    <w:p w14:paraId="271FD979" w14:textId="77777777" w:rsidR="008318F0" w:rsidRPr="008318F0" w:rsidRDefault="008318F0" w:rsidP="008318F0">
      <w:pPr>
        <w:pStyle w:val="Reasons"/>
      </w:pPr>
    </w:p>
    <w:p w14:paraId="2F7C0B91" w14:textId="66A15B5E" w:rsidR="008318F0" w:rsidRPr="0027703D" w:rsidRDefault="008318F0" w:rsidP="008318F0">
      <w:pPr>
        <w:jc w:val="center"/>
      </w:pPr>
      <w:r>
        <w:t>______________</w:t>
      </w:r>
    </w:p>
    <w:bookmarkEnd w:id="5"/>
    <w:bookmarkEnd w:id="10"/>
    <w:sectPr w:rsidR="008318F0" w:rsidRPr="0027703D"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39A2BE80"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D74C05">
            <w:rPr>
              <w:bCs/>
            </w:rPr>
            <w:t>6</w:t>
          </w:r>
          <w:r w:rsidR="00A52C84" w:rsidRPr="00623AE3">
            <w:rPr>
              <w:bCs/>
            </w:rPr>
            <w:t>/</w:t>
          </w:r>
          <w:r w:rsidR="003E46F5">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DB7BCB1" w:rsidR="00EE49E8" w:rsidRDefault="00A52C84" w:rsidP="00EE49E8">
          <w:pPr>
            <w:pStyle w:val="Header"/>
            <w:jc w:val="left"/>
            <w:rPr>
              <w:noProof/>
            </w:rPr>
          </w:pPr>
          <w:hyperlink r:id="rId1" w:history="1">
            <w:proofErr w:type="spellStart"/>
            <w:r w:rsidRPr="00D74C05">
              <w:rPr>
                <w:rStyle w:val="Hyperlink"/>
              </w:rPr>
              <w:t>council.itu.int</w:t>
            </w:r>
            <w:proofErr w:type="spellEnd"/>
            <w:r w:rsidRPr="00D74C05">
              <w:rPr>
                <w:rStyle w:val="Hyperlink"/>
              </w:rPr>
              <w:t>/working-groups</w:t>
            </w:r>
          </w:hyperlink>
        </w:p>
      </w:tc>
      <w:tc>
        <w:tcPr>
          <w:tcW w:w="6957" w:type="dxa"/>
        </w:tcPr>
        <w:p w14:paraId="3F62E0D8" w14:textId="45031CC9" w:rsidR="00EE49E8" w:rsidRPr="00E06FD5" w:rsidRDefault="00EE49E8" w:rsidP="00D74C05">
          <w:pPr>
            <w:pStyle w:val="Header"/>
            <w:tabs>
              <w:tab w:val="left" w:pos="5148"/>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D74C05">
            <w:rPr>
              <w:bCs/>
            </w:rPr>
            <w:t>6</w:t>
          </w:r>
          <w:r w:rsidRPr="00623AE3">
            <w:rPr>
              <w:bCs/>
            </w:rPr>
            <w:t>/</w:t>
          </w:r>
          <w:r w:rsidR="003E46F5">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 w:id="1">
    <w:p w14:paraId="7B70FEF3" w14:textId="2F578CDD" w:rsidR="00EE513F" w:rsidRPr="00EE513F" w:rsidRDefault="00EE513F">
      <w:pPr>
        <w:pStyle w:val="FootnoteText"/>
        <w:rPr>
          <w:lang w:val="es-ES"/>
        </w:rPr>
      </w:pPr>
      <w:r>
        <w:rPr>
          <w:rStyle w:val="FootnoteReference"/>
        </w:rPr>
        <w:t>2</w:t>
      </w:r>
      <w:r>
        <w:tab/>
      </w:r>
      <w:hyperlink r:id="rId1" w:history="1">
        <w:r>
          <w:rPr>
            <w:rStyle w:val="Hyperlink"/>
          </w:rPr>
          <w:t>https://</w:t>
        </w:r>
        <w:proofErr w:type="spellStart"/>
        <w:r>
          <w:rPr>
            <w:rStyle w:val="Hyperlink"/>
          </w:rPr>
          <w:t>www.itu.int</w:t>
        </w:r>
        <w:proofErr w:type="spellEnd"/>
        <w:r>
          <w:rPr>
            <w:rStyle w:val="Hyperlink"/>
          </w:rPr>
          <w:t>/md/</w:t>
        </w:r>
        <w:proofErr w:type="spellStart"/>
        <w:r>
          <w:rPr>
            <w:rStyle w:val="Hyperlink"/>
          </w:rPr>
          <w:t>S23</w:t>
        </w:r>
        <w:proofErr w:type="spellEnd"/>
        <w:r>
          <w:rPr>
            <w:rStyle w:val="Hyperlink"/>
          </w:rPr>
          <w:t>-CL-C-0073/en</w:t>
        </w:r>
      </w:hyperlink>
      <w:r>
        <w:t>.</w:t>
      </w:r>
    </w:p>
  </w:footnote>
  <w:footnote w:id="2">
    <w:p w14:paraId="6824C861" w14:textId="7591742F" w:rsidR="00EE513F" w:rsidRPr="00EE513F" w:rsidRDefault="00EE513F">
      <w:pPr>
        <w:pStyle w:val="FootnoteText"/>
        <w:rPr>
          <w:lang w:val="es-ES"/>
        </w:rPr>
      </w:pPr>
      <w:r w:rsidRPr="00EE513F">
        <w:rPr>
          <w:rStyle w:val="FootnoteReference"/>
          <w:lang w:val="es-ES"/>
        </w:rPr>
        <w:t>3</w:t>
      </w:r>
      <w:r>
        <w:rPr>
          <w:lang w:val="es-ES"/>
        </w:rPr>
        <w:tab/>
      </w:r>
      <w:hyperlink r:id="rId2" w:history="1">
        <w:r w:rsidRPr="00EE513F">
          <w:rPr>
            <w:rStyle w:val="Hyperlink"/>
            <w:lang w:val="es-ES"/>
          </w:rPr>
          <w:t>https://</w:t>
        </w:r>
        <w:proofErr w:type="spellStart"/>
        <w:r w:rsidRPr="00EE513F">
          <w:rPr>
            <w:rStyle w:val="Hyperlink"/>
            <w:lang w:val="es-ES"/>
          </w:rPr>
          <w:t>www.itu.int</w:t>
        </w:r>
        <w:proofErr w:type="spellEnd"/>
        <w:r w:rsidRPr="00EE513F">
          <w:rPr>
            <w:rStyle w:val="Hyperlink"/>
            <w:lang w:val="es-ES"/>
          </w:rPr>
          <w:t>/</w:t>
        </w:r>
        <w:proofErr w:type="spellStart"/>
        <w:r w:rsidRPr="00EE513F">
          <w:rPr>
            <w:rStyle w:val="Hyperlink"/>
            <w:lang w:val="es-ES"/>
          </w:rPr>
          <w:t>md</w:t>
        </w:r>
        <w:proofErr w:type="spellEnd"/>
        <w:r w:rsidRPr="00EE513F">
          <w:rPr>
            <w:rStyle w:val="Hyperlink"/>
            <w:lang w:val="es-ES"/>
          </w:rPr>
          <w:t>/</w:t>
        </w:r>
        <w:proofErr w:type="spellStart"/>
        <w:r w:rsidRPr="00EE513F">
          <w:rPr>
            <w:rStyle w:val="Hyperlink"/>
            <w:lang w:val="es-ES"/>
          </w:rPr>
          <w:t>S23</w:t>
        </w:r>
        <w:proofErr w:type="spellEnd"/>
        <w:r w:rsidRPr="00EE513F">
          <w:rPr>
            <w:rStyle w:val="Hyperlink"/>
            <w:lang w:val="es-ES"/>
          </w:rPr>
          <w:t>-CL-C-0066/en</w:t>
        </w:r>
      </w:hyperlink>
      <w:r w:rsidRPr="008236AF">
        <w:rPr>
          <w:lang w:val="es-ES"/>
        </w:rPr>
        <w:t>.</w:t>
      </w:r>
    </w:p>
  </w:footnote>
  <w:footnote w:id="3">
    <w:p w14:paraId="153B74ED" w14:textId="1F5A60D6" w:rsidR="008236AF" w:rsidRPr="008236AF" w:rsidRDefault="008236AF" w:rsidP="00CF1EC7">
      <w:pPr>
        <w:pStyle w:val="FootnoteText"/>
        <w:jc w:val="both"/>
      </w:pPr>
      <w:r>
        <w:rPr>
          <w:rStyle w:val="FootnoteReference"/>
        </w:rPr>
        <w:t>4</w:t>
      </w:r>
      <w:r>
        <w:tab/>
      </w:r>
      <w:r w:rsidRPr="008236AF">
        <w:t xml:space="preserve">Hill, Richard (2013) </w:t>
      </w:r>
      <w:r w:rsidRPr="008236AF">
        <w:rPr>
          <w:i/>
          <w:iCs/>
        </w:rPr>
        <w:t>The New International Telecommunications Regulations and the Internet: A Commentary and Legislative History</w:t>
      </w:r>
      <w:r w:rsidRPr="008236AF">
        <w:t>,</w:t>
      </w:r>
      <w:r>
        <w:t xml:space="preserve"> </w:t>
      </w:r>
      <w:r w:rsidRPr="008236AF">
        <w:t>Schulthess/Springer, p.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6F04A2F"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D74C05">
                            <w:rPr>
                              <w:sz w:val="20"/>
                            </w:rPr>
                            <w:t>Sixth</w:t>
                          </w:r>
                          <w:r w:rsidR="00130599" w:rsidRPr="00130599">
                            <w:rPr>
                              <w:sz w:val="20"/>
                            </w:rPr>
                            <w:t xml:space="preserve"> meeting </w:t>
                          </w:r>
                          <w:r w:rsidR="00F7413F">
                            <w:rPr>
                              <w:sz w:val="20"/>
                            </w:rPr>
                            <w:t>–</w:t>
                          </w:r>
                          <w:r w:rsidR="00130599" w:rsidRPr="00130599">
                            <w:rPr>
                              <w:sz w:val="20"/>
                            </w:rPr>
                            <w:t xml:space="preserve"> </w:t>
                          </w:r>
                          <w:r w:rsidR="006601B2">
                            <w:rPr>
                              <w:sz w:val="20"/>
                            </w:rPr>
                            <w:t>19</w:t>
                          </w:r>
                          <w:r w:rsidR="00D74C05">
                            <w:rPr>
                              <w:sz w:val="20"/>
                            </w:rPr>
                            <w:t xml:space="preserve"> January </w:t>
                          </w:r>
                          <w:r w:rsidR="00F7413F">
                            <w:rPr>
                              <w:sz w:val="20"/>
                            </w:rPr>
                            <w:t>202</w:t>
                          </w:r>
                          <w:r w:rsidR="00D74C05">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6F04A2F"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D74C05">
                      <w:rPr>
                        <w:sz w:val="20"/>
                      </w:rPr>
                      <w:t>Sixth</w:t>
                    </w:r>
                    <w:r w:rsidR="00130599" w:rsidRPr="00130599">
                      <w:rPr>
                        <w:sz w:val="20"/>
                      </w:rPr>
                      <w:t xml:space="preserve"> meeting </w:t>
                    </w:r>
                    <w:r w:rsidR="00F7413F">
                      <w:rPr>
                        <w:sz w:val="20"/>
                      </w:rPr>
                      <w:t>–</w:t>
                    </w:r>
                    <w:r w:rsidR="00130599" w:rsidRPr="00130599">
                      <w:rPr>
                        <w:sz w:val="20"/>
                      </w:rPr>
                      <w:t xml:space="preserve"> </w:t>
                    </w:r>
                    <w:r w:rsidR="006601B2">
                      <w:rPr>
                        <w:sz w:val="20"/>
                      </w:rPr>
                      <w:t>19</w:t>
                    </w:r>
                    <w:r w:rsidR="00D74C05">
                      <w:rPr>
                        <w:sz w:val="20"/>
                      </w:rPr>
                      <w:t xml:space="preserve"> January </w:t>
                    </w:r>
                    <w:r w:rsidR="00F7413F">
                      <w:rPr>
                        <w:sz w:val="20"/>
                      </w:rPr>
                      <w:t>202</w:t>
                    </w:r>
                    <w:r w:rsidR="00D74C05">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C682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C676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62A0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0F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E72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5A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42E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809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6CB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124C88"/>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890582456">
    <w:abstractNumId w:val="7"/>
  </w:num>
  <w:num w:numId="3" w16cid:durableId="155805365">
    <w:abstractNumId w:val="6"/>
  </w:num>
  <w:num w:numId="4" w16cid:durableId="841435643">
    <w:abstractNumId w:val="5"/>
  </w:num>
  <w:num w:numId="5" w16cid:durableId="368797764">
    <w:abstractNumId w:val="4"/>
  </w:num>
  <w:num w:numId="6" w16cid:durableId="1808013143">
    <w:abstractNumId w:val="8"/>
  </w:num>
  <w:num w:numId="7" w16cid:durableId="2102870039">
    <w:abstractNumId w:val="3"/>
  </w:num>
  <w:num w:numId="8" w16cid:durableId="529732768">
    <w:abstractNumId w:val="2"/>
  </w:num>
  <w:num w:numId="9" w16cid:durableId="724724493">
    <w:abstractNumId w:val="1"/>
  </w:num>
  <w:num w:numId="10" w16cid:durableId="796683346">
    <w:abstractNumId w:val="0"/>
  </w:num>
  <w:num w:numId="11" w16cid:durableId="1834027056">
    <w:abstractNumId w:val="8"/>
  </w:num>
  <w:num w:numId="12" w16cid:durableId="1972127270">
    <w:abstractNumId w:val="3"/>
  </w:num>
  <w:num w:numId="13" w16cid:durableId="359283652">
    <w:abstractNumId w:val="2"/>
  </w:num>
  <w:num w:numId="14" w16cid:durableId="966394399">
    <w:abstractNumId w:val="1"/>
  </w:num>
  <w:num w:numId="15" w16cid:durableId="29152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C43D0"/>
    <w:rsid w:val="000D75B2"/>
    <w:rsid w:val="000D7DA9"/>
    <w:rsid w:val="001121F5"/>
    <w:rsid w:val="00130599"/>
    <w:rsid w:val="001400DC"/>
    <w:rsid w:val="00140CE1"/>
    <w:rsid w:val="0017539C"/>
    <w:rsid w:val="00175AC2"/>
    <w:rsid w:val="0017609F"/>
    <w:rsid w:val="001A7D1D"/>
    <w:rsid w:val="001B51DD"/>
    <w:rsid w:val="001C628E"/>
    <w:rsid w:val="001E0F7B"/>
    <w:rsid w:val="001E0FBE"/>
    <w:rsid w:val="001E2BE8"/>
    <w:rsid w:val="0020555B"/>
    <w:rsid w:val="002119FD"/>
    <w:rsid w:val="002130E0"/>
    <w:rsid w:val="00244F7F"/>
    <w:rsid w:val="00264425"/>
    <w:rsid w:val="00265875"/>
    <w:rsid w:val="0027303B"/>
    <w:rsid w:val="0027703D"/>
    <w:rsid w:val="0028109B"/>
    <w:rsid w:val="00293B38"/>
    <w:rsid w:val="002A2188"/>
    <w:rsid w:val="002B1F58"/>
    <w:rsid w:val="002C1C7A"/>
    <w:rsid w:val="002C54E2"/>
    <w:rsid w:val="002C70D3"/>
    <w:rsid w:val="0030160F"/>
    <w:rsid w:val="00320223"/>
    <w:rsid w:val="00322D0D"/>
    <w:rsid w:val="00361465"/>
    <w:rsid w:val="0036415F"/>
    <w:rsid w:val="003877F5"/>
    <w:rsid w:val="003942D4"/>
    <w:rsid w:val="003958A8"/>
    <w:rsid w:val="003C2533"/>
    <w:rsid w:val="003D5A7F"/>
    <w:rsid w:val="003E46F5"/>
    <w:rsid w:val="004016E2"/>
    <w:rsid w:val="0040435A"/>
    <w:rsid w:val="0041571E"/>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D7E91"/>
    <w:rsid w:val="005E2BD5"/>
    <w:rsid w:val="005F3269"/>
    <w:rsid w:val="00623AE3"/>
    <w:rsid w:val="00636853"/>
    <w:rsid w:val="0064737F"/>
    <w:rsid w:val="006535F1"/>
    <w:rsid w:val="0065557D"/>
    <w:rsid w:val="006577BB"/>
    <w:rsid w:val="006601B2"/>
    <w:rsid w:val="00660D50"/>
    <w:rsid w:val="00662984"/>
    <w:rsid w:val="006716BB"/>
    <w:rsid w:val="00687CD9"/>
    <w:rsid w:val="006B1859"/>
    <w:rsid w:val="006B6680"/>
    <w:rsid w:val="006B6DCC"/>
    <w:rsid w:val="006C11BB"/>
    <w:rsid w:val="00702DEF"/>
    <w:rsid w:val="00706861"/>
    <w:rsid w:val="00745D44"/>
    <w:rsid w:val="0075051B"/>
    <w:rsid w:val="00775655"/>
    <w:rsid w:val="00793188"/>
    <w:rsid w:val="00794D34"/>
    <w:rsid w:val="00794DFC"/>
    <w:rsid w:val="00813E5E"/>
    <w:rsid w:val="00815106"/>
    <w:rsid w:val="008236AF"/>
    <w:rsid w:val="008318F0"/>
    <w:rsid w:val="0083408D"/>
    <w:rsid w:val="0083581B"/>
    <w:rsid w:val="00842B11"/>
    <w:rsid w:val="00863874"/>
    <w:rsid w:val="00864AFF"/>
    <w:rsid w:val="00865925"/>
    <w:rsid w:val="0086704D"/>
    <w:rsid w:val="008964B4"/>
    <w:rsid w:val="008975FE"/>
    <w:rsid w:val="008B4A6A"/>
    <w:rsid w:val="008C7E27"/>
    <w:rsid w:val="008F7448"/>
    <w:rsid w:val="0090147A"/>
    <w:rsid w:val="0090517D"/>
    <w:rsid w:val="009173EF"/>
    <w:rsid w:val="00932906"/>
    <w:rsid w:val="00961B0B"/>
    <w:rsid w:val="00962D33"/>
    <w:rsid w:val="00990D91"/>
    <w:rsid w:val="009B38C3"/>
    <w:rsid w:val="009C0F27"/>
    <w:rsid w:val="009D024E"/>
    <w:rsid w:val="009E17BD"/>
    <w:rsid w:val="009E485A"/>
    <w:rsid w:val="00A028B5"/>
    <w:rsid w:val="00A04CEC"/>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BE6E33"/>
    <w:rsid w:val="00BF0749"/>
    <w:rsid w:val="00C01189"/>
    <w:rsid w:val="00C374DE"/>
    <w:rsid w:val="00C47AD4"/>
    <w:rsid w:val="00C52D81"/>
    <w:rsid w:val="00C55198"/>
    <w:rsid w:val="00CA6393"/>
    <w:rsid w:val="00CB18FF"/>
    <w:rsid w:val="00CD0C08"/>
    <w:rsid w:val="00CE03FB"/>
    <w:rsid w:val="00CE433C"/>
    <w:rsid w:val="00CF0161"/>
    <w:rsid w:val="00CF1EC7"/>
    <w:rsid w:val="00CF33F3"/>
    <w:rsid w:val="00D06183"/>
    <w:rsid w:val="00D22C42"/>
    <w:rsid w:val="00D464CC"/>
    <w:rsid w:val="00D53C61"/>
    <w:rsid w:val="00D65041"/>
    <w:rsid w:val="00D670A7"/>
    <w:rsid w:val="00D74C05"/>
    <w:rsid w:val="00DB00D5"/>
    <w:rsid w:val="00DB1936"/>
    <w:rsid w:val="00DB384B"/>
    <w:rsid w:val="00DC0573"/>
    <w:rsid w:val="00DF0189"/>
    <w:rsid w:val="00E01B6A"/>
    <w:rsid w:val="00E06FD5"/>
    <w:rsid w:val="00E10E80"/>
    <w:rsid w:val="00E124F0"/>
    <w:rsid w:val="00E15BF1"/>
    <w:rsid w:val="00E227F3"/>
    <w:rsid w:val="00E543AC"/>
    <w:rsid w:val="00E545C6"/>
    <w:rsid w:val="00E60F04"/>
    <w:rsid w:val="00E65B24"/>
    <w:rsid w:val="00E854E4"/>
    <w:rsid w:val="00E86DBF"/>
    <w:rsid w:val="00E94DC4"/>
    <w:rsid w:val="00EB0D6F"/>
    <w:rsid w:val="00EB2232"/>
    <w:rsid w:val="00EB4E53"/>
    <w:rsid w:val="00EC5337"/>
    <w:rsid w:val="00EE49E8"/>
    <w:rsid w:val="00EE513F"/>
    <w:rsid w:val="00F02439"/>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DC0573"/>
    <w:rPr>
      <w:color w:val="666666"/>
    </w:rPr>
  </w:style>
  <w:style w:type="character" w:customStyle="1" w:styleId="FootnoteTextChar">
    <w:name w:val="Footnote Text Char"/>
    <w:basedOn w:val="DefaultParagraphFont"/>
    <w:link w:val="FootnoteText"/>
    <w:rsid w:val="000C43D0"/>
    <w:rPr>
      <w:rFonts w:ascii="Calibri" w:hAnsi="Calibri"/>
      <w:sz w:val="24"/>
      <w:lang w:val="en-GB" w:eastAsia="en-US"/>
    </w:rPr>
  </w:style>
  <w:style w:type="paragraph" w:customStyle="1" w:styleId="Reasons">
    <w:name w:val="Reasons"/>
    <w:basedOn w:val="Normal"/>
    <w:qFormat/>
    <w:rsid w:val="008318F0"/>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5852">
      <w:bodyDiv w:val="1"/>
      <w:marLeft w:val="0"/>
      <w:marRight w:val="0"/>
      <w:marTop w:val="0"/>
      <w:marBottom w:val="0"/>
      <w:divBdr>
        <w:top w:val="none" w:sz="0" w:space="0" w:color="auto"/>
        <w:left w:val="none" w:sz="0" w:space="0" w:color="auto"/>
        <w:bottom w:val="none" w:sz="0" w:space="0" w:color="auto"/>
        <w:right w:val="none" w:sz="0" w:space="0" w:color="auto"/>
      </w:divBdr>
    </w:div>
    <w:div w:id="301929076">
      <w:bodyDiv w:val="1"/>
      <w:marLeft w:val="0"/>
      <w:marRight w:val="0"/>
      <w:marTop w:val="0"/>
      <w:marBottom w:val="0"/>
      <w:divBdr>
        <w:top w:val="none" w:sz="0" w:space="0" w:color="auto"/>
        <w:left w:val="none" w:sz="0" w:space="0" w:color="auto"/>
        <w:bottom w:val="none" w:sz="0" w:space="0" w:color="auto"/>
        <w:right w:val="none" w:sz="0" w:space="0" w:color="auto"/>
      </w:divBdr>
    </w:div>
    <w:div w:id="183969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5-EGITRS5-C-0010/en" TargetMode="External"/><Relationship Id="rId18" Type="http://schemas.openxmlformats.org/officeDocument/2006/relationships/hyperlink" Target="https://www.itu.int/md/T05-ITR.EG-C-0010/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5-EGITRS4-C-0002/en" TargetMode="External"/><Relationship Id="rId17" Type="http://schemas.openxmlformats.org/officeDocument/2006/relationships/hyperlink" Target="https://www.itu.int/md/S25-EGITRS4-C-0002/en" TargetMode="External"/><Relationship Id="rId2" Type="http://schemas.openxmlformats.org/officeDocument/2006/relationships/numbering" Target="numbering.xml"/><Relationship Id="rId16" Type="http://schemas.openxmlformats.org/officeDocument/2006/relationships/hyperlink" Target="https://www.itu.int/md/S24-EGITRS3-C-0002/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EGITRS3-C-0002/en" TargetMode="External"/><Relationship Id="rId5" Type="http://schemas.openxmlformats.org/officeDocument/2006/relationships/webSettings" Target="webSettings.xml"/><Relationship Id="rId15" Type="http://schemas.openxmlformats.org/officeDocument/2006/relationships/hyperlink" Target="https://www.itu.int/md/S23-EGITRS1-C-0002/en" TargetMode="External"/><Relationship Id="rId23" Type="http://schemas.openxmlformats.org/officeDocument/2006/relationships/theme" Target="theme/theme1.xml"/><Relationship Id="rId10" Type="http://schemas.openxmlformats.org/officeDocument/2006/relationships/hyperlink" Target="https://www.itu.int/md/S23-EGITRS1-C-0002/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T05-ITR.EG-C-0010/en" TargetMode="External"/><Relationship Id="rId14" Type="http://schemas.openxmlformats.org/officeDocument/2006/relationships/hyperlink" Target="https://www.itu.int/md/S25-EGITRS5-C-0010/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S23-CL-C-0066/en" TargetMode="External"/><Relationship Id="rId1" Type="http://schemas.openxmlformats.org/officeDocument/2006/relationships/hyperlink" Target="https://www.itu.int/md/S23-CL-C-007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5173</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Impact of the ITRs</vt:lpstr>
    </vt:vector>
  </TitlesOfParts>
  <Manager/>
  <Company/>
  <LinksUpToDate>false</LinksUpToDate>
  <CharactersWithSpaces>5916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the ITRs</dc:title>
  <dc:subject>Council Expert Group on the International Telecommunication Regulations</dc:subject>
  <dc:creator/>
  <cp:keywords>EG-ITRs; Council-26; C26</cp:keywords>
  <dc:description/>
  <cp:lastModifiedBy/>
  <dcterms:created xsi:type="dcterms:W3CDTF">2025-10-20T09:37:00Z</dcterms:created>
  <dcterms:modified xsi:type="dcterms:W3CDTF">2025-10-20T13:46:00Z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1aa79a70-86d2-4c13-801f-f85098b147e8</vt:lpwstr>
  </property>
</Properties>
</file>