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D60896" w14:paraId="0043AC80" w14:textId="77777777" w:rsidTr="64A83779">
        <w:trPr>
          <w:cantSplit/>
          <w:trHeight w:val="23"/>
        </w:trPr>
        <w:tc>
          <w:tcPr>
            <w:tcW w:w="3969" w:type="dxa"/>
            <w:vMerge w:val="restart"/>
            <w:tcMar>
              <w:left w:w="0" w:type="dxa"/>
            </w:tcMar>
          </w:tcPr>
          <w:p w14:paraId="60A806D3" w14:textId="6316C87D" w:rsidR="00AD3606" w:rsidRPr="00E85629"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3B9EACF6" w:rsidR="00AD3606" w:rsidRPr="00A52C84" w:rsidRDefault="00AD3606" w:rsidP="00472BAD">
            <w:pPr>
              <w:tabs>
                <w:tab w:val="left" w:pos="851"/>
              </w:tabs>
              <w:spacing w:before="0" w:line="240" w:lineRule="atLeast"/>
              <w:jc w:val="right"/>
              <w:rPr>
                <w:b/>
                <w:lang w:val="fr-CH"/>
              </w:rPr>
            </w:pPr>
            <w:r w:rsidRPr="00A52C84">
              <w:rPr>
                <w:b/>
                <w:lang w:val="fr-CH"/>
              </w:rPr>
              <w:t xml:space="preserve">Document </w:t>
            </w:r>
            <w:proofErr w:type="spellStart"/>
            <w:r w:rsidRPr="00A52C84">
              <w:rPr>
                <w:b/>
                <w:lang w:val="fr-CH"/>
              </w:rPr>
              <w:t>C</w:t>
            </w:r>
            <w:r w:rsidR="00A52C84" w:rsidRPr="00A52C84">
              <w:rPr>
                <w:b/>
                <w:lang w:val="fr-CH"/>
              </w:rPr>
              <w:t>WG-</w:t>
            </w:r>
            <w:r w:rsidR="00636853">
              <w:rPr>
                <w:b/>
                <w:lang w:val="fr-CH"/>
              </w:rPr>
              <w:t>WSIS&amp;SDG</w:t>
            </w:r>
            <w:r w:rsidR="00A52C84" w:rsidRPr="00A52C84">
              <w:rPr>
                <w:b/>
                <w:lang w:val="fr-CH"/>
              </w:rPr>
              <w:t>-</w:t>
            </w:r>
            <w:r w:rsidR="003F3796">
              <w:rPr>
                <w:b/>
                <w:lang w:val="fr-CH"/>
              </w:rPr>
              <w:t>4</w:t>
            </w:r>
            <w:r w:rsidR="005F645F">
              <w:rPr>
                <w:b/>
                <w:lang w:val="fr-CH"/>
              </w:rPr>
              <w:t>4</w:t>
            </w:r>
            <w:proofErr w:type="spellEnd"/>
            <w:r w:rsidRPr="00A52C84">
              <w:rPr>
                <w:b/>
                <w:lang w:val="fr-CH"/>
              </w:rPr>
              <w:t>/</w:t>
            </w:r>
            <w:r w:rsidR="00783C5A">
              <w:rPr>
                <w:b/>
                <w:lang w:val="fr-CH"/>
              </w:rPr>
              <w:t>3</w:t>
            </w:r>
          </w:p>
        </w:tc>
      </w:tr>
      <w:tr w:rsidR="00AD3606" w:rsidRPr="00813E5E" w14:paraId="789B45BA" w14:textId="77777777" w:rsidTr="64A83779">
        <w:trPr>
          <w:cantSplit/>
        </w:trPr>
        <w:tc>
          <w:tcPr>
            <w:tcW w:w="3969" w:type="dxa"/>
            <w:vMerge/>
          </w:tcPr>
          <w:p w14:paraId="3F3D4E17" w14:textId="77777777" w:rsidR="00AD3606" w:rsidRPr="00A52C84" w:rsidRDefault="00AD3606" w:rsidP="00AD3606">
            <w:pPr>
              <w:tabs>
                <w:tab w:val="left" w:pos="851"/>
              </w:tabs>
              <w:spacing w:line="240" w:lineRule="atLeast"/>
              <w:rPr>
                <w:b/>
                <w:lang w:val="fr-CH"/>
              </w:rPr>
            </w:pPr>
            <w:bookmarkStart w:id="6" w:name="ddate" w:colFirst="1" w:colLast="1"/>
            <w:bookmarkEnd w:id="0"/>
            <w:bookmarkEnd w:id="1"/>
          </w:p>
        </w:tc>
        <w:tc>
          <w:tcPr>
            <w:tcW w:w="5245" w:type="dxa"/>
          </w:tcPr>
          <w:p w14:paraId="2DE9ACEA" w14:textId="3A13E421" w:rsidR="00AD3606" w:rsidRPr="00E85629" w:rsidRDefault="00A34E6B" w:rsidP="00AD3606">
            <w:pPr>
              <w:tabs>
                <w:tab w:val="left" w:pos="851"/>
              </w:tabs>
              <w:spacing w:before="0"/>
              <w:jc w:val="right"/>
              <w:rPr>
                <w:b/>
              </w:rPr>
            </w:pPr>
            <w:r>
              <w:rPr>
                <w:b/>
              </w:rPr>
              <w:t>10</w:t>
            </w:r>
            <w:r w:rsidR="00125FE2">
              <w:rPr>
                <w:b/>
              </w:rPr>
              <w:t xml:space="preserve"> December 2025</w:t>
            </w:r>
          </w:p>
        </w:tc>
      </w:tr>
      <w:tr w:rsidR="00AD3606" w:rsidRPr="00813E5E" w14:paraId="58A84C4A" w14:textId="77777777" w:rsidTr="64A83779">
        <w:trPr>
          <w:cantSplit/>
          <w:trHeight w:val="23"/>
        </w:trPr>
        <w:tc>
          <w:tcPr>
            <w:tcW w:w="3969" w:type="dxa"/>
            <w:vMerge/>
          </w:tcPr>
          <w:p w14:paraId="77CEDDAA" w14:textId="77777777" w:rsidR="00AD3606" w:rsidRPr="00813E5E" w:rsidRDefault="00AD3606" w:rsidP="00AD3606">
            <w:pPr>
              <w:tabs>
                <w:tab w:val="left" w:pos="851"/>
              </w:tabs>
              <w:spacing w:line="240" w:lineRule="atLeast"/>
              <w:rPr>
                <w:b/>
              </w:rPr>
            </w:pPr>
            <w:bookmarkStart w:id="7" w:name="dorlang" w:colFirst="1" w:colLast="1"/>
            <w:bookmarkEnd w:id="6"/>
          </w:p>
        </w:tc>
        <w:tc>
          <w:tcPr>
            <w:tcW w:w="5245" w:type="dxa"/>
          </w:tcPr>
          <w:p w14:paraId="561AAE94" w14:textId="2DE14FF0" w:rsidR="00AD3606" w:rsidRPr="00E85629" w:rsidRDefault="00636853" w:rsidP="00AD3606">
            <w:pPr>
              <w:tabs>
                <w:tab w:val="left" w:pos="851"/>
              </w:tabs>
              <w:spacing w:before="0" w:line="240" w:lineRule="atLeast"/>
              <w:jc w:val="right"/>
              <w:rPr>
                <w:b/>
              </w:rPr>
            </w:pPr>
            <w:r>
              <w:rPr>
                <w:b/>
              </w:rPr>
              <w:t>English only</w:t>
            </w:r>
          </w:p>
        </w:tc>
      </w:tr>
      <w:tr w:rsidR="00472BAD" w:rsidRPr="00813E5E" w14:paraId="12C5EF5F" w14:textId="77777777" w:rsidTr="64A83779">
        <w:trPr>
          <w:cantSplit/>
          <w:trHeight w:val="23"/>
        </w:trPr>
        <w:tc>
          <w:tcPr>
            <w:tcW w:w="3969" w:type="dxa"/>
          </w:tcPr>
          <w:p w14:paraId="4B839BA2" w14:textId="77777777" w:rsidR="00472BAD" w:rsidRPr="00813E5E" w:rsidRDefault="00472BAD" w:rsidP="00AD3606">
            <w:pPr>
              <w:tabs>
                <w:tab w:val="left" w:pos="851"/>
              </w:tabs>
              <w:spacing w:line="240" w:lineRule="atLeast"/>
              <w:rPr>
                <w:b/>
              </w:rPr>
            </w:pPr>
          </w:p>
        </w:tc>
        <w:tc>
          <w:tcPr>
            <w:tcW w:w="5245" w:type="dxa"/>
          </w:tcPr>
          <w:p w14:paraId="12F66D25" w14:textId="77777777" w:rsidR="00472BAD" w:rsidRDefault="00472BAD" w:rsidP="00AD3606">
            <w:pPr>
              <w:tabs>
                <w:tab w:val="left" w:pos="851"/>
              </w:tabs>
              <w:spacing w:before="0" w:line="240" w:lineRule="atLeast"/>
              <w:jc w:val="right"/>
              <w:rPr>
                <w:b/>
              </w:rPr>
            </w:pPr>
          </w:p>
        </w:tc>
      </w:tr>
      <w:tr w:rsidR="00AD3606" w:rsidRPr="00813E5E" w14:paraId="27000B2A" w14:textId="77777777" w:rsidTr="64A83779">
        <w:trPr>
          <w:cantSplit/>
        </w:trPr>
        <w:tc>
          <w:tcPr>
            <w:tcW w:w="9214" w:type="dxa"/>
            <w:gridSpan w:val="2"/>
            <w:tcMar>
              <w:left w:w="0" w:type="dxa"/>
            </w:tcMar>
          </w:tcPr>
          <w:p w14:paraId="4E7CDB90" w14:textId="60E30BCF" w:rsidR="00AD3606" w:rsidRPr="003F3796" w:rsidRDefault="002D1B8A" w:rsidP="003F3796">
            <w:pPr>
              <w:pStyle w:val="Source"/>
              <w:framePr w:hSpace="0" w:wrap="auto" w:vAnchor="margin" w:hAnchor="text" w:xAlign="left" w:yAlign="inline"/>
            </w:pPr>
            <w:bookmarkStart w:id="8" w:name="dsource" w:colFirst="0" w:colLast="0"/>
            <w:bookmarkEnd w:id="7"/>
            <w:r>
              <w:t>Report</w:t>
            </w:r>
            <w:r w:rsidR="00AD3606" w:rsidRPr="003F3796">
              <w:t xml:space="preserve"> by the </w:t>
            </w:r>
            <w:r>
              <w:t>Secretary-General</w:t>
            </w:r>
          </w:p>
        </w:tc>
      </w:tr>
      <w:tr w:rsidR="00AD3606" w:rsidRPr="00813E5E" w14:paraId="2340750D" w14:textId="77777777" w:rsidTr="64A83779">
        <w:trPr>
          <w:cantSplit/>
        </w:trPr>
        <w:tc>
          <w:tcPr>
            <w:tcW w:w="9214" w:type="dxa"/>
            <w:gridSpan w:val="2"/>
            <w:tcMar>
              <w:left w:w="0" w:type="dxa"/>
            </w:tcMar>
          </w:tcPr>
          <w:p w14:paraId="47B91AA8" w14:textId="6987FDA8" w:rsidR="00AD3606" w:rsidRPr="003F3796" w:rsidRDefault="00D60896" w:rsidP="00125FE2">
            <w:pPr>
              <w:pStyle w:val="Subtitle"/>
              <w:framePr w:hSpace="0" w:wrap="auto" w:xAlign="left" w:yAlign="inline"/>
            </w:pPr>
            <w:bookmarkStart w:id="9" w:name="dtitle1" w:colFirst="0" w:colLast="0"/>
            <w:bookmarkEnd w:id="8"/>
            <w:r>
              <w:t xml:space="preserve">Draft ITU Council contribution to the High-Level Political Forum on sustainable development </w:t>
            </w:r>
            <w:r w:rsidR="00833777">
              <w:t>(</w:t>
            </w:r>
            <w:proofErr w:type="spellStart"/>
            <w:r w:rsidR="00833777">
              <w:t>HLPF</w:t>
            </w:r>
            <w:proofErr w:type="spellEnd"/>
            <w:r w:rsidR="00833777">
              <w:t>)</w:t>
            </w:r>
          </w:p>
        </w:tc>
      </w:tr>
      <w:tr w:rsidR="00AD3606" w:rsidRPr="00813E5E" w14:paraId="1F564D2D" w14:textId="77777777" w:rsidTr="64A83779">
        <w:trPr>
          <w:cantSplit/>
        </w:trPr>
        <w:tc>
          <w:tcPr>
            <w:tcW w:w="9214" w:type="dxa"/>
            <w:gridSpan w:val="2"/>
            <w:tcBorders>
              <w:top w:val="single" w:sz="4" w:space="0" w:color="auto"/>
              <w:bottom w:val="single" w:sz="4" w:space="0" w:color="auto"/>
            </w:tcBorders>
            <w:tcMar>
              <w:left w:w="0" w:type="dxa"/>
            </w:tcMar>
          </w:tcPr>
          <w:p w14:paraId="61BBC433" w14:textId="77777777" w:rsidR="004D648B" w:rsidRPr="004D648B" w:rsidRDefault="004D648B" w:rsidP="004D648B">
            <w:pPr>
              <w:spacing w:before="160"/>
              <w:rPr>
                <w:b/>
                <w:bCs/>
                <w:sz w:val="26"/>
                <w:szCs w:val="26"/>
              </w:rPr>
            </w:pPr>
            <w:r w:rsidRPr="004D648B">
              <w:rPr>
                <w:b/>
                <w:bCs/>
                <w:sz w:val="26"/>
                <w:szCs w:val="26"/>
              </w:rPr>
              <w:t>Purpose</w:t>
            </w:r>
          </w:p>
          <w:p w14:paraId="5E010324" w14:textId="51CB29DC" w:rsidR="0016155B" w:rsidRDefault="0016155B" w:rsidP="0016155B">
            <w:pPr>
              <w:jc w:val="both"/>
            </w:pPr>
            <w:r>
              <w:t>This document contains a draft ITU Council’s contribution to the 2026 High-Level Political Forum on Sustainable Development (</w:t>
            </w:r>
            <w:proofErr w:type="spellStart"/>
            <w:r>
              <w:t>HLPF</w:t>
            </w:r>
            <w:proofErr w:type="spellEnd"/>
            <w:r>
              <w:t xml:space="preserve">), as per invitation extended annually to ITU’s intergovernmental body by the President of the United Nations Economic and Social Council (ECOSOC) contained in </w:t>
            </w:r>
            <w:hyperlink w:anchor="Annex2" w:history="1">
              <w:r w:rsidRPr="00783C5A">
                <w:rPr>
                  <w:rStyle w:val="Hyperlink"/>
                  <w:b/>
                  <w:bCs/>
                </w:rPr>
                <w:t>Annex 2</w:t>
              </w:r>
            </w:hyperlink>
            <w:r w:rsidRPr="00F243B2">
              <w:rPr>
                <w:b/>
                <w:bCs/>
              </w:rPr>
              <w:t>.</w:t>
            </w:r>
          </w:p>
          <w:p w14:paraId="7B62C026" w14:textId="02D98A12" w:rsidR="004D648B" w:rsidRPr="003F3796" w:rsidRDefault="0016155B" w:rsidP="0016155B">
            <w:pPr>
              <w:spacing w:before="160"/>
              <w:jc w:val="both"/>
              <w:rPr>
                <w:szCs w:val="24"/>
              </w:rPr>
            </w:pPr>
            <w:r>
              <w:t>Within the context of the annual theme “</w:t>
            </w:r>
            <w:r w:rsidRPr="00F243B2">
              <w:t>Transformative, equitable, innovative and coordinated actions for the 2030 Agenda for Sustainable Development and its Sustainable Development Goals for a sustainable future for all</w:t>
            </w:r>
            <w:r>
              <w:t xml:space="preserve">”, the input offers views, findings, research, data, and policy recommendations, as well as </w:t>
            </w:r>
            <w:hyperlink w:anchor="Annex1" w:history="1">
              <w:r w:rsidRPr="00783C5A">
                <w:rPr>
                  <w:rStyle w:val="Hyperlink"/>
                  <w:b/>
                  <w:bCs/>
                </w:rPr>
                <w:t>Annex 1</w:t>
              </w:r>
            </w:hyperlink>
            <w:r>
              <w:t xml:space="preserve"> on the role of ICTs and ITU’s contributions to goals: </w:t>
            </w:r>
            <w:r w:rsidRPr="00F243B2">
              <w:rPr>
                <w:b/>
                <w:bCs/>
              </w:rPr>
              <w:t xml:space="preserve">(SDG 6) </w:t>
            </w:r>
            <w:r w:rsidRPr="00F243B2">
              <w:t xml:space="preserve">Ensure availability and sustainable management of water and sanitation for all; </w:t>
            </w:r>
            <w:r w:rsidRPr="00F243B2">
              <w:rPr>
                <w:b/>
                <w:bCs/>
              </w:rPr>
              <w:t xml:space="preserve">(SDG 7) </w:t>
            </w:r>
            <w:r w:rsidRPr="00F243B2">
              <w:t>Ensure access to affordable, reliable, sustainable and modern energy for all;</w:t>
            </w:r>
            <w:r w:rsidRPr="00F243B2">
              <w:rPr>
                <w:b/>
                <w:bCs/>
              </w:rPr>
              <w:t xml:space="preserve"> (SDG 9) </w:t>
            </w:r>
            <w:r w:rsidRPr="00F243B2">
              <w:t xml:space="preserve">Build resilient infrastructure, promote inclusive and sustainable industrialization and foster innovation; </w:t>
            </w:r>
            <w:r w:rsidRPr="00F243B2">
              <w:rPr>
                <w:b/>
                <w:bCs/>
              </w:rPr>
              <w:t xml:space="preserve">(SDG 11) </w:t>
            </w:r>
            <w:r w:rsidRPr="00F243B2">
              <w:t>Make cities and human settlements inclusive, safe, resilient and sustainable; and</w:t>
            </w:r>
            <w:r w:rsidRPr="00F243B2">
              <w:rPr>
                <w:b/>
                <w:bCs/>
              </w:rPr>
              <w:t xml:space="preserve"> (SDG 17) </w:t>
            </w:r>
            <w:r w:rsidRPr="00F243B2">
              <w:t>Strengthen the means of implementation and revitalize the Global Partnership for Sustainable Development</w:t>
            </w:r>
            <w:r>
              <w:t>.</w:t>
            </w:r>
          </w:p>
          <w:p w14:paraId="16727A07" w14:textId="77777777" w:rsidR="004D648B" w:rsidRPr="004D648B" w:rsidRDefault="004D648B" w:rsidP="004D648B">
            <w:pPr>
              <w:spacing w:before="160"/>
              <w:rPr>
                <w:b/>
                <w:bCs/>
                <w:sz w:val="26"/>
                <w:szCs w:val="26"/>
              </w:rPr>
            </w:pPr>
            <w:r w:rsidRPr="004D648B">
              <w:rPr>
                <w:b/>
                <w:bCs/>
                <w:sz w:val="26"/>
                <w:szCs w:val="26"/>
              </w:rPr>
              <w:t>Action required</w:t>
            </w:r>
          </w:p>
          <w:p w14:paraId="40C01AB6" w14:textId="7D77C011" w:rsidR="004D648B" w:rsidRPr="004D648B" w:rsidRDefault="003F3796" w:rsidP="004D648B">
            <w:pPr>
              <w:spacing w:before="160"/>
              <w:rPr>
                <w:b/>
                <w:bCs/>
                <w:szCs w:val="24"/>
              </w:rPr>
            </w:pPr>
            <w:r w:rsidRPr="00754DFC">
              <w:rPr>
                <w:szCs w:val="24"/>
              </w:rPr>
              <w:t>The Council Working Group on WSIS and the SDGs is invited to</w:t>
            </w:r>
            <w:r w:rsidR="000C4A55">
              <w:t xml:space="preserve"> </w:t>
            </w:r>
            <w:r w:rsidR="0016155B" w:rsidRPr="00333E71">
              <w:rPr>
                <w:b/>
                <w:bCs/>
              </w:rPr>
              <w:t>review</w:t>
            </w:r>
            <w:r w:rsidR="0016155B">
              <w:t xml:space="preserve"> and </w:t>
            </w:r>
            <w:r w:rsidR="0016155B" w:rsidRPr="00333E71">
              <w:rPr>
                <w:b/>
                <w:bCs/>
              </w:rPr>
              <w:t>contribute</w:t>
            </w:r>
            <w:r w:rsidR="0016155B">
              <w:t xml:space="preserve"> to the draft that is to be submitted to the President of ECOSOC by the Chair of</w:t>
            </w:r>
            <w:r w:rsidR="001B6D4B">
              <w:t xml:space="preserve"> the</w:t>
            </w:r>
            <w:r w:rsidR="0016155B">
              <w:t xml:space="preserve"> Council</w:t>
            </w:r>
            <w:r w:rsidR="0016155B" w:rsidRPr="004A25A3">
              <w:t xml:space="preserve"> no later than </w:t>
            </w:r>
            <w:r w:rsidR="0016155B">
              <w:t>2 </w:t>
            </w:r>
            <w:r w:rsidR="0016155B" w:rsidRPr="004A25A3">
              <w:t>March 202</w:t>
            </w:r>
            <w:r w:rsidR="0016155B">
              <w:t>6</w:t>
            </w:r>
            <w:r w:rsidR="000C4A55" w:rsidRPr="000C4A55">
              <w:rPr>
                <w:szCs w:val="24"/>
              </w:rPr>
              <w:t>.</w:t>
            </w:r>
          </w:p>
          <w:p w14:paraId="6B806D9B" w14:textId="77777777" w:rsidR="005F645F" w:rsidRDefault="005F645F">
            <w:r>
              <w:t>_______________</w:t>
            </w:r>
          </w:p>
          <w:p w14:paraId="00DEE14C" w14:textId="2B38ECA7" w:rsidR="00AD3606" w:rsidRDefault="004D648B" w:rsidP="004D648B">
            <w:pPr>
              <w:spacing w:before="160"/>
              <w:rPr>
                <w:b/>
                <w:bCs/>
                <w:sz w:val="26"/>
                <w:szCs w:val="26"/>
              </w:rPr>
            </w:pPr>
            <w:r w:rsidRPr="004D648B">
              <w:rPr>
                <w:b/>
                <w:bCs/>
                <w:sz w:val="26"/>
                <w:szCs w:val="26"/>
              </w:rPr>
              <w:t>References</w:t>
            </w:r>
          </w:p>
          <w:p w14:paraId="0175CD6C" w14:textId="6E9296B3" w:rsidR="00AD3606" w:rsidRPr="0016155B" w:rsidRDefault="003F3796" w:rsidP="64A83779">
            <w:pPr>
              <w:spacing w:after="160"/>
              <w:rPr>
                <w:rFonts w:asciiTheme="minorHAnsi" w:eastAsiaTheme="minorEastAsia" w:hAnsiTheme="minorHAnsi" w:cstheme="minorBidi"/>
                <w:i/>
                <w:iCs/>
                <w:sz w:val="22"/>
                <w:szCs w:val="22"/>
              </w:rPr>
            </w:pPr>
            <w:hyperlink r:id="rId11">
              <w:proofErr w:type="spellStart"/>
              <w:r w:rsidRPr="64A83779">
                <w:rPr>
                  <w:rStyle w:val="Hyperlink"/>
                  <w:rFonts w:asciiTheme="minorHAnsi" w:eastAsiaTheme="minorEastAsia" w:hAnsiTheme="minorHAnsi" w:cstheme="minorBidi"/>
                  <w:i/>
                  <w:iCs/>
                  <w:sz w:val="22"/>
                  <w:szCs w:val="22"/>
                </w:rPr>
                <w:t>CWG-WSIS&amp;SDG</w:t>
              </w:r>
              <w:proofErr w:type="spellEnd"/>
              <w:r w:rsidRPr="64A83779">
                <w:rPr>
                  <w:rStyle w:val="Hyperlink"/>
                  <w:rFonts w:asciiTheme="minorHAnsi" w:eastAsiaTheme="minorEastAsia" w:hAnsiTheme="minorHAnsi" w:cstheme="minorBidi"/>
                  <w:i/>
                  <w:iCs/>
                  <w:sz w:val="22"/>
                  <w:szCs w:val="22"/>
                </w:rPr>
                <w:t xml:space="preserve"> website</w:t>
              </w:r>
            </w:hyperlink>
            <w:r w:rsidRPr="64A83779">
              <w:rPr>
                <w:rFonts w:asciiTheme="minorHAnsi" w:eastAsiaTheme="minorEastAsia" w:hAnsiTheme="minorHAnsi" w:cstheme="minorBidi"/>
                <w:i/>
                <w:iCs/>
                <w:sz w:val="22"/>
                <w:szCs w:val="22"/>
              </w:rPr>
              <w:t xml:space="preserve">; </w:t>
            </w:r>
            <w:r w:rsidR="0016155B" w:rsidRPr="64A83779">
              <w:rPr>
                <w:rFonts w:asciiTheme="minorHAnsi" w:eastAsiaTheme="minorEastAsia" w:hAnsiTheme="minorHAnsi" w:cstheme="minorBidi"/>
                <w:i/>
                <w:iCs/>
                <w:sz w:val="22"/>
                <w:szCs w:val="22"/>
              </w:rPr>
              <w:t xml:space="preserve">ITU Council Contributions to the </w:t>
            </w:r>
            <w:proofErr w:type="spellStart"/>
            <w:r w:rsidR="0016155B" w:rsidRPr="64A83779">
              <w:rPr>
                <w:rFonts w:asciiTheme="minorHAnsi" w:eastAsiaTheme="minorEastAsia" w:hAnsiTheme="minorHAnsi" w:cstheme="minorBidi"/>
                <w:i/>
                <w:iCs/>
                <w:sz w:val="22"/>
                <w:szCs w:val="22"/>
              </w:rPr>
              <w:t>HLPF</w:t>
            </w:r>
            <w:proofErr w:type="spellEnd"/>
            <w:r w:rsidR="0016155B" w:rsidRPr="64A83779">
              <w:rPr>
                <w:rFonts w:asciiTheme="minorHAnsi" w:eastAsiaTheme="minorEastAsia" w:hAnsiTheme="minorHAnsi" w:cstheme="minorBidi"/>
                <w:i/>
                <w:iCs/>
                <w:sz w:val="22"/>
                <w:szCs w:val="22"/>
              </w:rPr>
              <w:t xml:space="preserve">: </w:t>
            </w:r>
            <w:hyperlink r:id="rId12">
              <w:r w:rsidR="0016155B" w:rsidRPr="64A83779">
                <w:rPr>
                  <w:rStyle w:val="Hyperlink"/>
                  <w:rFonts w:asciiTheme="minorHAnsi" w:eastAsiaTheme="minorEastAsia" w:hAnsiTheme="minorHAnsi" w:cstheme="minorBidi"/>
                  <w:i/>
                  <w:iCs/>
                  <w:sz w:val="22"/>
                  <w:szCs w:val="22"/>
                </w:rPr>
                <w:t>2016</w:t>
              </w:r>
            </w:hyperlink>
            <w:r w:rsidR="0016155B" w:rsidRPr="64A83779">
              <w:rPr>
                <w:rFonts w:asciiTheme="minorHAnsi" w:eastAsiaTheme="minorEastAsia" w:hAnsiTheme="minorHAnsi" w:cstheme="minorBidi"/>
                <w:i/>
                <w:iCs/>
                <w:color w:val="1F487C"/>
                <w:sz w:val="22"/>
                <w:szCs w:val="22"/>
              </w:rPr>
              <w:t xml:space="preserve">; </w:t>
            </w:r>
            <w:hyperlink r:id="rId13">
              <w:r w:rsidR="0016155B" w:rsidRPr="64A83779">
                <w:rPr>
                  <w:rStyle w:val="Hyperlink"/>
                  <w:rFonts w:asciiTheme="minorHAnsi" w:eastAsiaTheme="minorEastAsia" w:hAnsiTheme="minorHAnsi" w:cstheme="minorBidi"/>
                  <w:i/>
                  <w:iCs/>
                  <w:sz w:val="22"/>
                  <w:szCs w:val="22"/>
                </w:rPr>
                <w:t>2017</w:t>
              </w:r>
            </w:hyperlink>
            <w:r w:rsidR="0016155B" w:rsidRPr="64A83779">
              <w:rPr>
                <w:rFonts w:asciiTheme="minorHAnsi" w:eastAsiaTheme="minorEastAsia" w:hAnsiTheme="minorHAnsi" w:cstheme="minorBidi"/>
                <w:i/>
                <w:iCs/>
                <w:color w:val="1F487C"/>
                <w:sz w:val="22"/>
                <w:szCs w:val="22"/>
              </w:rPr>
              <w:t xml:space="preserve">; </w:t>
            </w:r>
            <w:hyperlink r:id="rId14">
              <w:r w:rsidR="0016155B" w:rsidRPr="64A83779">
                <w:rPr>
                  <w:rStyle w:val="Hyperlink"/>
                  <w:rFonts w:asciiTheme="minorHAnsi" w:eastAsiaTheme="minorEastAsia" w:hAnsiTheme="minorHAnsi" w:cstheme="minorBidi"/>
                  <w:i/>
                  <w:iCs/>
                  <w:sz w:val="22"/>
                  <w:szCs w:val="22"/>
                </w:rPr>
                <w:t>2018</w:t>
              </w:r>
            </w:hyperlink>
            <w:r w:rsidR="0016155B" w:rsidRPr="64A83779">
              <w:rPr>
                <w:rFonts w:asciiTheme="minorHAnsi" w:eastAsiaTheme="minorEastAsia" w:hAnsiTheme="minorHAnsi" w:cstheme="minorBidi"/>
                <w:i/>
                <w:iCs/>
                <w:sz w:val="22"/>
                <w:szCs w:val="22"/>
              </w:rPr>
              <w:t xml:space="preserve">; </w:t>
            </w:r>
            <w:hyperlink r:id="rId15">
              <w:r w:rsidR="0016155B" w:rsidRPr="64A83779">
                <w:rPr>
                  <w:rStyle w:val="Hyperlink"/>
                  <w:rFonts w:asciiTheme="minorHAnsi" w:eastAsiaTheme="minorEastAsia" w:hAnsiTheme="minorHAnsi" w:cstheme="minorBidi"/>
                  <w:i/>
                  <w:iCs/>
                  <w:sz w:val="22"/>
                  <w:szCs w:val="22"/>
                </w:rPr>
                <w:t>2019</w:t>
              </w:r>
            </w:hyperlink>
            <w:r w:rsidR="0016155B" w:rsidRPr="64A83779">
              <w:rPr>
                <w:rFonts w:asciiTheme="minorHAnsi" w:eastAsiaTheme="minorEastAsia" w:hAnsiTheme="minorHAnsi" w:cstheme="minorBidi"/>
                <w:i/>
                <w:iCs/>
                <w:sz w:val="22"/>
                <w:szCs w:val="22"/>
              </w:rPr>
              <w:t xml:space="preserve">; </w:t>
            </w:r>
            <w:hyperlink r:id="rId16">
              <w:r w:rsidR="0016155B" w:rsidRPr="64A83779">
                <w:rPr>
                  <w:rStyle w:val="Hyperlink"/>
                  <w:rFonts w:asciiTheme="minorHAnsi" w:eastAsiaTheme="minorEastAsia" w:hAnsiTheme="minorHAnsi" w:cstheme="minorBidi"/>
                  <w:i/>
                  <w:iCs/>
                  <w:sz w:val="22"/>
                  <w:szCs w:val="22"/>
                </w:rPr>
                <w:t>2020</w:t>
              </w:r>
            </w:hyperlink>
            <w:r w:rsidR="0016155B" w:rsidRPr="64A83779">
              <w:rPr>
                <w:rStyle w:val="Hyperlink"/>
                <w:rFonts w:asciiTheme="minorHAnsi" w:eastAsiaTheme="minorEastAsia" w:hAnsiTheme="minorHAnsi" w:cstheme="minorBidi"/>
                <w:i/>
                <w:iCs/>
                <w:sz w:val="22"/>
                <w:szCs w:val="22"/>
                <w:u w:val="none"/>
              </w:rPr>
              <w:t xml:space="preserve">; </w:t>
            </w:r>
            <w:hyperlink r:id="rId17">
              <w:r w:rsidR="0016155B" w:rsidRPr="64A83779">
                <w:rPr>
                  <w:rStyle w:val="Hyperlink"/>
                  <w:rFonts w:asciiTheme="minorHAnsi" w:eastAsiaTheme="minorEastAsia" w:hAnsiTheme="minorHAnsi" w:cstheme="minorBidi"/>
                  <w:i/>
                  <w:iCs/>
                  <w:sz w:val="22"/>
                  <w:szCs w:val="22"/>
                </w:rPr>
                <w:t>2021</w:t>
              </w:r>
            </w:hyperlink>
            <w:r w:rsidR="0016155B" w:rsidRPr="64A83779">
              <w:rPr>
                <w:rStyle w:val="Hyperlink"/>
                <w:rFonts w:asciiTheme="minorHAnsi" w:eastAsiaTheme="minorEastAsia" w:hAnsiTheme="minorHAnsi" w:cstheme="minorBidi"/>
                <w:i/>
                <w:iCs/>
                <w:sz w:val="22"/>
                <w:szCs w:val="22"/>
                <w:u w:val="none"/>
              </w:rPr>
              <w:t xml:space="preserve">; </w:t>
            </w:r>
            <w:hyperlink r:id="rId18">
              <w:r w:rsidR="0016155B" w:rsidRPr="64A83779">
                <w:rPr>
                  <w:rStyle w:val="Hyperlink"/>
                  <w:rFonts w:asciiTheme="minorHAnsi" w:eastAsiaTheme="minorEastAsia" w:hAnsiTheme="minorHAnsi" w:cstheme="minorBidi"/>
                  <w:i/>
                  <w:iCs/>
                  <w:sz w:val="22"/>
                  <w:szCs w:val="22"/>
                </w:rPr>
                <w:t>2022</w:t>
              </w:r>
            </w:hyperlink>
            <w:r w:rsidR="0016155B" w:rsidRPr="64A83779">
              <w:rPr>
                <w:rStyle w:val="Hyperlink"/>
                <w:rFonts w:asciiTheme="minorHAnsi" w:eastAsiaTheme="minorEastAsia" w:hAnsiTheme="minorHAnsi" w:cstheme="minorBidi"/>
                <w:i/>
                <w:iCs/>
                <w:sz w:val="22"/>
                <w:szCs w:val="22"/>
                <w:u w:val="none"/>
              </w:rPr>
              <w:t xml:space="preserve">; </w:t>
            </w:r>
            <w:hyperlink r:id="rId19">
              <w:r w:rsidR="0016155B" w:rsidRPr="64A83779">
                <w:rPr>
                  <w:rStyle w:val="Hyperlink"/>
                  <w:rFonts w:asciiTheme="minorHAnsi" w:eastAsiaTheme="minorEastAsia" w:hAnsiTheme="minorHAnsi" w:cstheme="minorBidi"/>
                  <w:i/>
                  <w:iCs/>
                  <w:sz w:val="22"/>
                  <w:szCs w:val="22"/>
                </w:rPr>
                <w:t>2023</w:t>
              </w:r>
            </w:hyperlink>
            <w:r w:rsidR="0016155B" w:rsidRPr="64A83779">
              <w:rPr>
                <w:rStyle w:val="Hyperlink"/>
                <w:rFonts w:asciiTheme="minorHAnsi" w:eastAsiaTheme="minorEastAsia" w:hAnsiTheme="minorHAnsi" w:cstheme="minorBidi"/>
                <w:i/>
                <w:iCs/>
                <w:sz w:val="22"/>
                <w:szCs w:val="22"/>
                <w:u w:val="none"/>
              </w:rPr>
              <w:t xml:space="preserve">; </w:t>
            </w:r>
            <w:hyperlink r:id="rId20">
              <w:r w:rsidR="0016155B" w:rsidRPr="64A83779">
                <w:rPr>
                  <w:rStyle w:val="Hyperlink"/>
                  <w:rFonts w:asciiTheme="minorHAnsi" w:eastAsiaTheme="minorEastAsia" w:hAnsiTheme="minorHAnsi" w:cstheme="minorBidi"/>
                  <w:i/>
                  <w:iCs/>
                  <w:sz w:val="22"/>
                  <w:szCs w:val="22"/>
                </w:rPr>
                <w:t>2024</w:t>
              </w:r>
            </w:hyperlink>
            <w:r w:rsidR="0016155B" w:rsidRPr="64A83779">
              <w:rPr>
                <w:rFonts w:asciiTheme="minorHAnsi" w:eastAsiaTheme="minorEastAsia" w:hAnsiTheme="minorHAnsi" w:cstheme="minorBidi"/>
                <w:i/>
                <w:iCs/>
                <w:sz w:val="22"/>
                <w:szCs w:val="22"/>
              </w:rPr>
              <w:t xml:space="preserve">; and </w:t>
            </w:r>
            <w:hyperlink r:id="rId21">
              <w:r w:rsidR="0016155B" w:rsidRPr="64A83779">
                <w:rPr>
                  <w:rStyle w:val="Hyperlink"/>
                  <w:rFonts w:asciiTheme="minorHAnsi" w:eastAsiaTheme="minorEastAsia" w:hAnsiTheme="minorHAnsi" w:cstheme="minorBidi"/>
                  <w:i/>
                  <w:iCs/>
                  <w:sz w:val="22"/>
                  <w:szCs w:val="22"/>
                </w:rPr>
                <w:t>2025</w:t>
              </w:r>
            </w:hyperlink>
          </w:p>
        </w:tc>
      </w:tr>
    </w:tbl>
    <w:p w14:paraId="4CDB8B60" w14:textId="77777777" w:rsidR="00E227F3" w:rsidRPr="0016155B"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1D7ED322" w14:textId="0C40EDEE" w:rsidR="0090147A" w:rsidRPr="0016155B" w:rsidRDefault="0090147A" w:rsidP="1DCABC38">
      <w:pPr>
        <w:tabs>
          <w:tab w:val="clear" w:pos="567"/>
          <w:tab w:val="clear" w:pos="1134"/>
          <w:tab w:val="clear" w:pos="1701"/>
          <w:tab w:val="clear" w:pos="2268"/>
          <w:tab w:val="clear" w:pos="2835"/>
        </w:tabs>
        <w:overflowPunct/>
        <w:autoSpaceDE/>
        <w:autoSpaceDN/>
        <w:adjustRightInd/>
        <w:spacing w:before="0"/>
        <w:textAlignment w:val="auto"/>
        <w:rPr>
          <w:b/>
          <w:bCs/>
        </w:rPr>
      </w:pPr>
      <w:r>
        <w:br w:type="page"/>
      </w:r>
    </w:p>
    <w:bookmarkEnd w:id="5"/>
    <w:bookmarkEnd w:id="10"/>
    <w:p w14:paraId="04013A21" w14:textId="771914FA" w:rsidR="33E0D132" w:rsidRDefault="33E0D132" w:rsidP="1DCABC38">
      <w:pPr>
        <w:spacing w:before="360"/>
        <w:jc w:val="center"/>
      </w:pPr>
      <w:r w:rsidRPr="1DCABC38">
        <w:rPr>
          <w:rFonts w:eastAsia="Calibri" w:cs="Calibri"/>
          <w:b/>
          <w:bCs/>
          <w:caps/>
          <w:color w:val="FF0000"/>
          <w:sz w:val="28"/>
          <w:szCs w:val="28"/>
        </w:rPr>
        <w:lastRenderedPageBreak/>
        <w:t>DRAFT</w:t>
      </w:r>
    </w:p>
    <w:p w14:paraId="537E3DD7" w14:textId="0EEBAC0C" w:rsidR="00125FE2" w:rsidRPr="002132E3" w:rsidRDefault="00125FE2" w:rsidP="0016155B">
      <w:pPr>
        <w:pStyle w:val="Annextitle"/>
        <w:rPr>
          <w:rFonts w:asciiTheme="minorHAnsi" w:eastAsia="Malgun Gothic" w:hAnsiTheme="minorHAnsi" w:cstheme="minorHAnsi"/>
          <w:b w:val="0"/>
          <w:bCs/>
          <w:szCs w:val="28"/>
          <w:lang w:eastAsia="ko-KR"/>
        </w:rPr>
      </w:pPr>
      <w:r w:rsidRPr="002132E3">
        <w:rPr>
          <w:rFonts w:eastAsia="DengXian"/>
          <w:lang w:eastAsia="zh-CN"/>
        </w:rPr>
        <w:t xml:space="preserve">ITU COUNCIL CONTRIBUTION TO </w:t>
      </w:r>
      <w:r w:rsidR="0016155B">
        <w:rPr>
          <w:rFonts w:eastAsia="DengXian"/>
          <w:lang w:eastAsia="zh-CN"/>
        </w:rPr>
        <w:br/>
      </w:r>
      <w:r w:rsidRPr="002132E3">
        <w:rPr>
          <w:rFonts w:asciiTheme="minorHAnsi" w:eastAsia="DengXian" w:hAnsiTheme="minorHAnsi" w:cstheme="minorHAnsi"/>
          <w:bCs/>
          <w:szCs w:val="28"/>
          <w:lang w:eastAsia="zh-CN"/>
        </w:rPr>
        <w:t xml:space="preserve">THE HIGH-LEVEL POLITICAL FORUM ON SUSTAINABLE DEVELOPMENT </w:t>
      </w:r>
      <w:r w:rsidRPr="002132E3">
        <w:rPr>
          <w:rFonts w:asciiTheme="minorHAnsi" w:eastAsia="Malgun Gothic" w:hAnsiTheme="minorHAnsi" w:cstheme="minorHAnsi"/>
          <w:bCs/>
          <w:szCs w:val="28"/>
          <w:lang w:eastAsia="ko-KR"/>
        </w:rPr>
        <w:t>2026</w:t>
      </w:r>
    </w:p>
    <w:p w14:paraId="6DD8B79F" w14:textId="25DC898F" w:rsidR="00125FE2" w:rsidRPr="002132E3" w:rsidRDefault="00125FE2" w:rsidP="58BAADD2">
      <w:pPr>
        <w:pStyle w:val="Headingb"/>
      </w:pPr>
      <w:r>
        <w:t>202</w:t>
      </w:r>
      <w:r w:rsidRPr="58BAADD2">
        <w:rPr>
          <w:rFonts w:eastAsia="Malgun Gothic"/>
          <w:lang w:eastAsia="ko-KR"/>
        </w:rPr>
        <w:t>6</w:t>
      </w:r>
      <w:r>
        <w:t xml:space="preserve"> THEME: Transformative, equitable, innovative and coordinated actions for the 2030 Agenda for Sustainable Development and its Sustainable Development Goals for a sustainable future for all</w:t>
      </w:r>
    </w:p>
    <w:p w14:paraId="2E093471" w14:textId="77777777" w:rsidR="00125FE2" w:rsidRPr="002132E3" w:rsidRDefault="00125FE2" w:rsidP="00783C5A">
      <w:pPr>
        <w:spacing w:after="120"/>
        <w:jc w:val="both"/>
        <w:rPr>
          <w:rFonts w:eastAsia="DengXian"/>
          <w:b/>
          <w:bCs/>
          <w:lang w:eastAsia="zh-CN"/>
        </w:rPr>
      </w:pPr>
      <w:r w:rsidRPr="002132E3">
        <w:rPr>
          <w:rFonts w:eastAsia="DengXian"/>
          <w:b/>
          <w:bCs/>
          <w:lang w:eastAsia="zh-CN"/>
        </w:rPr>
        <w:t xml:space="preserve">Sustainable Development Goals under review: (SDG 6) </w:t>
      </w:r>
      <w:r w:rsidRPr="002132E3">
        <w:rPr>
          <w:rFonts w:eastAsia="DengXian"/>
          <w:lang w:eastAsia="zh-CN"/>
        </w:rPr>
        <w:t>Ensure availability and sustainable management of water and sanitation for all;</w:t>
      </w:r>
      <w:r w:rsidRPr="002132E3">
        <w:rPr>
          <w:rFonts w:eastAsia="DengXian"/>
          <w:b/>
          <w:bCs/>
          <w:lang w:eastAsia="zh-CN"/>
        </w:rPr>
        <w:t xml:space="preserve"> (SDG 7) </w:t>
      </w:r>
      <w:r w:rsidRPr="002132E3">
        <w:rPr>
          <w:rFonts w:eastAsia="DengXian"/>
          <w:lang w:eastAsia="zh-CN"/>
        </w:rPr>
        <w:t xml:space="preserve">Ensure access to affordable, reliable, sustainable and modern energy for all; </w:t>
      </w:r>
      <w:r w:rsidRPr="002132E3">
        <w:rPr>
          <w:rFonts w:eastAsia="DengXian"/>
          <w:b/>
          <w:bCs/>
          <w:lang w:eastAsia="zh-CN"/>
        </w:rPr>
        <w:t xml:space="preserve">(SDG 9) </w:t>
      </w:r>
      <w:r w:rsidRPr="002132E3">
        <w:rPr>
          <w:rFonts w:eastAsia="DengXian"/>
          <w:lang w:eastAsia="zh-CN"/>
        </w:rPr>
        <w:t>Build resilient infrastructure, promote inclusive and sustainable industrialization and foster innovation;</w:t>
      </w:r>
      <w:r w:rsidRPr="002132E3">
        <w:rPr>
          <w:rFonts w:eastAsia="DengXian"/>
          <w:b/>
          <w:bCs/>
          <w:lang w:eastAsia="zh-CN"/>
        </w:rPr>
        <w:t xml:space="preserve"> (SDG 11) </w:t>
      </w:r>
      <w:r w:rsidRPr="002132E3">
        <w:rPr>
          <w:rFonts w:eastAsia="DengXian"/>
          <w:lang w:eastAsia="zh-CN"/>
        </w:rPr>
        <w:t>Make cities and human settlements inclusive, safe, resilient and sustainable; and</w:t>
      </w:r>
      <w:r w:rsidRPr="002132E3">
        <w:rPr>
          <w:rFonts w:eastAsia="DengXian"/>
          <w:b/>
          <w:bCs/>
          <w:lang w:eastAsia="zh-CN"/>
        </w:rPr>
        <w:t xml:space="preserve"> (SDG 17) </w:t>
      </w:r>
      <w:r w:rsidRPr="002132E3">
        <w:rPr>
          <w:rFonts w:eastAsia="DengXian"/>
          <w:lang w:eastAsia="zh-CN"/>
        </w:rPr>
        <w:t>Strengthen the means of implementation and revitalize the Global Partnership for Sustainable Development</w:t>
      </w:r>
      <w:r w:rsidRPr="002132E3">
        <w:rPr>
          <w:rFonts w:eastAsia="Malgun Gothic"/>
          <w:lang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125FE2" w:rsidRPr="005873BA" w14:paraId="514E88BE" w14:textId="77777777" w:rsidTr="00396299">
        <w:tc>
          <w:tcPr>
            <w:tcW w:w="9016" w:type="dxa"/>
          </w:tcPr>
          <w:p w14:paraId="322D9942" w14:textId="77777777" w:rsidR="00125FE2" w:rsidRPr="005873BA" w:rsidRDefault="00125FE2">
            <w:pPr>
              <w:tabs>
                <w:tab w:val="clear" w:pos="567"/>
                <w:tab w:val="clear" w:pos="1134"/>
                <w:tab w:val="clear" w:pos="1701"/>
                <w:tab w:val="clear" w:pos="2268"/>
                <w:tab w:val="clear" w:pos="2835"/>
              </w:tabs>
              <w:overflowPunct/>
              <w:spacing w:before="0" w:line="259" w:lineRule="auto"/>
              <w:textAlignment w:val="auto"/>
              <w:rPr>
                <w:rFonts w:asciiTheme="minorHAnsi" w:eastAsia="DengXian" w:hAnsiTheme="minorHAnsi" w:cstheme="minorHAnsi"/>
                <w:b/>
                <w:bCs/>
                <w:color w:val="000000"/>
                <w:szCs w:val="24"/>
                <w:lang w:eastAsia="zh-CN"/>
              </w:rPr>
            </w:pPr>
            <w:r w:rsidRPr="005873BA">
              <w:rPr>
                <w:rFonts w:asciiTheme="minorHAnsi" w:eastAsia="DengXian" w:hAnsiTheme="minorHAnsi" w:cstheme="minorHAnsi"/>
                <w:b/>
                <w:bCs/>
                <w:color w:val="000000"/>
                <w:szCs w:val="24"/>
                <w:lang w:eastAsia="zh-CN"/>
              </w:rPr>
              <w:t>General Introduction</w:t>
            </w:r>
          </w:p>
          <w:p w14:paraId="0689A0AC" w14:textId="77777777" w:rsidR="00ED69D8" w:rsidRPr="005873BA" w:rsidRDefault="00ED69D8" w:rsidP="00ED69D8">
            <w:pPr>
              <w:tabs>
                <w:tab w:val="clear" w:pos="567"/>
                <w:tab w:val="clear" w:pos="1134"/>
                <w:tab w:val="clear" w:pos="1701"/>
                <w:tab w:val="clear" w:pos="2268"/>
                <w:tab w:val="clear" w:pos="2835"/>
              </w:tabs>
              <w:overflowPunct/>
              <w:spacing w:after="120" w:line="259" w:lineRule="auto"/>
              <w:jc w:val="both"/>
              <w:textAlignment w:val="auto"/>
              <w:rPr>
                <w:rFonts w:asciiTheme="minorHAnsi" w:eastAsia="DengXian" w:hAnsiTheme="minorHAnsi" w:cstheme="minorBidi"/>
                <w:color w:val="000000"/>
                <w:lang w:eastAsia="zh-CN"/>
              </w:rPr>
            </w:pPr>
            <w:r w:rsidRPr="58BAADD2">
              <w:rPr>
                <w:rFonts w:asciiTheme="minorHAnsi" w:eastAsia="DengXian" w:hAnsiTheme="minorHAnsi" w:cstheme="minorBidi"/>
                <w:color w:val="000000" w:themeColor="text1"/>
                <w:lang w:eastAsia="zh-CN"/>
              </w:rPr>
              <w:t>The International Telecommunication Union (ITU) is the United Nations specialized agency for</w:t>
            </w:r>
            <w:r w:rsidRPr="58BAADD2">
              <w:rPr>
                <w:rFonts w:asciiTheme="minorHAnsi" w:eastAsia="Malgun Gothic" w:hAnsiTheme="minorHAnsi" w:cstheme="minorBidi"/>
                <w:color w:val="000000" w:themeColor="text1"/>
                <w:lang w:eastAsia="ko-KR"/>
              </w:rPr>
              <w:t xml:space="preserve"> telecommunication/</w:t>
            </w:r>
            <w:r w:rsidRPr="58BAADD2">
              <w:rPr>
                <w:rFonts w:asciiTheme="minorHAnsi" w:eastAsia="DengXian" w:hAnsiTheme="minorHAnsi" w:cstheme="minorBidi"/>
                <w:color w:val="000000" w:themeColor="text1"/>
                <w:lang w:eastAsia="zh-CN"/>
              </w:rPr>
              <w:t xml:space="preserve">information and communication technologies (ICTs). ITU allocates global radio spectrum and satellite orbits, develops the technical standards that ensure networks and technologies seamlessly interconnect, and strives to improve access to and use of ICTs among underserved communities worldwide. ITU is committed to connecting all the world's people - ensuring that everyone, regardless of age, gender, ability, location, or financial means has available, accessible and affordable access to ICTs. </w:t>
            </w:r>
          </w:p>
          <w:p w14:paraId="68E58B92" w14:textId="77777777" w:rsidR="00ED69D8" w:rsidRPr="005873BA" w:rsidRDefault="00ED69D8" w:rsidP="00ED69D8">
            <w:pPr>
              <w:tabs>
                <w:tab w:val="clear" w:pos="567"/>
                <w:tab w:val="clear" w:pos="1134"/>
                <w:tab w:val="clear" w:pos="1701"/>
                <w:tab w:val="clear" w:pos="2268"/>
                <w:tab w:val="clear" w:pos="2835"/>
              </w:tabs>
              <w:overflowPunct/>
              <w:spacing w:after="120" w:line="259" w:lineRule="auto"/>
              <w:jc w:val="both"/>
              <w:textAlignment w:val="auto"/>
              <w:rPr>
                <w:rFonts w:asciiTheme="minorHAnsi" w:eastAsia="DengXian" w:hAnsiTheme="minorHAnsi" w:cstheme="minorBidi"/>
                <w:color w:val="000000"/>
                <w:lang w:eastAsia="zh-CN"/>
              </w:rPr>
            </w:pPr>
            <w:r w:rsidRPr="58BAADD2">
              <w:rPr>
                <w:rFonts w:asciiTheme="minorHAnsi" w:eastAsia="DengXian" w:hAnsiTheme="minorHAnsi" w:cstheme="minorBidi"/>
                <w:color w:val="000000" w:themeColor="text1"/>
                <w:lang w:eastAsia="zh-CN"/>
              </w:rPr>
              <w:t xml:space="preserve">Through ITU’s work, it supports everyone's fundamental right to communicate. The Sustainable Development Goals (SDGs) and Targets stimulate global action in the coming years in areas of critical importance for humanity and the planet. As acknowledged </w:t>
            </w:r>
            <w:r w:rsidRPr="58BAADD2">
              <w:rPr>
                <w:rFonts w:asciiTheme="minorHAnsi" w:eastAsia="Malgun Gothic" w:hAnsiTheme="minorHAnsi" w:cstheme="minorBidi"/>
                <w:color w:val="000000" w:themeColor="text1"/>
                <w:lang w:eastAsia="ko-KR"/>
              </w:rPr>
              <w:t>in Paragraph 15 of</w:t>
            </w:r>
            <w:r w:rsidRPr="58BAADD2">
              <w:rPr>
                <w:rFonts w:asciiTheme="minorHAnsi" w:eastAsia="DengXian" w:hAnsiTheme="minorHAnsi" w:cstheme="minorBidi"/>
                <w:color w:val="000000" w:themeColor="text1"/>
                <w:lang w:eastAsia="zh-CN"/>
              </w:rPr>
              <w:t xml:space="preserve"> the 2030 Agenda for Sustainable Development, “</w:t>
            </w:r>
            <w:r w:rsidRPr="58BAADD2">
              <w:rPr>
                <w:rFonts w:asciiTheme="minorHAnsi" w:eastAsia="Malgun Gothic" w:hAnsiTheme="minorHAnsi" w:cstheme="minorBidi"/>
                <w:color w:val="000000" w:themeColor="text1"/>
                <w:lang w:eastAsia="ko-KR"/>
              </w:rPr>
              <w:t>[t]</w:t>
            </w:r>
            <w:proofErr w:type="gramStart"/>
            <w:r w:rsidRPr="58BAADD2">
              <w:rPr>
                <w:rFonts w:asciiTheme="minorHAnsi" w:eastAsia="DengXian" w:hAnsiTheme="minorHAnsi" w:cstheme="minorBidi"/>
                <w:color w:val="000000" w:themeColor="text1"/>
                <w:lang w:eastAsia="zh-CN"/>
              </w:rPr>
              <w:t>he</w:t>
            </w:r>
            <w:proofErr w:type="gramEnd"/>
            <w:r w:rsidRPr="58BAADD2">
              <w:rPr>
                <w:rFonts w:asciiTheme="minorHAnsi" w:eastAsia="DengXian" w:hAnsiTheme="minorHAnsi" w:cstheme="minorBidi"/>
                <w:color w:val="000000" w:themeColor="text1"/>
                <w:lang w:eastAsia="zh-CN"/>
              </w:rPr>
              <w:t xml:space="preserve"> spread of information and communications technology and global interconnectedness has great potential to accelerate human progress, to bridge the digital divide and to develop knowledge societies, as does scientific and technological innovation across areas as diverse as medicine and energy</w:t>
            </w:r>
            <w:r w:rsidRPr="58BAADD2">
              <w:rPr>
                <w:rFonts w:asciiTheme="minorHAnsi" w:eastAsia="Malgun Gothic" w:hAnsiTheme="minorHAnsi" w:cstheme="minorBidi"/>
                <w:color w:val="000000" w:themeColor="text1"/>
                <w:lang w:eastAsia="ko-KR"/>
              </w:rPr>
              <w:t>.</w:t>
            </w:r>
            <w:r w:rsidRPr="58BAADD2">
              <w:rPr>
                <w:rFonts w:asciiTheme="minorHAnsi" w:eastAsia="DengXian" w:hAnsiTheme="minorHAnsi" w:cstheme="minorBidi"/>
                <w:color w:val="000000" w:themeColor="text1"/>
                <w:lang w:eastAsia="zh-CN"/>
              </w:rPr>
              <w:t>”</w:t>
            </w:r>
          </w:p>
          <w:p w14:paraId="49285CDF" w14:textId="77777777" w:rsidR="00ED69D8" w:rsidRPr="005873BA" w:rsidRDefault="00ED69D8" w:rsidP="00ED69D8">
            <w:pPr>
              <w:tabs>
                <w:tab w:val="clear" w:pos="567"/>
                <w:tab w:val="clear" w:pos="1134"/>
                <w:tab w:val="clear" w:pos="1701"/>
                <w:tab w:val="clear" w:pos="2268"/>
                <w:tab w:val="clear" w:pos="2835"/>
              </w:tabs>
              <w:overflowPunct/>
              <w:spacing w:after="120" w:line="259" w:lineRule="auto"/>
              <w:jc w:val="both"/>
              <w:textAlignment w:val="auto"/>
              <w:rPr>
                <w:rFonts w:asciiTheme="minorHAnsi" w:eastAsia="DengXian" w:hAnsiTheme="minorHAnsi" w:cstheme="minorBidi"/>
                <w:color w:val="000000"/>
                <w:lang w:eastAsia="zh-CN"/>
              </w:rPr>
            </w:pPr>
            <w:r w:rsidRPr="58BAADD2">
              <w:rPr>
                <w:rFonts w:asciiTheme="minorHAnsi" w:eastAsia="DengXian" w:hAnsiTheme="minorHAnsi" w:cstheme="minorBidi"/>
                <w:color w:val="000000" w:themeColor="text1"/>
                <w:lang w:eastAsia="zh-CN"/>
              </w:rPr>
              <w:t>Increased connectivity, trust, digital technologies, information systems, digital skills and Internet use have the potential to reduce poverty</w:t>
            </w:r>
            <w:r w:rsidRPr="58BAADD2">
              <w:rPr>
                <w:rFonts w:asciiTheme="minorHAnsi" w:eastAsia="Malgun Gothic" w:hAnsiTheme="minorHAnsi" w:cstheme="minorBidi"/>
                <w:color w:val="000000" w:themeColor="text1"/>
                <w:lang w:eastAsia="ko-KR"/>
              </w:rPr>
              <w:t>,</w:t>
            </w:r>
            <w:r w:rsidRPr="58BAADD2">
              <w:rPr>
                <w:rFonts w:asciiTheme="minorHAnsi" w:eastAsia="DengXian" w:hAnsiTheme="minorHAnsi" w:cstheme="minorBidi"/>
                <w:color w:val="000000" w:themeColor="text1"/>
                <w:lang w:eastAsia="zh-CN"/>
              </w:rPr>
              <w:t xml:space="preserve"> create jobs</w:t>
            </w:r>
            <w:r w:rsidRPr="58BAADD2">
              <w:rPr>
                <w:rFonts w:asciiTheme="minorHAnsi" w:eastAsia="Malgun Gothic" w:hAnsiTheme="minorHAnsi" w:cstheme="minorBidi"/>
                <w:color w:val="000000" w:themeColor="text1"/>
                <w:lang w:eastAsia="ko-KR"/>
              </w:rPr>
              <w:t>, and advance sustainability</w:t>
            </w:r>
            <w:r w:rsidRPr="58BAADD2">
              <w:rPr>
                <w:rFonts w:asciiTheme="minorHAnsi" w:eastAsia="DengXian" w:hAnsiTheme="minorHAnsi" w:cstheme="minorBidi"/>
                <w:color w:val="000000" w:themeColor="text1"/>
                <w:lang w:eastAsia="zh-CN"/>
              </w:rPr>
              <w:t xml:space="preserve"> through applications and services, such as e-agriculture</w:t>
            </w:r>
            <w:r w:rsidRPr="58BAADD2">
              <w:rPr>
                <w:rFonts w:asciiTheme="minorHAnsi" w:eastAsia="Malgun Gothic" w:hAnsiTheme="minorHAnsi" w:cstheme="minorBidi"/>
                <w:color w:val="000000" w:themeColor="text1"/>
                <w:lang w:eastAsia="ko-KR"/>
              </w:rPr>
              <w:t>,</w:t>
            </w:r>
            <w:r w:rsidRPr="58BAADD2">
              <w:rPr>
                <w:rFonts w:asciiTheme="minorHAnsi" w:eastAsia="DengXian" w:hAnsiTheme="minorHAnsi" w:cstheme="minorBidi"/>
                <w:color w:val="000000" w:themeColor="text1"/>
                <w:lang w:eastAsia="zh-CN"/>
              </w:rPr>
              <w:t xml:space="preserve"> digital finance</w:t>
            </w:r>
            <w:r w:rsidRPr="58BAADD2">
              <w:rPr>
                <w:rFonts w:asciiTheme="minorHAnsi" w:eastAsia="Malgun Gothic" w:hAnsiTheme="minorHAnsi" w:cstheme="minorBidi"/>
                <w:color w:val="000000" w:themeColor="text1"/>
                <w:lang w:eastAsia="ko-KR"/>
              </w:rPr>
              <w:t>, and smart resource management</w:t>
            </w:r>
            <w:r w:rsidRPr="58BAADD2">
              <w:rPr>
                <w:rFonts w:asciiTheme="minorHAnsi" w:eastAsia="DengXian" w:hAnsiTheme="minorHAnsi" w:cstheme="minorBidi"/>
                <w:color w:val="000000" w:themeColor="text1"/>
                <w:lang w:eastAsia="zh-CN"/>
              </w:rPr>
              <w:t>;</w:t>
            </w:r>
            <w:r w:rsidRPr="58BAADD2">
              <w:rPr>
                <w:rFonts w:asciiTheme="minorHAnsi" w:eastAsia="Malgun Gothic" w:hAnsiTheme="minorHAnsi" w:cstheme="minorBidi"/>
                <w:color w:val="000000" w:themeColor="text1"/>
                <w:lang w:eastAsia="ko-KR"/>
              </w:rPr>
              <w:t xml:space="preserve"> to ensure sustainable water and sanitation; to expand access to affordable, reliable, and clean energy; to build resilient infrastructure and promote inclusive industrialization, and to make cities safe, resilient and sustainable.</w:t>
            </w:r>
            <w:r w:rsidRPr="58BAADD2">
              <w:rPr>
                <w:rFonts w:asciiTheme="minorHAnsi" w:eastAsia="DengXian" w:hAnsiTheme="minorHAnsi" w:cstheme="minorBidi"/>
                <w:color w:val="000000" w:themeColor="text1"/>
                <w:lang w:eastAsia="zh-CN"/>
              </w:rPr>
              <w:t xml:space="preserve"> All three pillars of sustainable development – economic development, social inclusion and environmental protection – rely on ICTs as key catalysts. The development potential of ICT as cross-cutting enablers must therefore be fully harnessed to achieve the SDGs. </w:t>
            </w:r>
          </w:p>
          <w:p w14:paraId="2C7FA204" w14:textId="77777777" w:rsidR="00ED69D8" w:rsidRPr="005873BA" w:rsidRDefault="00ED69D8" w:rsidP="00ED69D8">
            <w:pPr>
              <w:tabs>
                <w:tab w:val="clear" w:pos="567"/>
                <w:tab w:val="clear" w:pos="1134"/>
                <w:tab w:val="clear" w:pos="1701"/>
                <w:tab w:val="clear" w:pos="2268"/>
                <w:tab w:val="clear" w:pos="2835"/>
              </w:tabs>
              <w:overflowPunct/>
              <w:spacing w:after="120" w:line="259" w:lineRule="auto"/>
              <w:jc w:val="both"/>
              <w:textAlignment w:val="auto"/>
              <w:rPr>
                <w:rFonts w:asciiTheme="minorHAnsi" w:eastAsia="DengXian" w:hAnsiTheme="minorHAnsi" w:cstheme="minorBidi"/>
                <w:color w:val="000000"/>
                <w:lang w:eastAsia="zh-CN"/>
              </w:rPr>
            </w:pPr>
            <w:r w:rsidRPr="58BAADD2">
              <w:rPr>
                <w:rFonts w:asciiTheme="minorHAnsi" w:eastAsia="DengXian" w:hAnsiTheme="minorHAnsi" w:cstheme="minorBidi"/>
                <w:color w:val="000000" w:themeColor="text1"/>
                <w:lang w:eastAsia="zh-CN"/>
              </w:rPr>
              <w:t xml:space="preserve">To enable this vision, ITU and its members have adopted </w:t>
            </w:r>
            <w:hyperlink r:id="rId22">
              <w:r w:rsidRPr="58BAADD2">
                <w:rPr>
                  <w:rStyle w:val="Hyperlink"/>
                  <w:rFonts w:asciiTheme="minorHAnsi" w:hAnsiTheme="minorHAnsi" w:cstheme="minorBidi"/>
                </w:rPr>
                <w:t>the ITU Strategic Plan for 2024-2027</w:t>
              </w:r>
            </w:hyperlink>
            <w:r w:rsidRPr="58BAADD2">
              <w:rPr>
                <w:rFonts w:asciiTheme="minorHAnsi" w:eastAsia="DengXian" w:hAnsiTheme="minorHAnsi" w:cstheme="minorBidi"/>
                <w:color w:val="000000" w:themeColor="text1"/>
                <w:lang w:eastAsia="zh-CN"/>
              </w:rPr>
              <w:t xml:space="preserve"> and </w:t>
            </w:r>
            <w:hyperlink r:id="rId23">
              <w:r w:rsidRPr="58BAADD2">
                <w:rPr>
                  <w:rStyle w:val="Hyperlink"/>
                  <w:rFonts w:asciiTheme="minorHAnsi" w:hAnsiTheme="minorHAnsi" w:cstheme="minorBidi"/>
                </w:rPr>
                <w:t>the Connect 2030 Agenda</w:t>
              </w:r>
            </w:hyperlink>
            <w:r w:rsidRPr="58BAADD2">
              <w:rPr>
                <w:rFonts w:asciiTheme="minorHAnsi" w:eastAsia="DengXian" w:hAnsiTheme="minorHAnsi" w:cstheme="minorBidi"/>
                <w:color w:val="000000" w:themeColor="text1"/>
                <w:lang w:eastAsia="zh-CN"/>
              </w:rPr>
              <w:t xml:space="preserve"> which are based on five goals grouped under </w:t>
            </w:r>
            <w:r w:rsidRPr="58BAADD2">
              <w:rPr>
                <w:rFonts w:asciiTheme="minorHAnsi" w:eastAsia="Malgun Gothic" w:hAnsiTheme="minorHAnsi" w:cstheme="minorBidi"/>
                <w:color w:val="000000" w:themeColor="text1"/>
                <w:lang w:eastAsia="ko-KR"/>
              </w:rPr>
              <w:t>two</w:t>
            </w:r>
            <w:r w:rsidRPr="58BAADD2">
              <w:rPr>
                <w:rFonts w:asciiTheme="minorHAnsi" w:eastAsia="DengXian" w:hAnsiTheme="minorHAnsi" w:cstheme="minorBidi"/>
                <w:color w:val="000000" w:themeColor="text1"/>
                <w:lang w:eastAsia="zh-CN"/>
              </w:rPr>
              <w:t xml:space="preserve"> ITU </w:t>
            </w:r>
            <w:r w:rsidRPr="58BAADD2">
              <w:rPr>
                <w:rFonts w:asciiTheme="minorHAnsi" w:eastAsia="DengXian" w:hAnsiTheme="minorHAnsi" w:cstheme="minorBidi"/>
                <w:color w:val="000000" w:themeColor="text1"/>
                <w:lang w:eastAsia="zh-CN"/>
              </w:rPr>
              <w:lastRenderedPageBreak/>
              <w:t>strategic Goals: ‘Universal Connectivity’ and ‘Sustainable Digital Transformation’. Each Goal has its own indicators that measure the progress towards this shared vision.</w:t>
            </w:r>
          </w:p>
          <w:p w14:paraId="37774679" w14:textId="77777777" w:rsidR="00ED69D8" w:rsidRPr="005873BA" w:rsidRDefault="00ED69D8" w:rsidP="00ED69D8">
            <w:pPr>
              <w:tabs>
                <w:tab w:val="clear" w:pos="567"/>
                <w:tab w:val="clear" w:pos="1134"/>
                <w:tab w:val="clear" w:pos="1701"/>
                <w:tab w:val="clear" w:pos="2268"/>
                <w:tab w:val="clear" w:pos="2835"/>
              </w:tabs>
              <w:overflowPunct/>
              <w:spacing w:after="120" w:line="259" w:lineRule="auto"/>
              <w:jc w:val="both"/>
              <w:textAlignment w:val="auto"/>
              <w:rPr>
                <w:rFonts w:asciiTheme="minorHAnsi" w:eastAsia="Malgun Gothic" w:hAnsiTheme="minorHAnsi" w:cstheme="minorBidi"/>
                <w:color w:val="000000"/>
                <w:lang w:eastAsia="ko-KR"/>
              </w:rPr>
            </w:pPr>
            <w:r w:rsidRPr="58BAADD2">
              <w:rPr>
                <w:rFonts w:asciiTheme="minorHAnsi" w:eastAsia="DengXian" w:hAnsiTheme="minorHAnsi" w:cstheme="minorBidi"/>
                <w:color w:val="000000" w:themeColor="text1"/>
                <w:lang w:eastAsia="zh-CN"/>
              </w:rPr>
              <w:t xml:space="preserve">In line with </w:t>
            </w:r>
            <w:hyperlink r:id="rId24">
              <w:r w:rsidRPr="58BAADD2">
                <w:rPr>
                  <w:rStyle w:val="Hyperlink"/>
                  <w:rFonts w:asciiTheme="minorHAnsi" w:hAnsiTheme="minorHAnsi" w:cstheme="minorBidi"/>
                </w:rPr>
                <w:t>UN Resolution A/70/1</w:t>
              </w:r>
            </w:hyperlink>
            <w:r w:rsidRPr="58BAADD2">
              <w:rPr>
                <w:rFonts w:asciiTheme="minorHAnsi" w:eastAsia="DengXian" w:hAnsiTheme="minorHAnsi" w:cstheme="minorBidi"/>
                <w:color w:val="000000" w:themeColor="text1"/>
                <w:lang w:eastAsia="zh-CN"/>
              </w:rPr>
              <w:t xml:space="preserve"> and </w:t>
            </w:r>
            <w:hyperlink r:id="rId25">
              <w:r w:rsidRPr="58BAADD2">
                <w:rPr>
                  <w:rStyle w:val="Hyperlink"/>
                  <w:rFonts w:asciiTheme="minorHAnsi" w:hAnsiTheme="minorHAnsi" w:cstheme="minorBidi"/>
                </w:rPr>
                <w:t>Resolution A/70/125</w:t>
              </w:r>
            </w:hyperlink>
            <w:r w:rsidRPr="58BAADD2">
              <w:rPr>
                <w:rFonts w:asciiTheme="minorHAnsi" w:eastAsia="DengXian" w:hAnsiTheme="minorHAnsi" w:cstheme="minorBidi"/>
                <w:color w:val="000000" w:themeColor="text1"/>
                <w:lang w:eastAsia="zh-CN"/>
              </w:rPr>
              <w:t xml:space="preserve">, ITU, in collaboration with more than 40 UN organizations, is continuously working towards strengthening the alignment of the </w:t>
            </w:r>
            <w:hyperlink r:id="rId26">
              <w:r w:rsidRPr="58BAADD2">
                <w:rPr>
                  <w:rStyle w:val="Hyperlink"/>
                  <w:rFonts w:asciiTheme="minorHAnsi" w:eastAsia="DengXian" w:hAnsiTheme="minorHAnsi" w:cstheme="minorBidi"/>
                  <w:lang w:eastAsia="zh-CN"/>
                </w:rPr>
                <w:t>World Summit of the Information Society (WSIS) Process</w:t>
              </w:r>
            </w:hyperlink>
            <w:r w:rsidRPr="58BAADD2">
              <w:rPr>
                <w:rFonts w:asciiTheme="minorHAnsi" w:eastAsia="DengXian" w:hAnsiTheme="minorHAnsi" w:cstheme="minorBidi"/>
                <w:color w:val="000000" w:themeColor="text1"/>
                <w:lang w:eastAsia="zh-CN"/>
              </w:rPr>
              <w:t xml:space="preserve"> implementation activities with the 2030 Agenda for Sustainable Development. This ongoing effort emphasizes the direct linkages between </w:t>
            </w:r>
            <w:hyperlink r:id="rId27">
              <w:r w:rsidRPr="58BAADD2">
                <w:rPr>
                  <w:rStyle w:val="Hyperlink"/>
                  <w:rFonts w:asciiTheme="minorHAnsi" w:eastAsia="DengXian" w:hAnsiTheme="minorHAnsi" w:cstheme="minorBidi"/>
                  <w:lang w:eastAsia="zh-CN"/>
                </w:rPr>
                <w:t>WSIS Action Lines and the SDGs</w:t>
              </w:r>
            </w:hyperlink>
            <w:r w:rsidRPr="58BAADD2">
              <w:rPr>
                <w:rFonts w:asciiTheme="minorHAnsi" w:eastAsia="DengXian" w:hAnsiTheme="minorHAnsi" w:cstheme="minorBidi"/>
                <w:color w:val="000000" w:themeColor="text1"/>
                <w:lang w:eastAsia="zh-CN"/>
              </w:rPr>
              <w:t xml:space="preserve">. The </w:t>
            </w:r>
            <w:hyperlink r:id="rId28">
              <w:r w:rsidRPr="58BAADD2">
                <w:rPr>
                  <w:rStyle w:val="Hyperlink"/>
                  <w:rFonts w:asciiTheme="minorHAnsi" w:eastAsia="DengXian" w:hAnsiTheme="minorHAnsi" w:cstheme="minorBidi"/>
                  <w:lang w:eastAsia="zh-CN"/>
                </w:rPr>
                <w:t>United Nations Group on the Information Society (</w:t>
              </w:r>
              <w:proofErr w:type="spellStart"/>
              <w:r w:rsidRPr="58BAADD2">
                <w:rPr>
                  <w:rStyle w:val="Hyperlink"/>
                  <w:rFonts w:asciiTheme="minorHAnsi" w:eastAsia="DengXian" w:hAnsiTheme="minorHAnsi" w:cstheme="minorBidi"/>
                  <w:lang w:eastAsia="zh-CN"/>
                </w:rPr>
                <w:t>UNGIS</w:t>
              </w:r>
              <w:proofErr w:type="spellEnd"/>
              <w:r w:rsidRPr="58BAADD2">
                <w:rPr>
                  <w:rStyle w:val="Hyperlink"/>
                  <w:rFonts w:asciiTheme="minorHAnsi" w:eastAsia="DengXian" w:hAnsiTheme="minorHAnsi" w:cstheme="minorBidi"/>
                  <w:lang w:eastAsia="zh-CN"/>
                </w:rPr>
                <w:t>)</w:t>
              </w:r>
            </w:hyperlink>
            <w:r w:rsidRPr="58BAADD2">
              <w:rPr>
                <w:rFonts w:asciiTheme="minorHAnsi" w:eastAsia="DengXian" w:hAnsiTheme="minorHAnsi" w:cstheme="minorBidi"/>
                <w:color w:val="000000" w:themeColor="text1"/>
                <w:lang w:eastAsia="zh-CN"/>
              </w:rPr>
              <w:t xml:space="preserve">, for which ITU serves as Vice-Chair and permanent secretariat, WSIS Forum, WSIS Stocktaking, WSIS Prizes, and related activities, led by ITU and its partners, play a key role in advancing this alignment. </w:t>
            </w:r>
          </w:p>
          <w:p w14:paraId="76EBDB72" w14:textId="691605AA" w:rsidR="00125FE2" w:rsidRPr="00396299" w:rsidRDefault="00ED69D8" w:rsidP="00396299">
            <w:pPr>
              <w:tabs>
                <w:tab w:val="clear" w:pos="567"/>
                <w:tab w:val="clear" w:pos="1134"/>
                <w:tab w:val="clear" w:pos="1701"/>
                <w:tab w:val="clear" w:pos="2268"/>
                <w:tab w:val="clear" w:pos="2835"/>
              </w:tabs>
              <w:overflowPunct/>
              <w:spacing w:before="0" w:after="120" w:line="259" w:lineRule="auto"/>
              <w:jc w:val="both"/>
              <w:textAlignment w:val="auto"/>
              <w:rPr>
                <w:rFonts w:asciiTheme="minorHAnsi" w:eastAsia="DengXian" w:hAnsiTheme="minorHAnsi" w:cstheme="minorBidi"/>
                <w:color w:val="000000"/>
                <w:lang w:eastAsia="zh-CN"/>
              </w:rPr>
            </w:pPr>
            <w:r w:rsidRPr="58BAADD2">
              <w:rPr>
                <w:rFonts w:asciiTheme="minorHAnsi" w:eastAsia="Malgun Gothic" w:hAnsiTheme="minorHAnsi" w:cstheme="minorBidi"/>
                <w:color w:val="000000" w:themeColor="text1"/>
                <w:lang w:eastAsia="ko-KR"/>
              </w:rPr>
              <w:t xml:space="preserve">This ensures </w:t>
            </w:r>
            <w:r w:rsidRPr="58BAADD2">
              <w:rPr>
                <w:rFonts w:asciiTheme="minorHAnsi" w:eastAsia="DengXian" w:hAnsiTheme="minorHAnsi" w:cstheme="minorBidi"/>
                <w:color w:val="000000" w:themeColor="text1"/>
                <w:lang w:eastAsia="zh-CN"/>
              </w:rPr>
              <w:t>that digital transformation efforts globally are harmonized with the aims of the WSIS and SDGs, thereby fostering a more inclusive, sustainable, and connected world</w:t>
            </w:r>
            <w:r w:rsidRPr="58BAADD2">
              <w:rPr>
                <w:rFonts w:asciiTheme="minorHAnsi" w:eastAsia="Malgun Gothic" w:hAnsiTheme="minorHAnsi" w:cstheme="minorBidi"/>
                <w:color w:val="000000" w:themeColor="text1"/>
                <w:lang w:eastAsia="ko-KR"/>
              </w:rPr>
              <w:t xml:space="preserve">. Key recommendations include integrating digital technologies into social policy with a human-centred and inclusive approach, ensuring non-discriminatory access, protecting privacy and data rights, and promoting international cooperation on digital transformation.  </w:t>
            </w:r>
          </w:p>
        </w:tc>
      </w:tr>
      <w:tr w:rsidR="00125FE2" w:rsidRPr="005873BA" w14:paraId="57EDE1DB" w14:textId="77777777" w:rsidTr="00396299">
        <w:tc>
          <w:tcPr>
            <w:tcW w:w="9016" w:type="dxa"/>
          </w:tcPr>
          <w:p w14:paraId="4CE0C341" w14:textId="79573401" w:rsidR="00125FE2" w:rsidRPr="005873BA" w:rsidRDefault="00125FE2" w:rsidP="00396299">
            <w:pPr>
              <w:tabs>
                <w:tab w:val="clear" w:pos="567"/>
                <w:tab w:val="clear" w:pos="1134"/>
                <w:tab w:val="clear" w:pos="1701"/>
                <w:tab w:val="clear" w:pos="2268"/>
                <w:tab w:val="clear" w:pos="2835"/>
                <w:tab w:val="left" w:pos="333"/>
              </w:tabs>
              <w:overflowPunct/>
              <w:autoSpaceDE/>
              <w:autoSpaceDN/>
              <w:adjustRightInd/>
              <w:spacing w:before="0" w:line="259" w:lineRule="auto"/>
              <w:ind w:left="333" w:hanging="333"/>
              <w:jc w:val="both"/>
              <w:textAlignment w:val="auto"/>
              <w:rPr>
                <w:rFonts w:asciiTheme="minorHAnsi" w:eastAsia="DengXian" w:hAnsiTheme="minorHAnsi" w:cstheme="minorHAnsi"/>
                <w:b/>
                <w:bCs/>
                <w:szCs w:val="24"/>
                <w:lang w:eastAsia="zh-CN"/>
              </w:rPr>
            </w:pPr>
            <w:r w:rsidRPr="005873BA">
              <w:rPr>
                <w:rFonts w:asciiTheme="minorHAnsi" w:eastAsia="Malgun Gothic" w:hAnsiTheme="minorHAnsi" w:cstheme="minorHAnsi"/>
                <w:b/>
                <w:bCs/>
                <w:szCs w:val="24"/>
                <w:lang w:eastAsia="ko-KR"/>
              </w:rPr>
              <w:lastRenderedPageBreak/>
              <w:t>(a)</w:t>
            </w:r>
            <w:r w:rsidR="0016155B" w:rsidRPr="005873BA">
              <w:rPr>
                <w:rFonts w:asciiTheme="minorHAnsi" w:eastAsia="Malgun Gothic" w:hAnsiTheme="minorHAnsi" w:cstheme="minorHAnsi"/>
                <w:b/>
                <w:bCs/>
                <w:szCs w:val="24"/>
                <w:lang w:eastAsia="ko-KR"/>
              </w:rPr>
              <w:tab/>
            </w:r>
            <w:r w:rsidRPr="005873BA">
              <w:rPr>
                <w:rFonts w:asciiTheme="minorHAnsi" w:eastAsia="Malgun Gothic" w:hAnsiTheme="minorHAnsi" w:cstheme="minorHAnsi"/>
                <w:b/>
                <w:bCs/>
                <w:szCs w:val="24"/>
                <w:lang w:eastAsia="ko-KR"/>
              </w:rPr>
              <w:t>Assessment of achievements and/or impediments in implementing SDGs 6, 7, 9, 11 and 17</w:t>
            </w:r>
            <w:r w:rsidRPr="005873BA">
              <w:rPr>
                <w:rFonts w:asciiTheme="minorHAnsi" w:eastAsia="DengXian" w:hAnsiTheme="minorHAnsi" w:cstheme="minorHAnsi"/>
                <w:b/>
                <w:bCs/>
                <w:szCs w:val="24"/>
                <w:lang w:eastAsia="zh-CN"/>
              </w:rPr>
              <w:t>:</w:t>
            </w:r>
          </w:p>
          <w:p w14:paraId="16EDC127" w14:textId="61DACD47" w:rsidR="00125FE2" w:rsidRPr="005873BA" w:rsidRDefault="67D55A7A" w:rsidP="00ED69D8">
            <w:pPr>
              <w:ind w:left="720" w:hanging="360"/>
              <w:jc w:val="both"/>
              <w:rPr>
                <w:rFonts w:asciiTheme="minorHAnsi" w:eastAsia="DengXian" w:hAnsiTheme="minorHAnsi" w:cstheme="minorBidi"/>
                <w:color w:val="000000" w:themeColor="text1"/>
                <w:lang w:eastAsia="zh-CN"/>
              </w:rPr>
            </w:pPr>
            <w:r w:rsidRPr="58BAADD2">
              <w:rPr>
                <w:rFonts w:asciiTheme="minorHAnsi" w:eastAsia="Malgun Gothic" w:hAnsiTheme="minorHAnsi" w:cstheme="minorBidi"/>
                <w:color w:val="000000" w:themeColor="text1"/>
                <w:lang w:eastAsia="zh-CN"/>
              </w:rPr>
              <w:t>–</w:t>
            </w:r>
            <w:r w:rsidR="005873BA">
              <w:tab/>
            </w:r>
            <w:r w:rsidR="002B5FE3">
              <w:tab/>
            </w:r>
            <w:r w:rsidR="00125FE2" w:rsidRPr="58BAADD2">
              <w:rPr>
                <w:rFonts w:asciiTheme="minorHAnsi" w:eastAsia="DengXian" w:hAnsiTheme="minorHAnsi" w:cstheme="minorBidi"/>
                <w:color w:val="000000" w:themeColor="text1"/>
                <w:lang w:eastAsia="zh-CN"/>
              </w:rPr>
              <w:t xml:space="preserve">Universal and meaningful connectivity is a fundamental prerequisite for accelerating progress toward the achievement of Sustainable Development Goals. Digital technologies and infrastructure act as catalysts that boost progress in about 70% of SDG targets by creating scale, efficiencies, and enabling innovation that can transform societies while promoting inclusiveness, resilience, and sustainable growth. Therefore, investing in universal and meaningful connectivity is a critical prerequisite to unlock the full potential of the 2030 Agenda and ensure no one is left behind in the digital era.  </w:t>
            </w:r>
          </w:p>
          <w:p w14:paraId="3A17A0A1" w14:textId="444D8942" w:rsidR="00125FE2" w:rsidRPr="005873BA" w:rsidRDefault="67D55A7A" w:rsidP="002B5FE3">
            <w:pPr>
              <w:ind w:left="720" w:hanging="360"/>
              <w:contextualSpacing/>
              <w:jc w:val="both"/>
              <w:rPr>
                <w:rFonts w:asciiTheme="minorHAnsi" w:eastAsia="DengXian" w:hAnsiTheme="minorHAnsi" w:cstheme="minorBidi"/>
                <w:color w:val="000000" w:themeColor="text1"/>
                <w:lang w:eastAsia="zh-CN"/>
              </w:rPr>
            </w:pPr>
            <w:r w:rsidRPr="58BAADD2">
              <w:rPr>
                <w:rFonts w:asciiTheme="minorHAnsi" w:eastAsia="Malgun Gothic" w:hAnsiTheme="minorHAnsi" w:cstheme="minorBidi"/>
                <w:color w:val="000000" w:themeColor="text1"/>
                <w:lang w:eastAsia="zh-CN"/>
              </w:rPr>
              <w:t>–</w:t>
            </w:r>
            <w:r w:rsidR="005873BA">
              <w:tab/>
            </w:r>
            <w:r w:rsidR="002B5FE3">
              <w:rPr>
                <w:rFonts w:asciiTheme="minorHAnsi" w:eastAsia="DengXian" w:hAnsiTheme="minorHAnsi" w:cstheme="minorBidi"/>
                <w:color w:val="000000" w:themeColor="text1"/>
                <w:lang w:eastAsia="zh-CN"/>
              </w:rPr>
              <w:tab/>
            </w:r>
            <w:r w:rsidR="00125FE2" w:rsidRPr="58BAADD2">
              <w:rPr>
                <w:rFonts w:asciiTheme="minorHAnsi" w:eastAsia="DengXian" w:hAnsiTheme="minorHAnsi" w:cstheme="minorBidi"/>
                <w:color w:val="000000" w:themeColor="text1"/>
                <w:lang w:eastAsia="zh-CN"/>
              </w:rPr>
              <w:t xml:space="preserve">In this context, ITU leads </w:t>
            </w:r>
            <w:hyperlink r:id="rId29">
              <w:r w:rsidR="00125FE2" w:rsidRPr="58BAADD2">
                <w:rPr>
                  <w:rStyle w:val="Hyperlink"/>
                  <w:rFonts w:asciiTheme="minorHAnsi" w:eastAsia="DengXian" w:hAnsiTheme="minorHAnsi" w:cstheme="minorBidi"/>
                  <w:lang w:eastAsia="zh-CN"/>
                </w:rPr>
                <w:t xml:space="preserve">the </w:t>
              </w:r>
              <w:proofErr w:type="spellStart"/>
              <w:r w:rsidR="00125FE2" w:rsidRPr="58BAADD2">
                <w:rPr>
                  <w:rStyle w:val="Hyperlink"/>
                  <w:rFonts w:asciiTheme="minorHAnsi" w:eastAsia="DengXian" w:hAnsiTheme="minorHAnsi" w:cstheme="minorBidi"/>
                  <w:lang w:eastAsia="zh-CN"/>
                </w:rPr>
                <w:t>Partner2Connect</w:t>
              </w:r>
              <w:proofErr w:type="spellEnd"/>
              <w:r w:rsidR="00125FE2" w:rsidRPr="58BAADD2">
                <w:rPr>
                  <w:rStyle w:val="Hyperlink"/>
                  <w:rFonts w:asciiTheme="minorHAnsi" w:eastAsia="DengXian" w:hAnsiTheme="minorHAnsi" w:cstheme="minorBidi"/>
                  <w:lang w:eastAsia="zh-CN"/>
                </w:rPr>
                <w:t xml:space="preserve"> Digital Coalition (</w:t>
              </w:r>
              <w:proofErr w:type="spellStart"/>
              <w:r w:rsidR="00125FE2" w:rsidRPr="58BAADD2">
                <w:rPr>
                  <w:rStyle w:val="Hyperlink"/>
                  <w:rFonts w:asciiTheme="minorHAnsi" w:eastAsia="DengXian" w:hAnsiTheme="minorHAnsi" w:cstheme="minorBidi"/>
                  <w:lang w:eastAsia="zh-CN"/>
                </w:rPr>
                <w:t>P2C</w:t>
              </w:r>
              <w:proofErr w:type="spellEnd"/>
              <w:r w:rsidR="00125FE2" w:rsidRPr="58BAADD2">
                <w:rPr>
                  <w:rStyle w:val="Hyperlink"/>
                  <w:rFonts w:asciiTheme="minorHAnsi" w:eastAsia="DengXian" w:hAnsiTheme="minorHAnsi" w:cstheme="minorBidi"/>
                  <w:lang w:eastAsia="zh-CN"/>
                </w:rPr>
                <w:t>)</w:t>
              </w:r>
            </w:hyperlink>
            <w:r w:rsidR="00125FE2" w:rsidRPr="58BAADD2">
              <w:rPr>
                <w:rFonts w:asciiTheme="minorHAnsi" w:eastAsia="DengXian" w:hAnsiTheme="minorHAnsi" w:cstheme="minorBidi"/>
                <w:color w:val="000000" w:themeColor="text1"/>
                <w:lang w:eastAsia="zh-CN"/>
              </w:rPr>
              <w:t>, a global multistakeholder alliance driving collective investment and innovation to advance universal meaningful connectivity and sustainable digital transformation. Launched at the U</w:t>
            </w:r>
            <w:r w:rsidR="00125FE2" w:rsidRPr="58BAADD2">
              <w:rPr>
                <w:rFonts w:asciiTheme="minorHAnsi" w:eastAsia="Malgun Gothic" w:hAnsiTheme="minorHAnsi" w:cstheme="minorBidi"/>
                <w:color w:val="000000" w:themeColor="text1"/>
                <w:lang w:eastAsia="ko-KR"/>
              </w:rPr>
              <w:t>N</w:t>
            </w:r>
            <w:r w:rsidR="00125FE2" w:rsidRPr="58BAADD2">
              <w:rPr>
                <w:rFonts w:asciiTheme="minorHAnsi" w:eastAsia="DengXian" w:hAnsiTheme="minorHAnsi" w:cstheme="minorBidi"/>
                <w:color w:val="000000" w:themeColor="text1"/>
                <w:lang w:eastAsia="zh-CN"/>
              </w:rPr>
              <w:t xml:space="preserve"> General Assembly in 2021 and operationalized at the ITU World Telecommunication Development Conference in 2022 (</w:t>
            </w:r>
            <w:proofErr w:type="spellStart"/>
            <w:r w:rsidR="00125FE2" w:rsidRPr="58BAADD2">
              <w:rPr>
                <w:rFonts w:asciiTheme="minorHAnsi" w:eastAsia="DengXian" w:hAnsiTheme="minorHAnsi" w:cstheme="minorBidi"/>
                <w:color w:val="000000" w:themeColor="text1"/>
                <w:lang w:eastAsia="zh-CN"/>
              </w:rPr>
              <w:t>WTDC</w:t>
            </w:r>
            <w:proofErr w:type="spellEnd"/>
            <w:r w:rsidR="00125FE2" w:rsidRPr="58BAADD2">
              <w:rPr>
                <w:rFonts w:asciiTheme="minorHAnsi" w:eastAsia="DengXian" w:hAnsiTheme="minorHAnsi" w:cstheme="minorBidi"/>
                <w:color w:val="000000" w:themeColor="text1"/>
                <w:lang w:eastAsia="zh-CN"/>
              </w:rPr>
              <w:t xml:space="preserve">-22) in Kigali, </w:t>
            </w:r>
            <w:proofErr w:type="spellStart"/>
            <w:r w:rsidR="00125FE2" w:rsidRPr="58BAADD2">
              <w:rPr>
                <w:rFonts w:asciiTheme="minorHAnsi" w:eastAsia="DengXian" w:hAnsiTheme="minorHAnsi" w:cstheme="minorBidi"/>
                <w:color w:val="000000" w:themeColor="text1"/>
                <w:lang w:eastAsia="zh-CN"/>
              </w:rPr>
              <w:t>P2C</w:t>
            </w:r>
            <w:proofErr w:type="spellEnd"/>
            <w:r w:rsidR="00125FE2" w:rsidRPr="58BAADD2">
              <w:rPr>
                <w:rFonts w:asciiTheme="minorHAnsi" w:eastAsia="DengXian" w:hAnsiTheme="minorHAnsi" w:cstheme="minorBidi"/>
                <w:color w:val="000000" w:themeColor="text1"/>
                <w:lang w:eastAsia="zh-CN"/>
              </w:rPr>
              <w:t xml:space="preserve"> has become ITU’s flagship platform for mobilizing resources and fostering partnerships to accelerate progress to universal meaningful connectivity and sustainable digital transformation. Guided by its Action Framework, </w:t>
            </w:r>
            <w:proofErr w:type="spellStart"/>
            <w:r w:rsidR="00125FE2" w:rsidRPr="58BAADD2">
              <w:rPr>
                <w:rFonts w:asciiTheme="minorHAnsi" w:eastAsia="DengXian" w:hAnsiTheme="minorHAnsi" w:cstheme="minorBidi"/>
                <w:color w:val="000000" w:themeColor="text1"/>
                <w:lang w:eastAsia="zh-CN"/>
              </w:rPr>
              <w:t>P2C</w:t>
            </w:r>
            <w:proofErr w:type="spellEnd"/>
            <w:r w:rsidR="00125FE2" w:rsidRPr="58BAADD2">
              <w:rPr>
                <w:rFonts w:asciiTheme="minorHAnsi" w:eastAsia="DengXian" w:hAnsiTheme="minorHAnsi" w:cstheme="minorBidi"/>
                <w:color w:val="000000" w:themeColor="text1"/>
                <w:lang w:eastAsia="zh-CN"/>
              </w:rPr>
              <w:t xml:space="preserve"> convenes governments, the private sector, civil society, and international organizations to align digital commitments with national development priorities and with the Kigali Action Plan, strengthening coherence, coordination and impact across the global digital ecosystem.</w:t>
            </w:r>
          </w:p>
          <w:p w14:paraId="377A0174" w14:textId="6AC143BB" w:rsidR="00125FE2" w:rsidRPr="005873BA" w:rsidRDefault="67D55A7A" w:rsidP="00ED69D8">
            <w:pPr>
              <w:ind w:left="720" w:hanging="360"/>
              <w:contextualSpacing/>
              <w:jc w:val="both"/>
              <w:rPr>
                <w:rFonts w:asciiTheme="minorHAnsi" w:eastAsia="DengXian" w:hAnsiTheme="minorHAnsi" w:cstheme="minorBidi"/>
                <w:lang w:eastAsia="zh-CN"/>
              </w:rPr>
            </w:pPr>
            <w:r w:rsidRPr="58BAADD2">
              <w:rPr>
                <w:rFonts w:asciiTheme="minorHAnsi" w:eastAsia="Malgun Gothic" w:hAnsiTheme="minorHAnsi" w:cstheme="minorBidi"/>
                <w:lang w:eastAsia="zh-CN"/>
              </w:rPr>
              <w:t>–</w:t>
            </w:r>
            <w:r w:rsidR="005873BA">
              <w:tab/>
            </w:r>
            <w:r w:rsidR="002B5FE3">
              <w:rPr>
                <w:rFonts w:asciiTheme="minorHAnsi" w:eastAsia="DengXian" w:hAnsiTheme="minorHAnsi" w:cstheme="minorBidi"/>
                <w:lang w:eastAsia="zh-CN"/>
              </w:rPr>
              <w:tab/>
            </w:r>
            <w:r w:rsidR="00125FE2" w:rsidRPr="58BAADD2">
              <w:rPr>
                <w:rFonts w:asciiTheme="minorHAnsi" w:eastAsia="DengXian" w:hAnsiTheme="minorHAnsi" w:cstheme="minorBidi"/>
                <w:lang w:eastAsia="zh-CN"/>
              </w:rPr>
              <w:t xml:space="preserve">In particular, across the review period, WSIS-related mechanisms, especially WSIS Stocktaking, WSIS Prizes, WSIS Forum sessions feeding into the </w:t>
            </w:r>
            <w:proofErr w:type="spellStart"/>
            <w:r w:rsidR="00125FE2" w:rsidRPr="58BAADD2">
              <w:rPr>
                <w:rFonts w:asciiTheme="minorHAnsi" w:eastAsia="DengXian" w:hAnsiTheme="minorHAnsi" w:cstheme="minorBidi"/>
                <w:lang w:eastAsia="zh-CN"/>
              </w:rPr>
              <w:t>WSIS+20</w:t>
            </w:r>
            <w:proofErr w:type="spellEnd"/>
            <w:r w:rsidR="00125FE2" w:rsidRPr="58BAADD2">
              <w:rPr>
                <w:rFonts w:asciiTheme="minorHAnsi" w:eastAsia="DengXian" w:hAnsiTheme="minorHAnsi" w:cstheme="minorBidi"/>
                <w:lang w:eastAsia="zh-CN"/>
              </w:rPr>
              <w:t xml:space="preserve"> High-Level Event 2025, and </w:t>
            </w:r>
            <w:proofErr w:type="spellStart"/>
            <w:r w:rsidR="00125FE2" w:rsidRPr="58BAADD2">
              <w:rPr>
                <w:rFonts w:asciiTheme="minorHAnsi" w:eastAsia="DengXian" w:hAnsiTheme="minorHAnsi" w:cstheme="minorBidi"/>
                <w:lang w:eastAsia="zh-CN"/>
              </w:rPr>
              <w:t>UNGIS</w:t>
            </w:r>
            <w:proofErr w:type="spellEnd"/>
            <w:r w:rsidR="00125FE2" w:rsidRPr="58BAADD2">
              <w:rPr>
                <w:rFonts w:asciiTheme="minorHAnsi" w:eastAsia="DengXian" w:hAnsiTheme="minorHAnsi" w:cstheme="minorBidi"/>
                <w:lang w:eastAsia="zh-CN"/>
              </w:rPr>
              <w:t xml:space="preserve"> coordination, have helped document, accelerate and amplify ICT-enabled progress across the SDGs under review:</w:t>
            </w:r>
          </w:p>
          <w:p w14:paraId="5E96851F" w14:textId="513EBD22" w:rsidR="00125FE2" w:rsidRPr="005873BA" w:rsidRDefault="005873BA" w:rsidP="00ED69D8">
            <w:pPr>
              <w:ind w:left="1142" w:hanging="360"/>
              <w:contextualSpacing/>
              <w:jc w:val="both"/>
              <w:rPr>
                <w:rFonts w:asciiTheme="minorHAnsi" w:eastAsia="DengXian" w:hAnsiTheme="minorHAnsi" w:cstheme="minorHAnsi"/>
                <w:szCs w:val="24"/>
                <w:lang w:eastAsia="zh-CN"/>
              </w:rPr>
            </w:pPr>
            <w:r w:rsidRPr="005873BA">
              <w:rPr>
                <w:rFonts w:asciiTheme="minorHAnsi" w:eastAsia="DengXian" w:hAnsiTheme="minorHAnsi" w:cstheme="minorHAnsi"/>
                <w:szCs w:val="24"/>
                <w:lang w:eastAsia="zh-CN"/>
              </w:rPr>
              <w:t>•</w:t>
            </w:r>
            <w:r w:rsidR="0016155B" w:rsidRPr="005873BA">
              <w:rPr>
                <w:rFonts w:asciiTheme="minorHAnsi" w:eastAsia="DengXian" w:hAnsiTheme="minorHAnsi" w:cstheme="minorHAnsi"/>
                <w:szCs w:val="24"/>
                <w:lang w:eastAsia="zh-CN"/>
              </w:rPr>
              <w:tab/>
            </w:r>
            <w:r w:rsidR="00125FE2" w:rsidRPr="005873BA">
              <w:rPr>
                <w:rFonts w:asciiTheme="minorHAnsi" w:eastAsia="DengXian" w:hAnsiTheme="minorHAnsi" w:cstheme="minorHAnsi"/>
                <w:szCs w:val="24"/>
                <w:lang w:eastAsia="zh-CN"/>
              </w:rPr>
              <w:t xml:space="preserve">Strengthened evidence base through WSIS Stocktaking: hundreds of entries reporting national and local-level ICT solutions for water management, clean energy access, resilient infrastructure, smart cities, and digital partnerships. </w:t>
            </w:r>
            <w:r w:rsidR="00125FE2" w:rsidRPr="005873BA">
              <w:rPr>
                <w:rFonts w:asciiTheme="minorHAnsi" w:eastAsia="DengXian" w:hAnsiTheme="minorHAnsi" w:cstheme="minorHAnsi"/>
                <w:szCs w:val="24"/>
                <w:lang w:eastAsia="zh-CN"/>
              </w:rPr>
              <w:lastRenderedPageBreak/>
              <w:t>The Stocktaking database increasingly reflects mature, scalable models and demonstrates strong global uptake of digital solutions for public services and sustainability;</w:t>
            </w:r>
          </w:p>
          <w:p w14:paraId="4F7DE920" w14:textId="7CAC947B" w:rsidR="00125FE2" w:rsidRPr="005873BA" w:rsidRDefault="005873BA" w:rsidP="00ED69D8">
            <w:pPr>
              <w:ind w:left="1142" w:hanging="360"/>
              <w:contextualSpacing/>
              <w:jc w:val="both"/>
              <w:rPr>
                <w:rFonts w:asciiTheme="minorHAnsi" w:eastAsia="DengXian" w:hAnsiTheme="minorHAnsi" w:cstheme="minorHAnsi"/>
                <w:szCs w:val="24"/>
                <w:lang w:eastAsia="zh-CN"/>
              </w:rPr>
            </w:pPr>
            <w:r w:rsidRPr="005873BA">
              <w:rPr>
                <w:rFonts w:asciiTheme="minorHAnsi" w:eastAsia="DengXian" w:hAnsiTheme="minorHAnsi" w:cstheme="minorHAnsi"/>
                <w:szCs w:val="24"/>
                <w:lang w:eastAsia="zh-CN"/>
              </w:rPr>
              <w:t>•</w:t>
            </w:r>
            <w:r w:rsidR="0016155B" w:rsidRPr="005873BA">
              <w:rPr>
                <w:rFonts w:asciiTheme="minorHAnsi" w:eastAsia="DengXian" w:hAnsiTheme="minorHAnsi" w:cstheme="minorHAnsi"/>
                <w:szCs w:val="24"/>
                <w:lang w:eastAsia="zh-CN"/>
              </w:rPr>
              <w:tab/>
            </w:r>
            <w:r w:rsidR="00125FE2" w:rsidRPr="005873BA">
              <w:rPr>
                <w:rFonts w:asciiTheme="minorHAnsi" w:eastAsia="DengXian" w:hAnsiTheme="minorHAnsi" w:cstheme="minorHAnsi"/>
                <w:szCs w:val="24"/>
                <w:lang w:eastAsia="zh-CN"/>
              </w:rPr>
              <w:t>Showcasing innovation via WSIS Prizes 2025: Award-winning projects illustrate real-world achievements in digital water monitoring systems, off-grid ICT-supported renewable energy deployments, AI-based infrastructure resilience tools, and data-driven urban planning platforms. These examples demonstrate concrete, measurable contributions to SDGs 6, 7, 9, and 11. Best practices highlighted through the 2025 WSIS Prizes further demonstrate the transformative impact of digital solutions:</w:t>
            </w:r>
          </w:p>
          <w:p w14:paraId="2C655BED" w14:textId="3F311DB4" w:rsidR="00125FE2" w:rsidRPr="00680BB7" w:rsidRDefault="00680BB7" w:rsidP="00ED69D8">
            <w:pPr>
              <w:ind w:left="1502" w:hanging="360"/>
              <w:contextualSpacing/>
              <w:jc w:val="both"/>
              <w:rPr>
                <w:rFonts w:asciiTheme="minorHAnsi" w:eastAsia="DengXian" w:hAnsiTheme="minorHAnsi" w:cstheme="minorBidi"/>
                <w:lang w:eastAsia="zh-CN"/>
              </w:rPr>
            </w:pPr>
            <w:r w:rsidRPr="005873BA">
              <w:rPr>
                <w:rFonts w:ascii="Wingdings" w:eastAsia="DengXian" w:hAnsi="Wingdings" w:cstheme="minorBidi"/>
                <w:sz w:val="22"/>
                <w:szCs w:val="22"/>
                <w:lang w:eastAsia="zh-CN"/>
              </w:rPr>
              <w:t></w:t>
            </w:r>
            <w:r w:rsidRPr="005873BA">
              <w:rPr>
                <w:rFonts w:ascii="Wingdings" w:eastAsia="DengXian" w:hAnsi="Wingdings" w:cstheme="minorBidi"/>
                <w:sz w:val="22"/>
                <w:szCs w:val="22"/>
                <w:lang w:eastAsia="zh-CN"/>
              </w:rPr>
              <w:tab/>
            </w:r>
            <w:r w:rsidR="00125FE2" w:rsidRPr="00680BB7">
              <w:rPr>
                <w:rFonts w:asciiTheme="minorHAnsi" w:eastAsia="DengXian" w:hAnsiTheme="minorHAnsi" w:cstheme="minorBidi"/>
                <w:lang w:eastAsia="zh-CN"/>
              </w:rPr>
              <w:t>ISOC Haiti — “Community Networks in Haiti” (WSIS Prizes Champion in E-Science): Provides internet access in rural and underserved areas using a hybrid technical solution (satellite + mesh Wi-Fi + voucher system + local governance), enhancing digital inclusion, education, economic opportunities, local capacity building, and digital resilience.</w:t>
            </w:r>
          </w:p>
          <w:p w14:paraId="47844AC5" w14:textId="0EEE4F21" w:rsidR="00125FE2" w:rsidRPr="00680BB7" w:rsidRDefault="00680BB7" w:rsidP="00ED69D8">
            <w:pPr>
              <w:ind w:left="1502" w:hanging="360"/>
              <w:contextualSpacing/>
              <w:jc w:val="both"/>
              <w:rPr>
                <w:rFonts w:asciiTheme="minorHAnsi" w:eastAsia="DengXian" w:hAnsiTheme="minorHAnsi" w:cstheme="minorBidi"/>
                <w:lang w:eastAsia="zh-CN"/>
              </w:rPr>
            </w:pPr>
            <w:r w:rsidRPr="005873BA">
              <w:rPr>
                <w:rFonts w:ascii="Wingdings" w:eastAsia="DengXian" w:hAnsi="Wingdings" w:cstheme="minorBidi"/>
                <w:sz w:val="22"/>
                <w:szCs w:val="22"/>
                <w:lang w:eastAsia="zh-CN"/>
              </w:rPr>
              <w:t></w:t>
            </w:r>
            <w:r w:rsidRPr="005873BA">
              <w:rPr>
                <w:rFonts w:ascii="Wingdings" w:eastAsia="DengXian" w:hAnsi="Wingdings" w:cstheme="minorBidi"/>
                <w:sz w:val="22"/>
                <w:szCs w:val="22"/>
                <w:lang w:eastAsia="zh-CN"/>
              </w:rPr>
              <w:tab/>
            </w:r>
            <w:r w:rsidR="00125FE2" w:rsidRPr="00680BB7">
              <w:rPr>
                <w:rFonts w:asciiTheme="minorHAnsi" w:eastAsia="DengXian" w:hAnsiTheme="minorHAnsi" w:cstheme="minorBidi"/>
                <w:lang w:eastAsia="zh-CN"/>
              </w:rPr>
              <w:t>CAICT — Meteorological Disaster Early-Warning Project (WSIS Prize Winner in E-Environment): Develops an ICT-driven disaster early-warning system for meteorological hazards, supporting resilience, disaster risk reduction, and environmental sustainability, linking to SDG 9 (resilient infrastructure &amp; innovation) and SDG 11 (sustainable cities/settlements).</w:t>
            </w:r>
          </w:p>
          <w:p w14:paraId="39353FD5" w14:textId="4EB67C54" w:rsidR="00125FE2" w:rsidRPr="00680BB7" w:rsidRDefault="00680BB7" w:rsidP="00ED69D8">
            <w:pPr>
              <w:ind w:left="1502" w:hanging="360"/>
              <w:contextualSpacing/>
              <w:jc w:val="both"/>
              <w:rPr>
                <w:rFonts w:asciiTheme="minorHAnsi" w:eastAsia="DengXian" w:hAnsiTheme="minorHAnsi" w:cstheme="minorBidi"/>
                <w:lang w:eastAsia="zh-CN"/>
              </w:rPr>
            </w:pPr>
            <w:r w:rsidRPr="005873BA">
              <w:rPr>
                <w:rFonts w:ascii="Wingdings" w:eastAsia="DengXian" w:hAnsi="Wingdings" w:cstheme="minorBidi"/>
                <w:sz w:val="22"/>
                <w:szCs w:val="22"/>
                <w:lang w:eastAsia="zh-CN"/>
              </w:rPr>
              <w:t></w:t>
            </w:r>
            <w:r w:rsidRPr="005873BA">
              <w:rPr>
                <w:rFonts w:ascii="Wingdings" w:eastAsia="DengXian" w:hAnsi="Wingdings" w:cstheme="minorBidi"/>
                <w:sz w:val="22"/>
                <w:szCs w:val="22"/>
                <w:lang w:eastAsia="zh-CN"/>
              </w:rPr>
              <w:tab/>
            </w:r>
            <w:r w:rsidR="00125FE2" w:rsidRPr="00680BB7">
              <w:rPr>
                <w:rFonts w:asciiTheme="minorHAnsi" w:eastAsia="DengXian" w:hAnsiTheme="minorHAnsi" w:cstheme="minorBidi"/>
                <w:lang w:eastAsia="zh-CN"/>
              </w:rPr>
              <w:t>Department of Government Enablement, Abu Dhabi — “TAMM” E-Government Project (WSIS Prize Winner in E-Government): Enhances digital governance and citizen services, contributing to SDG 17 (partnerships for the Goals) and indirectly supporting SDG 11 through improved public infrastructure and services.</w:t>
            </w:r>
          </w:p>
          <w:p w14:paraId="4ADEA72B" w14:textId="0C9F672D" w:rsidR="00125FE2" w:rsidRPr="005873BA" w:rsidRDefault="005873BA" w:rsidP="00ED69D8">
            <w:pPr>
              <w:ind w:left="1142" w:hanging="360"/>
              <w:contextualSpacing/>
              <w:jc w:val="both"/>
              <w:rPr>
                <w:rFonts w:asciiTheme="minorHAnsi" w:eastAsia="DengXian" w:hAnsiTheme="minorHAnsi" w:cstheme="minorHAnsi"/>
                <w:szCs w:val="24"/>
                <w:lang w:eastAsia="zh-CN"/>
              </w:rPr>
            </w:pPr>
            <w:r w:rsidRPr="005873BA">
              <w:rPr>
                <w:rFonts w:asciiTheme="minorHAnsi" w:eastAsia="DengXian" w:hAnsiTheme="minorHAnsi" w:cstheme="minorHAnsi"/>
                <w:szCs w:val="24"/>
                <w:lang w:eastAsia="zh-CN"/>
              </w:rPr>
              <w:t>•</w:t>
            </w:r>
            <w:r w:rsidR="0016155B" w:rsidRPr="005873BA">
              <w:rPr>
                <w:rFonts w:asciiTheme="minorHAnsi" w:eastAsia="DengXian" w:hAnsiTheme="minorHAnsi" w:cstheme="minorHAnsi"/>
                <w:szCs w:val="24"/>
                <w:lang w:eastAsia="zh-CN"/>
              </w:rPr>
              <w:tab/>
            </w:r>
            <w:r w:rsidR="00125FE2" w:rsidRPr="005873BA">
              <w:rPr>
                <w:rFonts w:asciiTheme="minorHAnsi" w:eastAsia="DengXian" w:hAnsiTheme="minorHAnsi" w:cstheme="minorHAnsi"/>
                <w:szCs w:val="24"/>
                <w:lang w:eastAsia="zh-CN"/>
              </w:rPr>
              <w:t xml:space="preserve">Increased multistakeholder participation at </w:t>
            </w:r>
            <w:proofErr w:type="spellStart"/>
            <w:r w:rsidR="00125FE2" w:rsidRPr="005873BA">
              <w:rPr>
                <w:rFonts w:asciiTheme="minorHAnsi" w:eastAsia="DengXian" w:hAnsiTheme="minorHAnsi" w:cstheme="minorHAnsi"/>
                <w:szCs w:val="24"/>
                <w:lang w:eastAsia="zh-CN"/>
              </w:rPr>
              <w:t>WSIS+20</w:t>
            </w:r>
            <w:proofErr w:type="spellEnd"/>
            <w:r w:rsidR="00125FE2" w:rsidRPr="005873BA">
              <w:rPr>
                <w:rFonts w:asciiTheme="minorHAnsi" w:eastAsia="DengXian" w:hAnsiTheme="minorHAnsi" w:cstheme="minorHAnsi"/>
                <w:szCs w:val="24"/>
                <w:lang w:eastAsia="zh-CN"/>
              </w:rPr>
              <w:t xml:space="preserve"> High-Level Event 2025 (7-11 July, Geneva), co-hosted by ITU and Switzerland, and co-organized by ITU, UNESCO, UNDP, UNCTAD, together with the AI for Good Global Summit, which were held at the same time, welcomed over 11,000 participants from 169 countries onsite, with many more joining virtually. The gathering brought together a diverse mix of stakeholders, including 59 ministers and deputies, 56 regulators, more than 60 UN representatives, as well as CEOs, civil society leaders, youth, technical experts, and academics, supporting SDG </w:t>
            </w:r>
            <w:proofErr w:type="spellStart"/>
            <w:r w:rsidR="00125FE2" w:rsidRPr="005873BA">
              <w:rPr>
                <w:rFonts w:asciiTheme="minorHAnsi" w:eastAsia="DengXian" w:hAnsiTheme="minorHAnsi" w:cstheme="minorHAnsi"/>
                <w:szCs w:val="24"/>
                <w:lang w:eastAsia="zh-CN"/>
              </w:rPr>
              <w:t>17’s</w:t>
            </w:r>
            <w:proofErr w:type="spellEnd"/>
            <w:r w:rsidR="00125FE2" w:rsidRPr="005873BA">
              <w:rPr>
                <w:rFonts w:asciiTheme="minorHAnsi" w:eastAsia="DengXian" w:hAnsiTheme="minorHAnsi" w:cstheme="minorHAnsi"/>
                <w:szCs w:val="24"/>
                <w:lang w:eastAsia="zh-CN"/>
              </w:rPr>
              <w:t xml:space="preserve"> emphasis on partnership.</w:t>
            </w:r>
          </w:p>
          <w:p w14:paraId="12C62E60" w14:textId="470FA6FC" w:rsidR="00125FE2" w:rsidRPr="005873BA" w:rsidRDefault="005873BA" w:rsidP="00ED69D8">
            <w:pPr>
              <w:spacing w:after="120"/>
              <w:ind w:left="1142" w:hanging="360"/>
              <w:contextualSpacing/>
              <w:jc w:val="both"/>
              <w:rPr>
                <w:rFonts w:asciiTheme="minorHAnsi" w:eastAsia="DengXian" w:hAnsiTheme="minorHAnsi" w:cstheme="minorHAnsi"/>
                <w:szCs w:val="24"/>
                <w:lang w:eastAsia="zh-CN"/>
              </w:rPr>
            </w:pPr>
            <w:r w:rsidRPr="005873BA">
              <w:rPr>
                <w:rFonts w:asciiTheme="minorHAnsi" w:eastAsia="DengXian" w:hAnsiTheme="minorHAnsi" w:cstheme="minorHAnsi"/>
                <w:szCs w:val="24"/>
                <w:lang w:eastAsia="zh-CN"/>
              </w:rPr>
              <w:t>•</w:t>
            </w:r>
            <w:r w:rsidR="0016155B" w:rsidRPr="005873BA">
              <w:rPr>
                <w:rFonts w:asciiTheme="minorHAnsi" w:eastAsia="DengXian" w:hAnsiTheme="minorHAnsi" w:cstheme="minorHAnsi"/>
                <w:szCs w:val="24"/>
                <w:lang w:eastAsia="zh-CN"/>
              </w:rPr>
              <w:tab/>
            </w:r>
            <w:r w:rsidR="00125FE2" w:rsidRPr="005873BA">
              <w:rPr>
                <w:rFonts w:asciiTheme="minorHAnsi" w:eastAsia="DengXian" w:hAnsiTheme="minorHAnsi" w:cstheme="minorHAnsi"/>
                <w:szCs w:val="24"/>
                <w:lang w:eastAsia="zh-CN"/>
              </w:rPr>
              <w:t xml:space="preserve">Improved UN system alignment through </w:t>
            </w:r>
            <w:proofErr w:type="spellStart"/>
            <w:r w:rsidR="00125FE2" w:rsidRPr="005873BA">
              <w:rPr>
                <w:rFonts w:asciiTheme="minorHAnsi" w:eastAsia="DengXian" w:hAnsiTheme="minorHAnsi" w:cstheme="minorHAnsi"/>
                <w:szCs w:val="24"/>
                <w:lang w:eastAsia="zh-CN"/>
              </w:rPr>
              <w:t>UNGIS</w:t>
            </w:r>
            <w:proofErr w:type="spellEnd"/>
            <w:r w:rsidR="00125FE2" w:rsidRPr="005873BA">
              <w:rPr>
                <w:rFonts w:asciiTheme="minorHAnsi" w:eastAsia="DengXian" w:hAnsiTheme="minorHAnsi" w:cstheme="minorHAnsi"/>
                <w:szCs w:val="24"/>
                <w:lang w:eastAsia="zh-CN"/>
              </w:rPr>
              <w:t>: As Vice-Chair and Secretariat, ITU has facilitated coordinated UN-wide messaging on digital cooperation and more coherent implementation support for technology-driven development.</w:t>
            </w:r>
          </w:p>
        </w:tc>
      </w:tr>
      <w:tr w:rsidR="00125FE2" w:rsidRPr="005873BA" w14:paraId="5DFC55A4" w14:textId="77777777" w:rsidTr="00396299">
        <w:tc>
          <w:tcPr>
            <w:tcW w:w="9016" w:type="dxa"/>
          </w:tcPr>
          <w:p w14:paraId="5BFE6540" w14:textId="7E327621" w:rsidR="00125FE2" w:rsidRPr="005873BA" w:rsidRDefault="48765123" w:rsidP="00783C5A">
            <w:pPr>
              <w:keepNext/>
              <w:keepLines/>
              <w:tabs>
                <w:tab w:val="left" w:pos="333"/>
              </w:tabs>
              <w:spacing w:after="120"/>
              <w:ind w:left="335" w:hanging="335"/>
              <w:jc w:val="both"/>
              <w:rPr>
                <w:rFonts w:asciiTheme="minorHAnsi" w:eastAsia="DengXian" w:hAnsiTheme="minorHAnsi" w:cstheme="minorBidi"/>
                <w:b/>
                <w:bCs/>
                <w:lang w:eastAsia="zh-CN"/>
              </w:rPr>
            </w:pPr>
            <w:r w:rsidRPr="58BAADD2">
              <w:rPr>
                <w:rFonts w:asciiTheme="minorHAnsi" w:eastAsia="Malgun Gothic" w:hAnsiTheme="minorHAnsi" w:cstheme="minorBidi"/>
                <w:b/>
                <w:bCs/>
                <w:lang w:eastAsia="zh-CN"/>
              </w:rPr>
              <w:lastRenderedPageBreak/>
              <w:t>(b)</w:t>
            </w:r>
            <w:r w:rsidR="0016155B">
              <w:tab/>
            </w:r>
            <w:r w:rsidR="00125FE2" w:rsidRPr="58BAADD2">
              <w:rPr>
                <w:rFonts w:asciiTheme="minorHAnsi" w:eastAsia="Malgun Gothic" w:hAnsiTheme="minorHAnsi" w:cstheme="minorBidi"/>
                <w:b/>
                <w:bCs/>
                <w:lang w:eastAsia="ko-KR"/>
              </w:rPr>
              <w:t>Key areas where innovative, inclusive and transformative solutions are being advanced to achieve the Goals under review, ensuring that no one is left behind</w:t>
            </w:r>
            <w:r w:rsidR="00125FE2" w:rsidRPr="58BAADD2">
              <w:rPr>
                <w:rFonts w:asciiTheme="minorHAnsi" w:eastAsia="DengXian" w:hAnsiTheme="minorHAnsi" w:cstheme="minorBidi"/>
                <w:b/>
                <w:bCs/>
                <w:lang w:eastAsia="zh-CN"/>
              </w:rPr>
              <w:t>:</w:t>
            </w:r>
          </w:p>
          <w:p w14:paraId="497F2828" w14:textId="77777777" w:rsidR="00125FE2" w:rsidRPr="005873BA" w:rsidRDefault="00125FE2" w:rsidP="00783C5A">
            <w:pPr>
              <w:keepNext/>
              <w:keepLines/>
              <w:tabs>
                <w:tab w:val="clear" w:pos="567"/>
                <w:tab w:val="clear" w:pos="1134"/>
                <w:tab w:val="clear" w:pos="1701"/>
                <w:tab w:val="clear" w:pos="2268"/>
                <w:tab w:val="clear" w:pos="2835"/>
              </w:tabs>
              <w:overflowPunct/>
              <w:spacing w:after="120" w:line="259" w:lineRule="auto"/>
              <w:jc w:val="both"/>
              <w:textAlignment w:val="auto"/>
              <w:rPr>
                <w:rFonts w:asciiTheme="minorHAnsi" w:eastAsia="DengXian" w:hAnsiTheme="minorHAnsi" w:cstheme="minorHAnsi"/>
                <w:b/>
                <w:bCs/>
                <w:szCs w:val="24"/>
                <w:lang w:eastAsia="zh-CN"/>
              </w:rPr>
            </w:pPr>
            <w:r w:rsidRPr="005873BA">
              <w:rPr>
                <w:rFonts w:asciiTheme="minorHAnsi" w:eastAsia="DengXian" w:hAnsiTheme="minorHAnsi" w:cstheme="minorHAnsi"/>
                <w:b/>
                <w:bCs/>
                <w:szCs w:val="24"/>
                <w:lang w:eastAsia="zh-CN"/>
              </w:rPr>
              <w:t>SDG 9 &amp; 17</w:t>
            </w:r>
          </w:p>
          <w:p w14:paraId="2E34738E" w14:textId="0A3D79FB" w:rsidR="00125FE2" w:rsidRPr="005873BA" w:rsidRDefault="67D55A7A" w:rsidP="00ED69D8">
            <w:pPr>
              <w:spacing w:after="120"/>
              <w:ind w:left="791" w:hanging="360"/>
              <w:jc w:val="both"/>
              <w:rPr>
                <w:rFonts w:asciiTheme="minorHAnsi" w:eastAsia="DengXian" w:hAnsiTheme="minorHAnsi" w:cstheme="minorBidi"/>
                <w:lang w:eastAsia="zh-CN"/>
              </w:rPr>
            </w:pPr>
            <w:r w:rsidRPr="58BAADD2">
              <w:rPr>
                <w:rFonts w:asciiTheme="minorHAnsi" w:eastAsia="DengXian" w:hAnsiTheme="minorHAnsi" w:cstheme="minorBidi"/>
                <w:lang w:eastAsia="zh-CN"/>
              </w:rPr>
              <w:t>–</w:t>
            </w:r>
            <w:r w:rsidR="0016155B" w:rsidRPr="005873BA">
              <w:rPr>
                <w:rFonts w:asciiTheme="minorHAnsi" w:eastAsia="DengXian" w:hAnsiTheme="minorHAnsi" w:cstheme="minorHAnsi"/>
                <w:szCs w:val="24"/>
                <w:lang w:eastAsia="zh-CN"/>
              </w:rPr>
              <w:tab/>
            </w:r>
            <w:r w:rsidR="002B5FE3">
              <w:rPr>
                <w:rFonts w:asciiTheme="minorHAnsi" w:eastAsia="DengXian" w:hAnsiTheme="minorHAnsi" w:cstheme="minorBidi"/>
                <w:lang w:eastAsia="zh-CN"/>
              </w:rPr>
              <w:tab/>
            </w:r>
            <w:r w:rsidR="00125FE2" w:rsidRPr="58BAADD2">
              <w:rPr>
                <w:rFonts w:asciiTheme="minorHAnsi" w:eastAsia="DengXian" w:hAnsiTheme="minorHAnsi" w:cstheme="minorBidi"/>
                <w:lang w:eastAsia="zh-CN"/>
              </w:rPr>
              <w:t>The ITU Facts and Figures 2025</w:t>
            </w:r>
            <w:r w:rsidR="00125FE2" w:rsidRPr="58BAADD2">
              <w:rPr>
                <w:rFonts w:asciiTheme="minorHAnsi" w:hAnsiTheme="minorHAnsi" w:cstheme="minorBidi"/>
                <w:vertAlign w:val="superscript"/>
                <w:lang w:eastAsia="zh-CN"/>
              </w:rPr>
              <w:footnoteReference w:id="1"/>
            </w:r>
            <w:r w:rsidR="00125FE2" w:rsidRPr="58BAADD2">
              <w:rPr>
                <w:rFonts w:asciiTheme="minorHAnsi" w:eastAsia="DengXian" w:hAnsiTheme="minorHAnsi" w:cstheme="minorBidi"/>
                <w:lang w:eastAsia="zh-CN"/>
              </w:rPr>
              <w:t xml:space="preserve"> report indicates that acceleration in uptake has </w:t>
            </w:r>
            <w:r w:rsidR="00125FE2" w:rsidRPr="58BAADD2">
              <w:rPr>
                <w:rFonts w:asciiTheme="minorHAnsi" w:eastAsia="Malgun Gothic" w:hAnsiTheme="minorHAnsi" w:cstheme="minorBidi"/>
                <w:lang w:eastAsia="ko-KR"/>
              </w:rPr>
              <w:t>slowed</w:t>
            </w:r>
            <w:r w:rsidR="00125FE2" w:rsidRPr="58BAADD2">
              <w:rPr>
                <w:rFonts w:asciiTheme="minorHAnsi" w:eastAsia="DengXian" w:hAnsiTheme="minorHAnsi" w:cstheme="minorBidi"/>
                <w:lang w:eastAsia="zh-CN"/>
              </w:rPr>
              <w:t>, figures show a generally positive trend overall, but highlight stalled progress in hardest-to-reach communities.</w:t>
            </w:r>
            <w:r w:rsidR="00125FE2" w:rsidRPr="58BAADD2">
              <w:rPr>
                <w:rFonts w:asciiTheme="minorHAnsi" w:eastAsia="Malgun Gothic" w:hAnsiTheme="minorHAnsi" w:cstheme="minorBidi"/>
                <w:lang w:eastAsia="ko-KR"/>
              </w:rPr>
              <w:t xml:space="preserve"> </w:t>
            </w:r>
          </w:p>
          <w:p w14:paraId="2D41CD14" w14:textId="77777777" w:rsidR="00125FE2" w:rsidRPr="005873BA" w:rsidRDefault="00125FE2" w:rsidP="00ED69D8">
            <w:pPr>
              <w:pStyle w:val="ListParagraph"/>
              <w:spacing w:after="120"/>
              <w:ind w:left="791"/>
              <w:jc w:val="both"/>
              <w:rPr>
                <w:rFonts w:asciiTheme="minorHAnsi" w:eastAsia="DengXian" w:hAnsiTheme="minorHAnsi" w:cstheme="minorBidi"/>
                <w:sz w:val="24"/>
                <w:szCs w:val="24"/>
                <w:lang w:eastAsia="zh-CN"/>
              </w:rPr>
            </w:pPr>
            <w:r w:rsidRPr="58BAADD2">
              <w:rPr>
                <w:rFonts w:asciiTheme="minorHAnsi" w:eastAsia="DengXian" w:hAnsiTheme="minorHAnsi" w:cstheme="minorBidi"/>
                <w:sz w:val="24"/>
                <w:szCs w:val="24"/>
                <w:lang w:eastAsia="zh-CN"/>
              </w:rPr>
              <w:t>As the world welcomes its 8 billionth inhabitant, an estimated 6 billion people – roughly 75 per cent of the global population – are using the Internet. Yet some 2.2 billion people worldwide remain totally offline, with universal connectivity still a distant prospect in least developed countries and landlocked developing countries, where, on average, only 23 per cent of the population is online.</w:t>
            </w:r>
          </w:p>
          <w:p w14:paraId="50653E79" w14:textId="31F56C49" w:rsidR="00125FE2" w:rsidRPr="005873BA" w:rsidRDefault="67D55A7A" w:rsidP="00ED69D8">
            <w:pPr>
              <w:spacing w:after="120"/>
              <w:ind w:left="791" w:hanging="360"/>
              <w:jc w:val="both"/>
              <w:rPr>
                <w:rFonts w:asciiTheme="minorHAnsi" w:eastAsia="DengXian" w:hAnsiTheme="minorHAnsi" w:cstheme="minorBidi"/>
                <w:lang w:eastAsia="zh-CN"/>
              </w:rPr>
            </w:pPr>
            <w:r w:rsidRPr="58BAADD2">
              <w:rPr>
                <w:rFonts w:asciiTheme="minorHAnsi" w:eastAsia="DengXian" w:hAnsiTheme="minorHAnsi" w:cstheme="minorBidi"/>
                <w:lang w:eastAsia="zh-CN"/>
              </w:rPr>
              <w:t>–</w:t>
            </w:r>
            <w:r w:rsidR="002B5FE3">
              <w:tab/>
            </w:r>
            <w:r w:rsidR="002B5FE3">
              <w:tab/>
            </w:r>
            <w:r w:rsidR="00125FE2" w:rsidRPr="58BAADD2">
              <w:rPr>
                <w:rFonts w:asciiTheme="minorHAnsi" w:eastAsia="Malgun Gothic" w:hAnsiTheme="minorHAnsi" w:cstheme="minorBidi"/>
                <w:lang w:eastAsia="ko-KR"/>
              </w:rPr>
              <w:t>Globally, 82 per cent of people aged 15 to 24 use the Internet, ten percentage points more than among the rest of the population (72 per cent). This generational gap, observed in every region, has been slowly shrinking over the last four years. In this age group, “universality,” meaning when the penetration rate is at least 95 per cent, has already been achieved in Europe, the CIS region and the Americas region.</w:t>
            </w:r>
          </w:p>
          <w:p w14:paraId="571A895D" w14:textId="055765A9" w:rsidR="00125FE2" w:rsidRPr="005873BA" w:rsidRDefault="67D55A7A" w:rsidP="00ED69D8">
            <w:pPr>
              <w:ind w:left="791" w:hanging="360"/>
              <w:jc w:val="both"/>
              <w:rPr>
                <w:rFonts w:asciiTheme="minorHAnsi" w:hAnsiTheme="minorHAnsi" w:cstheme="minorBidi"/>
                <w:lang w:eastAsia="zh-CN"/>
              </w:rPr>
            </w:pPr>
            <w:r w:rsidRPr="58BAADD2">
              <w:rPr>
                <w:rFonts w:asciiTheme="minorHAnsi" w:eastAsia="DengXian" w:hAnsiTheme="minorHAnsi" w:cstheme="minorBidi"/>
                <w:lang w:eastAsia="zh-CN"/>
              </w:rPr>
              <w:t>–</w:t>
            </w:r>
            <w:r w:rsidR="002B5FE3">
              <w:tab/>
            </w:r>
            <w:r w:rsidR="002B5FE3">
              <w:tab/>
            </w:r>
            <w:r w:rsidR="00125FE2" w:rsidRPr="58BAADD2">
              <w:rPr>
                <w:rFonts w:asciiTheme="minorHAnsi" w:hAnsiTheme="minorHAnsi" w:cstheme="minorBidi"/>
                <w:lang w:eastAsia="zh-CN"/>
              </w:rPr>
              <w:t>The global gender gap within the digital divide has moved overall closer toward gender parity over the last three years. Gender parity is defined as when the female percentage of Internet users divided by the male percentage stands between 0.98 and 1.02. The global gender parity score of 0.92 in 2025 is the same as in 2019, indicating that in recent years, there has been no progress towards global gender parity.</w:t>
            </w:r>
          </w:p>
          <w:p w14:paraId="301493B8" w14:textId="77777777" w:rsidR="00125FE2" w:rsidRPr="005873BA" w:rsidRDefault="00125FE2" w:rsidP="00ED69D8">
            <w:pPr>
              <w:tabs>
                <w:tab w:val="clear" w:pos="567"/>
                <w:tab w:val="clear" w:pos="1134"/>
                <w:tab w:val="clear" w:pos="1701"/>
                <w:tab w:val="clear" w:pos="2268"/>
                <w:tab w:val="clear" w:pos="2835"/>
              </w:tabs>
              <w:overflowPunct/>
              <w:spacing w:after="120" w:line="259" w:lineRule="auto"/>
              <w:ind w:left="787"/>
              <w:jc w:val="both"/>
              <w:textAlignment w:val="auto"/>
              <w:rPr>
                <w:rFonts w:asciiTheme="minorHAnsi" w:eastAsia="DengXian" w:hAnsiTheme="minorHAnsi" w:cstheme="minorBidi"/>
                <w:lang w:eastAsia="zh-CN"/>
              </w:rPr>
            </w:pPr>
            <w:r w:rsidRPr="58BAADD2">
              <w:rPr>
                <w:rFonts w:asciiTheme="minorHAnsi" w:eastAsia="DengXian" w:hAnsiTheme="minorHAnsi" w:cstheme="minorBidi"/>
                <w:lang w:eastAsia="zh-CN"/>
              </w:rPr>
              <w:t>Although the number of female and male Internet users has increased by nearly 45 per cent since 2019, about 280 million more men than women use the Internet worldwide in 2025.</w:t>
            </w:r>
            <w:r w:rsidRPr="58BAADD2">
              <w:rPr>
                <w:rFonts w:asciiTheme="minorHAnsi" w:eastAsia="Malgun Gothic" w:hAnsiTheme="minorHAnsi" w:cstheme="minorBidi"/>
                <w:lang w:eastAsia="ko-KR"/>
              </w:rPr>
              <w:t xml:space="preserve"> </w:t>
            </w:r>
            <w:r w:rsidRPr="58BAADD2">
              <w:rPr>
                <w:rFonts w:asciiTheme="minorHAnsi" w:eastAsia="DengXian" w:hAnsiTheme="minorHAnsi" w:cstheme="minorBidi"/>
                <w:lang w:eastAsia="zh-CN"/>
              </w:rPr>
              <w:t xml:space="preserve">Globally, 77 per cent of men use the Internet, compared with 71 per cent of women. </w:t>
            </w:r>
          </w:p>
          <w:p w14:paraId="2073D901" w14:textId="77777777" w:rsidR="00125FE2" w:rsidRPr="005873BA" w:rsidRDefault="00125FE2" w:rsidP="00ED69D8">
            <w:pPr>
              <w:tabs>
                <w:tab w:val="clear" w:pos="567"/>
                <w:tab w:val="clear" w:pos="1134"/>
                <w:tab w:val="clear" w:pos="1701"/>
                <w:tab w:val="clear" w:pos="2268"/>
                <w:tab w:val="clear" w:pos="2835"/>
              </w:tabs>
              <w:overflowPunct/>
              <w:spacing w:after="120" w:line="259" w:lineRule="auto"/>
              <w:ind w:left="787"/>
              <w:jc w:val="both"/>
              <w:textAlignment w:val="auto"/>
              <w:rPr>
                <w:rFonts w:asciiTheme="minorHAnsi" w:eastAsia="DengXian" w:hAnsiTheme="minorHAnsi" w:cstheme="minorBidi"/>
                <w:lang w:eastAsia="zh-CN"/>
              </w:rPr>
            </w:pPr>
            <w:r w:rsidRPr="58BAADD2">
              <w:rPr>
                <w:rFonts w:asciiTheme="minorHAnsi" w:eastAsia="DengXian" w:hAnsiTheme="minorHAnsi" w:cstheme="minorBidi"/>
                <w:lang w:eastAsia="zh-CN"/>
              </w:rPr>
              <w:t xml:space="preserve">There was a small improvement in the gender parity score in </w:t>
            </w:r>
            <w:proofErr w:type="spellStart"/>
            <w:r w:rsidRPr="58BAADD2">
              <w:rPr>
                <w:rFonts w:asciiTheme="minorHAnsi" w:eastAsia="DengXian" w:hAnsiTheme="minorHAnsi" w:cstheme="minorBidi"/>
                <w:lang w:eastAsia="zh-CN"/>
              </w:rPr>
              <w:t>LDCs</w:t>
            </w:r>
            <w:proofErr w:type="spellEnd"/>
            <w:r w:rsidRPr="58BAADD2">
              <w:rPr>
                <w:rFonts w:asciiTheme="minorHAnsi" w:eastAsia="DengXian" w:hAnsiTheme="minorHAnsi" w:cstheme="minorBidi"/>
                <w:lang w:eastAsia="zh-CN"/>
              </w:rPr>
              <w:t xml:space="preserve"> and </w:t>
            </w:r>
            <w:proofErr w:type="spellStart"/>
            <w:r w:rsidRPr="58BAADD2">
              <w:rPr>
                <w:rFonts w:asciiTheme="minorHAnsi" w:eastAsia="DengXian" w:hAnsiTheme="minorHAnsi" w:cstheme="minorBidi"/>
                <w:lang w:eastAsia="zh-CN"/>
              </w:rPr>
              <w:t>LLDCs</w:t>
            </w:r>
            <w:proofErr w:type="spellEnd"/>
            <w:r w:rsidRPr="58BAADD2">
              <w:rPr>
                <w:rFonts w:asciiTheme="minorHAnsi" w:eastAsia="DengXian" w:hAnsiTheme="minorHAnsi" w:cstheme="minorBidi"/>
                <w:lang w:eastAsia="zh-CN"/>
              </w:rPr>
              <w:t>, although men are still significantly more likely to use the Internet than women. In the SIDS group, the gender parity score remained at or even above 1 between 2019 and 2025, indicating gender parity. The SIDS are also a notable, positive exception to the strong correlation between gender parity and overall Internet use as they have achieved gender parity even though less than two-thirds of the population use the Internet.</w:t>
            </w:r>
          </w:p>
          <w:p w14:paraId="1758C911" w14:textId="2D0C4EF7" w:rsidR="00125FE2" w:rsidRPr="005873BA" w:rsidRDefault="67D55A7A" w:rsidP="00ED69D8">
            <w:pPr>
              <w:ind w:left="791" w:hanging="360"/>
              <w:jc w:val="both"/>
              <w:rPr>
                <w:rFonts w:asciiTheme="minorHAnsi" w:hAnsiTheme="minorHAnsi" w:cstheme="minorBidi"/>
                <w:lang w:eastAsia="zh-CN"/>
              </w:rPr>
            </w:pPr>
            <w:r w:rsidRPr="58BAADD2">
              <w:rPr>
                <w:rFonts w:asciiTheme="minorHAnsi" w:eastAsia="DengXian" w:hAnsiTheme="minorHAnsi" w:cstheme="minorBidi"/>
                <w:lang w:eastAsia="zh-CN"/>
              </w:rPr>
              <w:t>–</w:t>
            </w:r>
            <w:r w:rsidR="005873BA">
              <w:tab/>
            </w:r>
            <w:r w:rsidR="002B5FE3">
              <w:rPr>
                <w:rFonts w:asciiTheme="minorHAnsi" w:hAnsiTheme="minorHAnsi" w:cstheme="minorBidi"/>
                <w:lang w:eastAsia="zh-CN"/>
              </w:rPr>
              <w:tab/>
            </w:r>
            <w:r w:rsidR="00125FE2" w:rsidRPr="58BAADD2">
              <w:rPr>
                <w:rFonts w:asciiTheme="minorHAnsi" w:hAnsiTheme="minorHAnsi" w:cstheme="minorBidi"/>
                <w:lang w:eastAsia="zh-CN"/>
              </w:rPr>
              <w:t>Telecommunication submarine cables continue to carry over 99% of international data traffic and are the invisible infrastructure behind the digital economy, financial systems, and global security. There are 4 cable damages per week in the world and more than 80% are caused by a combination of fishing and anchoring with the remaining 14% due to geological events among other causes, even in the deep sea.</w:t>
            </w:r>
          </w:p>
          <w:p w14:paraId="44265283" w14:textId="056AA676" w:rsidR="00125FE2" w:rsidRPr="005873BA" w:rsidRDefault="67D55A7A" w:rsidP="00ED69D8">
            <w:pPr>
              <w:ind w:left="791" w:hanging="360"/>
              <w:jc w:val="both"/>
              <w:rPr>
                <w:rFonts w:asciiTheme="minorHAnsi" w:hAnsiTheme="minorHAnsi" w:cstheme="minorBidi"/>
                <w:lang w:eastAsia="zh-CN"/>
              </w:rPr>
            </w:pPr>
            <w:r w:rsidRPr="58BAADD2">
              <w:rPr>
                <w:rFonts w:asciiTheme="minorHAnsi" w:eastAsia="DengXian" w:hAnsiTheme="minorHAnsi" w:cstheme="minorBidi"/>
                <w:lang w:eastAsia="zh-CN"/>
              </w:rPr>
              <w:t>–</w:t>
            </w:r>
            <w:r w:rsidR="005873BA">
              <w:tab/>
            </w:r>
            <w:r w:rsidR="002B5FE3">
              <w:rPr>
                <w:rFonts w:asciiTheme="minorHAnsi" w:eastAsia="DengXian" w:hAnsiTheme="minorHAnsi" w:cstheme="minorBidi"/>
                <w:lang w:eastAsia="zh-CN"/>
              </w:rPr>
              <w:tab/>
            </w:r>
            <w:r w:rsidR="00125FE2" w:rsidRPr="58BAADD2">
              <w:rPr>
                <w:rFonts w:asciiTheme="minorHAnsi" w:eastAsia="DengXian" w:hAnsiTheme="minorHAnsi" w:cstheme="minorBidi"/>
                <w:lang w:eastAsia="zh-CN"/>
              </w:rPr>
              <w:t xml:space="preserve">ITU/WMO/UNESCO IOC Joint Task Force on SMART submarine cables (JTF) promoted the idea of telecommunication submarine cable systems with their repeaters equipped with scientific sensors to provide real-time data for ocean climate monitoring and disaster mitigation (particularly from tsunamis). The JTF </w:t>
            </w:r>
            <w:r w:rsidR="00125FE2" w:rsidRPr="58BAADD2">
              <w:rPr>
                <w:rFonts w:asciiTheme="minorHAnsi" w:eastAsia="DengXian" w:hAnsiTheme="minorHAnsi" w:cstheme="minorBidi"/>
                <w:lang w:eastAsia="zh-CN"/>
              </w:rPr>
              <w:lastRenderedPageBreak/>
              <w:t xml:space="preserve">encouraged deployment of SMART cables. ITU-T Study Group 15 developed a Recommendation on SMART cables (Recommendation ITU-T </w:t>
            </w:r>
            <w:proofErr w:type="spellStart"/>
            <w:r w:rsidR="00125FE2" w:rsidRPr="58BAADD2">
              <w:rPr>
                <w:rFonts w:asciiTheme="minorHAnsi" w:eastAsia="DengXian" w:hAnsiTheme="minorHAnsi" w:cstheme="minorBidi"/>
                <w:lang w:eastAsia="zh-CN"/>
              </w:rPr>
              <w:t>G.9730.2</w:t>
            </w:r>
            <w:proofErr w:type="spellEnd"/>
            <w:r w:rsidR="00125FE2" w:rsidRPr="58BAADD2">
              <w:rPr>
                <w:rFonts w:asciiTheme="minorHAnsi" w:eastAsia="DengXian" w:hAnsiTheme="minorHAnsi" w:cstheme="minorBidi"/>
                <w:lang w:eastAsia="zh-CN"/>
              </w:rPr>
              <w:t>).</w:t>
            </w:r>
          </w:p>
          <w:p w14:paraId="0D38546B" w14:textId="5C27FE4D" w:rsidR="00125FE2" w:rsidRPr="005873BA" w:rsidRDefault="67D55A7A" w:rsidP="00781F72">
            <w:pPr>
              <w:ind w:left="791" w:hanging="360"/>
              <w:jc w:val="both"/>
              <w:rPr>
                <w:rFonts w:asciiTheme="minorHAnsi" w:hAnsiTheme="minorHAnsi" w:cstheme="minorBidi"/>
                <w:lang w:eastAsia="zh-CN"/>
              </w:rPr>
            </w:pPr>
            <w:r w:rsidRPr="58BAADD2">
              <w:rPr>
                <w:rFonts w:asciiTheme="minorHAnsi" w:eastAsia="DengXian" w:hAnsiTheme="minorHAnsi" w:cstheme="minorBidi"/>
                <w:lang w:eastAsia="zh-CN"/>
              </w:rPr>
              <w:t>–</w:t>
            </w:r>
            <w:r w:rsidR="005873BA">
              <w:tab/>
            </w:r>
            <w:r w:rsidR="00781F72">
              <w:rPr>
                <w:rFonts w:asciiTheme="minorHAnsi" w:eastAsia="DengXian" w:hAnsiTheme="minorHAnsi" w:cstheme="minorBidi"/>
                <w:lang w:eastAsia="zh-CN"/>
              </w:rPr>
              <w:tab/>
            </w:r>
            <w:proofErr w:type="spellStart"/>
            <w:r w:rsidR="00125FE2" w:rsidRPr="58BAADD2">
              <w:rPr>
                <w:rFonts w:asciiTheme="minorHAnsi" w:eastAsia="DengXian" w:hAnsiTheme="minorHAnsi" w:cstheme="minorBidi"/>
                <w:lang w:eastAsia="zh-CN"/>
              </w:rPr>
              <w:t>Partner2Connect</w:t>
            </w:r>
            <w:proofErr w:type="spellEnd"/>
            <w:r w:rsidR="00125FE2" w:rsidRPr="58BAADD2">
              <w:rPr>
                <w:rFonts w:asciiTheme="minorHAnsi" w:eastAsia="DengXian" w:hAnsiTheme="minorHAnsi" w:cstheme="minorBidi"/>
                <w:lang w:eastAsia="zh-CN"/>
              </w:rPr>
              <w:t xml:space="preserve"> also drives transformative action under SDG 9 and SDG 17 by mobilizing partners to expand digital infrastructure and strengthen multistakeholder collaboration. Through its pledging platform and the </w:t>
            </w:r>
            <w:hyperlink r:id="rId30">
              <w:proofErr w:type="spellStart"/>
              <w:r w:rsidR="00125FE2" w:rsidRPr="58BAADD2">
                <w:rPr>
                  <w:rStyle w:val="Hyperlink"/>
                  <w:rFonts w:asciiTheme="minorHAnsi" w:eastAsia="DengXian" w:hAnsiTheme="minorHAnsi" w:cstheme="minorBidi"/>
                  <w:lang w:eastAsia="zh-CN"/>
                </w:rPr>
                <w:t>P2C</w:t>
              </w:r>
              <w:proofErr w:type="spellEnd"/>
              <w:r w:rsidR="00125FE2" w:rsidRPr="58BAADD2">
                <w:rPr>
                  <w:rStyle w:val="Hyperlink"/>
                  <w:rFonts w:asciiTheme="minorHAnsi" w:eastAsia="DengXian" w:hAnsiTheme="minorHAnsi" w:cstheme="minorBidi"/>
                  <w:lang w:eastAsia="zh-CN"/>
                </w:rPr>
                <w:t xml:space="preserve"> Flash</w:t>
              </w:r>
            </w:hyperlink>
            <w:r w:rsidR="00125FE2" w:rsidRPr="58BAADD2">
              <w:rPr>
                <w:rFonts w:asciiTheme="minorHAnsi" w:eastAsia="DengXian" w:hAnsiTheme="minorHAnsi" w:cstheme="minorBidi"/>
                <w:lang w:eastAsia="zh-CN"/>
              </w:rPr>
              <w:t xml:space="preserve">, it highlights impactful commitments such as broadband deployment in underserved areas, resilient rural networks, major private-sector investments in next-generation AI infrastructure and large-scale rural connectivity initiatives. These examples demonstrate how </w:t>
            </w:r>
            <w:proofErr w:type="spellStart"/>
            <w:r w:rsidR="00125FE2" w:rsidRPr="58BAADD2">
              <w:rPr>
                <w:rFonts w:asciiTheme="minorHAnsi" w:eastAsia="DengXian" w:hAnsiTheme="minorHAnsi" w:cstheme="minorBidi"/>
                <w:lang w:eastAsia="zh-CN"/>
              </w:rPr>
              <w:t>P2C</w:t>
            </w:r>
            <w:proofErr w:type="spellEnd"/>
            <w:r w:rsidR="00125FE2" w:rsidRPr="58BAADD2">
              <w:rPr>
                <w:rFonts w:asciiTheme="minorHAnsi" w:eastAsia="DengXian" w:hAnsiTheme="minorHAnsi" w:cstheme="minorBidi"/>
                <w:lang w:eastAsia="zh-CN"/>
              </w:rPr>
              <w:t xml:space="preserve"> accelerates meaningful connectivity by fostering innovative investment, scalable solutions and strong global partnerships.</w:t>
            </w:r>
          </w:p>
          <w:p w14:paraId="450B44C5" w14:textId="789D4017" w:rsidR="00125FE2" w:rsidRPr="005873BA" w:rsidRDefault="67D55A7A" w:rsidP="00ED69D8">
            <w:pPr>
              <w:spacing w:after="120"/>
              <w:ind w:left="791" w:hanging="360"/>
              <w:jc w:val="both"/>
              <w:rPr>
                <w:rFonts w:asciiTheme="minorHAnsi" w:eastAsia="DengXian" w:hAnsiTheme="minorHAnsi" w:cstheme="minorBidi"/>
                <w:lang w:eastAsia="zh-CN"/>
              </w:rPr>
            </w:pPr>
            <w:r w:rsidRPr="58BAADD2">
              <w:rPr>
                <w:rFonts w:asciiTheme="minorHAnsi" w:eastAsia="DengXian" w:hAnsiTheme="minorHAnsi" w:cstheme="minorBidi"/>
                <w:lang w:eastAsia="zh-CN"/>
              </w:rPr>
              <w:t>–</w:t>
            </w:r>
            <w:r w:rsidR="005873BA">
              <w:tab/>
            </w:r>
            <w:r w:rsidR="00781F72">
              <w:rPr>
                <w:rFonts w:asciiTheme="minorHAnsi" w:eastAsia="DengXian" w:hAnsiTheme="minorHAnsi" w:cstheme="minorBidi"/>
                <w:lang w:eastAsia="zh-CN"/>
              </w:rPr>
              <w:tab/>
            </w:r>
            <w:r w:rsidR="00125FE2" w:rsidRPr="58BAADD2">
              <w:rPr>
                <w:rFonts w:asciiTheme="minorHAnsi" w:eastAsia="DengXian" w:hAnsiTheme="minorHAnsi" w:cstheme="minorBidi"/>
                <w:lang w:eastAsia="zh-CN"/>
              </w:rPr>
              <w:t>In 2025, ITU welcomed the first cohort of Young Professional Programme [</w:t>
            </w:r>
            <w:proofErr w:type="spellStart"/>
            <w:r w:rsidR="00125FE2" w:rsidRPr="58BAADD2">
              <w:rPr>
                <w:rFonts w:asciiTheme="minorHAnsi" w:eastAsia="DengXian" w:hAnsiTheme="minorHAnsi" w:cstheme="minorBidi"/>
                <w:lang w:eastAsia="zh-CN"/>
              </w:rPr>
              <w:t>YPP</w:t>
            </w:r>
            <w:proofErr w:type="spellEnd"/>
            <w:r w:rsidR="00125FE2" w:rsidRPr="58BAADD2">
              <w:rPr>
                <w:rFonts w:asciiTheme="minorHAnsi" w:eastAsia="DengXian" w:hAnsiTheme="minorHAnsi" w:cstheme="minorBidi"/>
                <w:lang w:eastAsia="zh-CN"/>
              </w:rPr>
              <w:t xml:space="preserve">] Officers. Six young changemakers from Côte d’Ivoire, Ghana, India, Malawi and Pakistan joined ITU Headquarters in Geneva as </w:t>
            </w:r>
            <w:proofErr w:type="spellStart"/>
            <w:r w:rsidR="00125FE2" w:rsidRPr="58BAADD2">
              <w:rPr>
                <w:rFonts w:asciiTheme="minorHAnsi" w:eastAsia="DengXian" w:hAnsiTheme="minorHAnsi" w:cstheme="minorBidi"/>
                <w:lang w:eastAsia="zh-CN"/>
              </w:rPr>
              <w:t>P1</w:t>
            </w:r>
            <w:proofErr w:type="spellEnd"/>
            <w:r w:rsidR="00125FE2" w:rsidRPr="58BAADD2">
              <w:rPr>
                <w:rFonts w:asciiTheme="minorHAnsi" w:eastAsia="DengXian" w:hAnsiTheme="minorHAnsi" w:cstheme="minorBidi"/>
                <w:lang w:eastAsia="zh-CN"/>
              </w:rPr>
              <w:t xml:space="preserve"> staff, contributing across diverse areas including standards, radiocommunications, digital development, policy, and regulation. The </w:t>
            </w:r>
            <w:proofErr w:type="spellStart"/>
            <w:r w:rsidR="00125FE2" w:rsidRPr="58BAADD2">
              <w:rPr>
                <w:rFonts w:asciiTheme="minorHAnsi" w:eastAsia="DengXian" w:hAnsiTheme="minorHAnsi" w:cstheme="minorBidi"/>
                <w:lang w:eastAsia="zh-CN"/>
              </w:rPr>
              <w:t>YPP</w:t>
            </w:r>
            <w:proofErr w:type="spellEnd"/>
            <w:r w:rsidR="00125FE2" w:rsidRPr="58BAADD2">
              <w:rPr>
                <w:rFonts w:asciiTheme="minorHAnsi" w:eastAsia="DengXian" w:hAnsiTheme="minorHAnsi" w:cstheme="minorBidi"/>
                <w:lang w:eastAsia="zh-CN"/>
              </w:rPr>
              <w:t xml:space="preserve"> equips the next generation of ICT leaders with the knowledge, skills, and exposure to leverage technology as a force for good.</w:t>
            </w:r>
          </w:p>
          <w:p w14:paraId="5C5A005F" w14:textId="77777777" w:rsidR="00125FE2" w:rsidRPr="005873BA" w:rsidRDefault="00125FE2" w:rsidP="00ED69D8">
            <w:pPr>
              <w:tabs>
                <w:tab w:val="clear" w:pos="567"/>
                <w:tab w:val="clear" w:pos="1134"/>
                <w:tab w:val="clear" w:pos="1701"/>
                <w:tab w:val="clear" w:pos="2268"/>
                <w:tab w:val="clear" w:pos="2835"/>
              </w:tabs>
              <w:overflowPunct/>
              <w:spacing w:after="120" w:line="259" w:lineRule="auto"/>
              <w:jc w:val="both"/>
              <w:textAlignment w:val="auto"/>
              <w:rPr>
                <w:rFonts w:asciiTheme="minorHAnsi" w:eastAsia="DengXian" w:hAnsiTheme="minorHAnsi" w:cstheme="minorBidi"/>
                <w:b/>
                <w:bCs/>
                <w:lang w:eastAsia="zh-CN"/>
              </w:rPr>
            </w:pPr>
            <w:r w:rsidRPr="58BAADD2">
              <w:rPr>
                <w:rFonts w:asciiTheme="minorHAnsi" w:eastAsia="DengXian" w:hAnsiTheme="minorHAnsi" w:cstheme="minorBidi"/>
                <w:b/>
                <w:bCs/>
                <w:lang w:eastAsia="zh-CN"/>
              </w:rPr>
              <w:t>SDG 6</w:t>
            </w:r>
          </w:p>
          <w:p w14:paraId="03CD2F4E" w14:textId="6A9CC244" w:rsidR="00125FE2" w:rsidRPr="005873BA" w:rsidRDefault="67D55A7A" w:rsidP="00ED69D8">
            <w:pPr>
              <w:spacing w:after="120"/>
              <w:ind w:left="791" w:hanging="360"/>
              <w:jc w:val="both"/>
              <w:rPr>
                <w:rFonts w:asciiTheme="minorHAnsi" w:eastAsia="DengXian" w:hAnsiTheme="minorHAnsi" w:cstheme="minorBidi"/>
                <w:lang w:eastAsia="zh-CN"/>
              </w:rPr>
            </w:pPr>
            <w:r w:rsidRPr="58BAADD2">
              <w:rPr>
                <w:rFonts w:asciiTheme="minorHAnsi" w:eastAsia="DengXian" w:hAnsiTheme="minorHAnsi" w:cstheme="minorBidi"/>
                <w:lang w:eastAsia="zh-CN"/>
              </w:rPr>
              <w:t>–</w:t>
            </w:r>
            <w:r w:rsidR="005873BA">
              <w:tab/>
            </w:r>
            <w:r w:rsidR="00781F72">
              <w:rPr>
                <w:rFonts w:asciiTheme="minorHAnsi" w:eastAsia="DengXian" w:hAnsiTheme="minorHAnsi" w:cstheme="minorBidi"/>
                <w:lang w:eastAsia="zh-CN"/>
              </w:rPr>
              <w:tab/>
            </w:r>
            <w:r w:rsidR="00125FE2" w:rsidRPr="58BAADD2">
              <w:rPr>
                <w:rFonts w:asciiTheme="minorHAnsi" w:eastAsia="DengXian" w:hAnsiTheme="minorHAnsi" w:cstheme="minorBidi"/>
                <w:lang w:eastAsia="zh-CN"/>
              </w:rPr>
              <w:t xml:space="preserve">Water Management: Digital water use by leveraging technologies such as AI, IoT, should be viewed as an enabler within </w:t>
            </w:r>
            <w:proofErr w:type="spellStart"/>
            <w:r w:rsidR="00125FE2" w:rsidRPr="58BAADD2">
              <w:rPr>
                <w:rFonts w:asciiTheme="minorHAnsi" w:eastAsia="DengXian" w:hAnsiTheme="minorHAnsi" w:cstheme="minorBidi"/>
                <w:lang w:eastAsia="zh-CN"/>
              </w:rPr>
              <w:t>SDG6</w:t>
            </w:r>
            <w:proofErr w:type="spellEnd"/>
            <w:r w:rsidR="00125FE2" w:rsidRPr="58BAADD2">
              <w:rPr>
                <w:rFonts w:asciiTheme="minorHAnsi" w:eastAsia="DengXian" w:hAnsiTheme="minorHAnsi" w:cstheme="minorBidi"/>
                <w:lang w:eastAsia="zh-CN"/>
              </w:rPr>
              <w:t xml:space="preserve"> not only for drinking purposes but also for other sectors including agriculture, manufacturing to ensure the judicious use of water. </w:t>
            </w:r>
          </w:p>
          <w:p w14:paraId="719C814D" w14:textId="0FA053C3" w:rsidR="00125FE2" w:rsidRPr="005873BA" w:rsidRDefault="67D55A7A" w:rsidP="00ED69D8">
            <w:pPr>
              <w:spacing w:after="120"/>
              <w:ind w:left="791" w:hanging="360"/>
              <w:jc w:val="both"/>
              <w:rPr>
                <w:rFonts w:asciiTheme="minorHAnsi" w:eastAsia="DengXian" w:hAnsiTheme="minorHAnsi" w:cstheme="minorBidi"/>
                <w:lang w:eastAsia="zh-CN"/>
              </w:rPr>
            </w:pPr>
            <w:r w:rsidRPr="58BAADD2">
              <w:rPr>
                <w:rFonts w:asciiTheme="minorHAnsi" w:eastAsia="DengXian" w:hAnsiTheme="minorHAnsi" w:cstheme="minorBidi"/>
                <w:lang w:eastAsia="zh-CN"/>
              </w:rPr>
              <w:t>–</w:t>
            </w:r>
            <w:r w:rsidR="005873BA">
              <w:tab/>
            </w:r>
            <w:r w:rsidR="00781F72">
              <w:rPr>
                <w:rFonts w:asciiTheme="minorHAnsi" w:hAnsiTheme="minorHAnsi" w:cstheme="minorBidi"/>
              </w:rPr>
              <w:tab/>
            </w:r>
            <w:r w:rsidR="00125FE2" w:rsidRPr="58BAADD2">
              <w:rPr>
                <w:rFonts w:asciiTheme="minorHAnsi" w:hAnsiTheme="minorHAnsi" w:cstheme="minorBidi"/>
              </w:rPr>
              <w:t xml:space="preserve">The ITU </w:t>
            </w:r>
            <w:proofErr w:type="spellStart"/>
            <w:r w:rsidR="00125FE2" w:rsidRPr="58BAADD2">
              <w:rPr>
                <w:rFonts w:asciiTheme="minorHAnsi" w:hAnsiTheme="minorHAnsi" w:cstheme="minorBidi"/>
              </w:rPr>
              <w:t>EGTI</w:t>
            </w:r>
            <w:proofErr w:type="spellEnd"/>
            <w:r w:rsidR="00125FE2" w:rsidRPr="58BAADD2">
              <w:rPr>
                <w:rFonts w:asciiTheme="minorHAnsi" w:hAnsiTheme="minorHAnsi" w:cstheme="minorBidi"/>
              </w:rPr>
              <w:t xml:space="preserve"> Subgroup on National Greenhouse Gas Emission Monitoring Indicators has been tasked with defining a set of harmonized environmental indicators to support national-level monitoring of the ICT sector’s environmental impact. These indicators aim to strengthen countries’ capacity to measure and monitor these impacts, enabling them to develop more informed policies. Water related indicators are included, these related to water consumption for manufacturing equipment, end-user devices and data </w:t>
            </w:r>
            <w:proofErr w:type="spellStart"/>
            <w:r w:rsidR="00125FE2" w:rsidRPr="58BAADD2">
              <w:rPr>
                <w:rFonts w:asciiTheme="minorHAnsi" w:hAnsiTheme="minorHAnsi" w:cstheme="minorBidi"/>
              </w:rPr>
              <w:t>centers</w:t>
            </w:r>
            <w:proofErr w:type="spellEnd"/>
            <w:r w:rsidR="00125FE2" w:rsidRPr="58BAADD2">
              <w:rPr>
                <w:rFonts w:asciiTheme="minorHAnsi" w:hAnsiTheme="minorHAnsi" w:cstheme="minorBidi"/>
              </w:rPr>
              <w:t xml:space="preserve"> in operation.</w:t>
            </w:r>
          </w:p>
          <w:p w14:paraId="1C194922" w14:textId="77777777" w:rsidR="00125FE2" w:rsidRPr="005873BA" w:rsidRDefault="00125FE2" w:rsidP="00ED69D8">
            <w:pPr>
              <w:tabs>
                <w:tab w:val="clear" w:pos="567"/>
                <w:tab w:val="clear" w:pos="1134"/>
                <w:tab w:val="clear" w:pos="1701"/>
                <w:tab w:val="clear" w:pos="2268"/>
                <w:tab w:val="clear" w:pos="2835"/>
              </w:tabs>
              <w:overflowPunct/>
              <w:spacing w:after="120" w:line="259" w:lineRule="auto"/>
              <w:jc w:val="both"/>
              <w:textAlignment w:val="auto"/>
              <w:rPr>
                <w:rFonts w:asciiTheme="minorHAnsi" w:eastAsia="DengXian" w:hAnsiTheme="minorHAnsi" w:cstheme="minorBidi"/>
                <w:b/>
                <w:bCs/>
                <w:lang w:eastAsia="zh-CN"/>
              </w:rPr>
            </w:pPr>
            <w:r w:rsidRPr="58BAADD2">
              <w:rPr>
                <w:rFonts w:asciiTheme="minorHAnsi" w:eastAsia="DengXian" w:hAnsiTheme="minorHAnsi" w:cstheme="minorBidi"/>
                <w:b/>
                <w:bCs/>
                <w:lang w:eastAsia="zh-CN"/>
              </w:rPr>
              <w:t>SDG 11</w:t>
            </w:r>
          </w:p>
          <w:p w14:paraId="11174F08" w14:textId="00734DC6" w:rsidR="00125FE2" w:rsidRPr="005873BA" w:rsidRDefault="67D55A7A" w:rsidP="00ED69D8">
            <w:pPr>
              <w:spacing w:after="120"/>
              <w:ind w:left="791" w:hanging="360"/>
              <w:jc w:val="both"/>
              <w:rPr>
                <w:rFonts w:asciiTheme="minorHAnsi" w:eastAsia="DengXian" w:hAnsiTheme="minorHAnsi" w:cstheme="minorBidi"/>
                <w:lang w:eastAsia="zh-CN"/>
              </w:rPr>
            </w:pPr>
            <w:r w:rsidRPr="58BAADD2">
              <w:rPr>
                <w:rFonts w:asciiTheme="minorHAnsi" w:eastAsia="DengXian" w:hAnsiTheme="minorHAnsi" w:cstheme="minorBidi"/>
                <w:lang w:eastAsia="zh-CN"/>
              </w:rPr>
              <w:t>–</w:t>
            </w:r>
            <w:r w:rsidR="00781F72">
              <w:tab/>
            </w:r>
            <w:r w:rsidR="00781F72">
              <w:tab/>
            </w:r>
            <w:r w:rsidR="00125FE2" w:rsidRPr="58BAADD2">
              <w:rPr>
                <w:rFonts w:asciiTheme="minorHAnsi" w:eastAsia="DengXian" w:hAnsiTheme="minorHAnsi" w:cstheme="minorBidi"/>
                <w:lang w:eastAsia="zh-CN"/>
              </w:rPr>
              <w:t xml:space="preserve">It is essential for stakeholders to be provided with the required guidance on driving digital transformation in the urban context. In this regard, instruments such as the Toolkit on, developed by the ITU together with other partners including </w:t>
            </w:r>
            <w:proofErr w:type="spellStart"/>
            <w:r w:rsidR="00125FE2" w:rsidRPr="58BAADD2">
              <w:rPr>
                <w:rFonts w:asciiTheme="minorHAnsi" w:eastAsia="DengXian" w:hAnsiTheme="minorHAnsi" w:cstheme="minorBidi"/>
                <w:lang w:eastAsia="zh-CN"/>
              </w:rPr>
              <w:t>UNDESA</w:t>
            </w:r>
            <w:proofErr w:type="spellEnd"/>
            <w:r w:rsidR="00125FE2" w:rsidRPr="58BAADD2">
              <w:rPr>
                <w:rFonts w:asciiTheme="minorHAnsi" w:eastAsia="DengXian" w:hAnsiTheme="minorHAnsi" w:cstheme="minorBidi"/>
                <w:lang w:eastAsia="zh-CN"/>
              </w:rPr>
              <w:t xml:space="preserve">, </w:t>
            </w:r>
            <w:proofErr w:type="spellStart"/>
            <w:r w:rsidR="00125FE2" w:rsidRPr="58BAADD2">
              <w:rPr>
                <w:rFonts w:asciiTheme="minorHAnsi" w:eastAsia="DengXian" w:hAnsiTheme="minorHAnsi" w:cstheme="minorBidi"/>
                <w:lang w:eastAsia="zh-CN"/>
              </w:rPr>
              <w:t>UNU-EGOV</w:t>
            </w:r>
            <w:proofErr w:type="spellEnd"/>
            <w:r w:rsidR="00125FE2" w:rsidRPr="58BAADD2">
              <w:rPr>
                <w:rFonts w:asciiTheme="minorHAnsi" w:eastAsia="DengXian" w:hAnsiTheme="minorHAnsi" w:cstheme="minorBidi"/>
                <w:lang w:eastAsia="zh-CN"/>
              </w:rPr>
              <w:t xml:space="preserve">, </w:t>
            </w:r>
            <w:proofErr w:type="spellStart"/>
            <w:r w:rsidR="00125FE2" w:rsidRPr="58BAADD2">
              <w:rPr>
                <w:rFonts w:asciiTheme="minorHAnsi" w:eastAsia="DengXian" w:hAnsiTheme="minorHAnsi" w:cstheme="minorBidi"/>
                <w:lang w:eastAsia="zh-CN"/>
              </w:rPr>
              <w:t>UNECE</w:t>
            </w:r>
            <w:proofErr w:type="spellEnd"/>
            <w:r w:rsidR="00125FE2" w:rsidRPr="58BAADD2">
              <w:rPr>
                <w:rFonts w:asciiTheme="minorHAnsi" w:eastAsia="DengXian" w:hAnsiTheme="minorHAnsi" w:cstheme="minorBidi"/>
                <w:lang w:eastAsia="zh-CN"/>
              </w:rPr>
              <w:t xml:space="preserve">, </w:t>
            </w:r>
            <w:proofErr w:type="spellStart"/>
            <w:r w:rsidR="00125FE2" w:rsidRPr="58BAADD2">
              <w:rPr>
                <w:rFonts w:asciiTheme="minorHAnsi" w:eastAsia="DengXian" w:hAnsiTheme="minorHAnsi" w:cstheme="minorBidi"/>
                <w:lang w:eastAsia="zh-CN"/>
              </w:rPr>
              <w:t>UNIDO</w:t>
            </w:r>
            <w:proofErr w:type="spellEnd"/>
            <w:r w:rsidR="00125FE2" w:rsidRPr="58BAADD2">
              <w:rPr>
                <w:rFonts w:asciiTheme="minorHAnsi" w:eastAsia="DengXian" w:hAnsiTheme="minorHAnsi" w:cstheme="minorBidi"/>
                <w:lang w:eastAsia="zh-CN"/>
              </w:rPr>
              <w:t>, UN-HABITAT, UNDP, WMO, International Water Resources Association, UNEP-</w:t>
            </w:r>
            <w:proofErr w:type="spellStart"/>
            <w:r w:rsidR="00125FE2" w:rsidRPr="58BAADD2">
              <w:rPr>
                <w:rFonts w:asciiTheme="minorHAnsi" w:eastAsia="DengXian" w:hAnsiTheme="minorHAnsi" w:cstheme="minorBidi"/>
                <w:lang w:eastAsia="zh-CN"/>
              </w:rPr>
              <w:t>DTU</w:t>
            </w:r>
            <w:proofErr w:type="spellEnd"/>
            <w:r w:rsidR="00125FE2" w:rsidRPr="58BAADD2">
              <w:rPr>
                <w:rFonts w:asciiTheme="minorHAnsi" w:eastAsia="DengXian" w:hAnsiTheme="minorHAnsi" w:cstheme="minorBidi"/>
                <w:lang w:eastAsia="zh-CN"/>
              </w:rPr>
              <w:t xml:space="preserve">, </w:t>
            </w:r>
            <w:proofErr w:type="spellStart"/>
            <w:r w:rsidR="00125FE2" w:rsidRPr="58BAADD2">
              <w:rPr>
                <w:rFonts w:asciiTheme="minorHAnsi" w:eastAsia="DengXian" w:hAnsiTheme="minorHAnsi" w:cstheme="minorBidi"/>
                <w:lang w:eastAsia="zh-CN"/>
              </w:rPr>
              <w:t>U4E</w:t>
            </w:r>
            <w:proofErr w:type="spellEnd"/>
            <w:r w:rsidR="00125FE2" w:rsidRPr="58BAADD2">
              <w:rPr>
                <w:rFonts w:asciiTheme="minorHAnsi" w:eastAsia="DengXian" w:hAnsiTheme="minorHAnsi" w:cstheme="minorBidi"/>
                <w:lang w:eastAsia="zh-CN"/>
              </w:rPr>
              <w:t>, and Copenhagen Centre on Energy Efficiency, are ideal for strategizing and planning the digital transformation of cities and communities to promote sustainable, inclusive, resilient and improved quality of life for residents in cities and communities.</w:t>
            </w:r>
          </w:p>
          <w:p w14:paraId="463FA9CB" w14:textId="31A7D7B2" w:rsidR="00125FE2" w:rsidRPr="005873BA" w:rsidRDefault="67D55A7A" w:rsidP="00ED69D8">
            <w:pPr>
              <w:spacing w:after="120"/>
              <w:ind w:left="791" w:hanging="360"/>
              <w:jc w:val="both"/>
              <w:rPr>
                <w:rFonts w:asciiTheme="minorHAnsi" w:eastAsia="DengXian" w:hAnsiTheme="minorHAnsi" w:cstheme="minorBidi"/>
                <w:lang w:eastAsia="zh-CN"/>
              </w:rPr>
            </w:pPr>
            <w:r w:rsidRPr="58BAADD2">
              <w:rPr>
                <w:rFonts w:asciiTheme="minorHAnsi" w:eastAsia="DengXian" w:hAnsiTheme="minorHAnsi" w:cstheme="minorBidi"/>
                <w:lang w:eastAsia="zh-CN"/>
              </w:rPr>
              <w:t>–</w:t>
            </w:r>
            <w:r w:rsidR="005873BA">
              <w:tab/>
            </w:r>
            <w:r w:rsidR="00781F72">
              <w:rPr>
                <w:rFonts w:asciiTheme="minorHAnsi" w:eastAsia="DengXian" w:hAnsiTheme="minorHAnsi" w:cstheme="minorBidi"/>
                <w:lang w:eastAsia="zh-CN"/>
              </w:rPr>
              <w:tab/>
            </w:r>
            <w:r w:rsidR="00125FE2" w:rsidRPr="58BAADD2">
              <w:rPr>
                <w:rFonts w:asciiTheme="minorHAnsi" w:eastAsia="DengXian" w:hAnsiTheme="minorHAnsi" w:cstheme="minorBidi"/>
                <w:lang w:eastAsia="zh-CN"/>
              </w:rPr>
              <w:t>International collaborative platform such the United for Smart Sustainable Cities (</w:t>
            </w:r>
            <w:proofErr w:type="spellStart"/>
            <w:r w:rsidR="00125FE2" w:rsidRPr="58BAADD2">
              <w:rPr>
                <w:rFonts w:asciiTheme="minorHAnsi" w:eastAsia="DengXian" w:hAnsiTheme="minorHAnsi" w:cstheme="minorBidi"/>
                <w:lang w:eastAsia="zh-CN"/>
              </w:rPr>
              <w:t>U4SSC</w:t>
            </w:r>
            <w:proofErr w:type="spellEnd"/>
            <w:r w:rsidR="00125FE2" w:rsidRPr="58BAADD2">
              <w:rPr>
                <w:rFonts w:asciiTheme="minorHAnsi" w:eastAsia="DengXian" w:hAnsiTheme="minorHAnsi" w:cstheme="minorBidi"/>
                <w:lang w:eastAsia="zh-CN"/>
              </w:rPr>
              <w:t xml:space="preserve">), led by ITU and supported by 20 UN entities, can be leveraged for global </w:t>
            </w:r>
            <w:r w:rsidR="00125FE2" w:rsidRPr="58BAADD2">
              <w:rPr>
                <w:rFonts w:asciiTheme="minorHAnsi" w:eastAsia="DengXian" w:hAnsiTheme="minorHAnsi" w:cstheme="minorBidi"/>
                <w:lang w:eastAsia="zh-CN"/>
              </w:rPr>
              <w:lastRenderedPageBreak/>
              <w:t xml:space="preserve">dialogue on smart city transitions oriented towards the attainment of the targets contained in </w:t>
            </w:r>
            <w:proofErr w:type="spellStart"/>
            <w:r w:rsidR="00125FE2" w:rsidRPr="58BAADD2">
              <w:rPr>
                <w:rFonts w:asciiTheme="minorHAnsi" w:eastAsia="DengXian" w:hAnsiTheme="minorHAnsi" w:cstheme="minorBidi"/>
                <w:lang w:eastAsia="zh-CN"/>
              </w:rPr>
              <w:t>SDG11</w:t>
            </w:r>
            <w:proofErr w:type="spellEnd"/>
            <w:r w:rsidR="00125FE2" w:rsidRPr="58BAADD2">
              <w:rPr>
                <w:rFonts w:asciiTheme="minorHAnsi" w:eastAsia="DengXian" w:hAnsiTheme="minorHAnsi" w:cstheme="minorBidi"/>
                <w:lang w:eastAsia="zh-CN"/>
              </w:rPr>
              <w:t xml:space="preserve">. </w:t>
            </w:r>
          </w:p>
          <w:p w14:paraId="136199F4" w14:textId="24F9CE03" w:rsidR="00125FE2" w:rsidRPr="005873BA" w:rsidRDefault="00D27063" w:rsidP="00ED69D8">
            <w:pPr>
              <w:spacing w:after="120"/>
              <w:ind w:left="791" w:hanging="360"/>
              <w:jc w:val="both"/>
              <w:rPr>
                <w:rFonts w:asciiTheme="minorHAnsi" w:eastAsia="DengXian" w:hAnsiTheme="minorHAnsi" w:cstheme="minorBidi"/>
                <w:lang w:eastAsia="zh-CN"/>
              </w:rPr>
            </w:pPr>
            <w:r w:rsidRPr="58BAADD2">
              <w:rPr>
                <w:rFonts w:asciiTheme="minorHAnsi" w:eastAsia="DengXian" w:hAnsiTheme="minorHAnsi" w:cstheme="minorBidi"/>
                <w:lang w:eastAsia="zh-CN"/>
              </w:rPr>
              <w:t>–</w:t>
            </w:r>
            <w:r>
              <w:tab/>
            </w:r>
            <w:r w:rsidR="00781F72">
              <w:rPr>
                <w:rFonts w:asciiTheme="minorHAnsi" w:eastAsia="DengXian" w:hAnsiTheme="minorHAnsi" w:cstheme="minorBidi"/>
                <w:lang w:eastAsia="zh-CN"/>
              </w:rPr>
              <w:tab/>
            </w:r>
            <w:r w:rsidR="00125FE2" w:rsidRPr="58BAADD2">
              <w:rPr>
                <w:rFonts w:asciiTheme="minorHAnsi" w:eastAsia="DengXian" w:hAnsiTheme="minorHAnsi" w:cstheme="minorBidi"/>
                <w:lang w:eastAsia="zh-CN"/>
              </w:rPr>
              <w:t>ITU-T Study Group 20 on IoT, Digital</w:t>
            </w:r>
            <w:r w:rsidR="00125FE2" w:rsidRPr="58BAADD2">
              <w:rPr>
                <w:rFonts w:asciiTheme="minorHAnsi" w:eastAsia="DengXian" w:hAnsiTheme="minorHAnsi" w:cstheme="minorBidi"/>
                <w:lang w:val="en-US" w:eastAsia="zh-CN"/>
              </w:rPr>
              <w:t xml:space="preserve"> Twins, </w:t>
            </w:r>
            <w:r w:rsidR="00125FE2" w:rsidRPr="58BAADD2">
              <w:rPr>
                <w:rFonts w:asciiTheme="minorHAnsi" w:eastAsia="DengXian" w:hAnsiTheme="minorHAnsi" w:cstheme="minorBidi"/>
                <w:lang w:eastAsia="zh-CN"/>
              </w:rPr>
              <w:t xml:space="preserve">Smart Sustainable Cities and Communities have continued to develop ITU-T Recommendations (or international standards) on relevant topics related to IoT applications, digital twins, smart cities, </w:t>
            </w:r>
            <w:proofErr w:type="spellStart"/>
            <w:r w:rsidR="00125FE2" w:rsidRPr="58BAADD2">
              <w:rPr>
                <w:rFonts w:asciiTheme="minorHAnsi" w:eastAsia="DengXian" w:hAnsiTheme="minorHAnsi" w:cstheme="minorBidi"/>
                <w:lang w:eastAsia="zh-CN"/>
              </w:rPr>
              <w:t>citiverse</w:t>
            </w:r>
            <w:proofErr w:type="spellEnd"/>
            <w:r w:rsidR="00125FE2" w:rsidRPr="58BAADD2">
              <w:rPr>
                <w:rFonts w:asciiTheme="minorHAnsi" w:eastAsia="DengXian" w:hAnsiTheme="minorHAnsi" w:cstheme="minorBidi"/>
                <w:lang w:eastAsia="zh-CN"/>
              </w:rPr>
              <w:t xml:space="preserve"> and digital transformation in the urban context. Additionally, the </w:t>
            </w:r>
            <w:proofErr w:type="spellStart"/>
            <w:r w:rsidR="00125FE2" w:rsidRPr="58BAADD2">
              <w:rPr>
                <w:rFonts w:asciiTheme="minorHAnsi" w:eastAsia="DengXian" w:hAnsiTheme="minorHAnsi" w:cstheme="minorBidi"/>
                <w:lang w:eastAsia="zh-CN"/>
              </w:rPr>
              <w:t>U4SSC-KPI</w:t>
            </w:r>
            <w:proofErr w:type="spellEnd"/>
            <w:r w:rsidR="00125FE2" w:rsidRPr="58BAADD2">
              <w:rPr>
                <w:rFonts w:asciiTheme="minorHAnsi" w:eastAsia="DengXian" w:hAnsiTheme="minorHAnsi" w:cstheme="minorBidi"/>
                <w:lang w:eastAsia="zh-CN"/>
              </w:rPr>
              <w:t xml:space="preserve"> have also been implemented in over 250 cities worldwide. The </w:t>
            </w:r>
            <w:proofErr w:type="spellStart"/>
            <w:r w:rsidR="00125FE2" w:rsidRPr="58BAADD2">
              <w:rPr>
                <w:rFonts w:asciiTheme="minorHAnsi" w:eastAsia="DengXian" w:hAnsiTheme="minorHAnsi" w:cstheme="minorBidi"/>
                <w:lang w:eastAsia="zh-CN"/>
              </w:rPr>
              <w:t>U4SSC-KPIs</w:t>
            </w:r>
            <w:proofErr w:type="spellEnd"/>
            <w:r w:rsidR="00125FE2" w:rsidRPr="58BAADD2">
              <w:rPr>
                <w:rFonts w:asciiTheme="minorHAnsi" w:eastAsia="DengXian" w:hAnsiTheme="minorHAnsi" w:cstheme="minorBidi"/>
                <w:lang w:eastAsia="zh-CN"/>
              </w:rPr>
              <w:t xml:space="preserve"> embed the targets and indicators of the SDGs in them. Therefore, when cities adopt/implement these </w:t>
            </w:r>
            <w:proofErr w:type="spellStart"/>
            <w:r w:rsidR="00125FE2" w:rsidRPr="58BAADD2">
              <w:rPr>
                <w:rFonts w:asciiTheme="minorHAnsi" w:eastAsia="DengXian" w:hAnsiTheme="minorHAnsi" w:cstheme="minorBidi"/>
                <w:lang w:eastAsia="zh-CN"/>
              </w:rPr>
              <w:t>KPIs</w:t>
            </w:r>
            <w:proofErr w:type="spellEnd"/>
            <w:r w:rsidR="00125FE2" w:rsidRPr="58BAADD2">
              <w:rPr>
                <w:rFonts w:asciiTheme="minorHAnsi" w:eastAsia="DengXian" w:hAnsiTheme="minorHAnsi" w:cstheme="minorBidi"/>
                <w:lang w:eastAsia="zh-CN"/>
              </w:rPr>
              <w:t>, they are simultaneously also able to monitor their progress towards the SDGs in keeping with their smart city targets.</w:t>
            </w:r>
          </w:p>
          <w:p w14:paraId="225BEAE0" w14:textId="6BC8B5D5" w:rsidR="00125FE2" w:rsidRPr="005873BA" w:rsidRDefault="00D27063" w:rsidP="00ED69D8">
            <w:pPr>
              <w:spacing w:after="120"/>
              <w:ind w:left="720" w:hanging="360"/>
              <w:jc w:val="both"/>
              <w:rPr>
                <w:rFonts w:asciiTheme="minorHAnsi" w:eastAsia="DengXian" w:hAnsiTheme="minorHAnsi" w:cstheme="minorBidi"/>
                <w:lang w:eastAsia="zh-CN"/>
              </w:rPr>
            </w:pPr>
            <w:r w:rsidRPr="58BAADD2">
              <w:rPr>
                <w:rFonts w:asciiTheme="minorHAnsi" w:eastAsia="DengXian" w:hAnsiTheme="minorHAnsi" w:cstheme="minorBidi"/>
                <w:lang w:eastAsia="zh-CN"/>
              </w:rPr>
              <w:t>–</w:t>
            </w:r>
            <w:r>
              <w:tab/>
            </w:r>
            <w:r w:rsidR="004A5A7A">
              <w:rPr>
                <w:rFonts w:asciiTheme="minorHAnsi" w:eastAsia="DengXian" w:hAnsiTheme="minorHAnsi" w:cstheme="minorBidi"/>
                <w:lang w:eastAsia="zh-CN"/>
              </w:rPr>
              <w:tab/>
            </w:r>
            <w:r w:rsidR="00125FE2" w:rsidRPr="58BAADD2">
              <w:rPr>
                <w:rFonts w:asciiTheme="minorHAnsi" w:eastAsia="DengXian" w:hAnsiTheme="minorHAnsi" w:cstheme="minorBidi"/>
                <w:lang w:eastAsia="zh-CN"/>
              </w:rPr>
              <w:t xml:space="preserve">The Global Initiative on Virtual Worlds and AI – Discovering the </w:t>
            </w:r>
            <w:proofErr w:type="spellStart"/>
            <w:r w:rsidR="00125FE2" w:rsidRPr="58BAADD2">
              <w:rPr>
                <w:rFonts w:asciiTheme="minorHAnsi" w:eastAsia="DengXian" w:hAnsiTheme="minorHAnsi" w:cstheme="minorBidi"/>
                <w:lang w:eastAsia="zh-CN"/>
              </w:rPr>
              <w:t>Citiverse</w:t>
            </w:r>
            <w:proofErr w:type="spellEnd"/>
            <w:r w:rsidR="00125FE2" w:rsidRPr="58BAADD2">
              <w:rPr>
                <w:rFonts w:asciiTheme="minorHAnsi" w:eastAsia="DengXian" w:hAnsiTheme="minorHAnsi" w:cstheme="minorBidi"/>
                <w:lang w:eastAsia="zh-CN"/>
              </w:rPr>
              <w:t xml:space="preserve">, launched by ITU, Digital Dubai and </w:t>
            </w:r>
            <w:proofErr w:type="spellStart"/>
            <w:r w:rsidR="00125FE2" w:rsidRPr="58BAADD2">
              <w:rPr>
                <w:rFonts w:asciiTheme="minorHAnsi" w:eastAsia="DengXian" w:hAnsiTheme="minorHAnsi" w:cstheme="minorBidi"/>
                <w:lang w:eastAsia="zh-CN"/>
              </w:rPr>
              <w:t>UNICC</w:t>
            </w:r>
            <w:proofErr w:type="spellEnd"/>
            <w:r w:rsidR="00125FE2" w:rsidRPr="58BAADD2">
              <w:rPr>
                <w:rFonts w:asciiTheme="minorHAnsi" w:eastAsia="DengXian" w:hAnsiTheme="minorHAnsi" w:cstheme="minorBidi"/>
                <w:lang w:eastAsia="zh-CN"/>
              </w:rPr>
              <w:t xml:space="preserve"> and supported by over 70 partners, aims to empower governments, businesses, and communities to leverage the </w:t>
            </w:r>
            <w:proofErr w:type="spellStart"/>
            <w:r w:rsidR="00125FE2" w:rsidRPr="58BAADD2">
              <w:rPr>
                <w:rFonts w:asciiTheme="minorHAnsi" w:eastAsia="DengXian" w:hAnsiTheme="minorHAnsi" w:cstheme="minorBidi"/>
                <w:lang w:eastAsia="zh-CN"/>
              </w:rPr>
              <w:t>citiverse</w:t>
            </w:r>
            <w:proofErr w:type="spellEnd"/>
            <w:r w:rsidR="00125FE2" w:rsidRPr="58BAADD2">
              <w:rPr>
                <w:rFonts w:asciiTheme="minorHAnsi" w:eastAsia="DengXian" w:hAnsiTheme="minorHAnsi" w:cstheme="minorBidi"/>
                <w:lang w:eastAsia="zh-CN"/>
              </w:rPr>
              <w:t xml:space="preserve"> to enhance public services, foster economic growth, strengthen digital trust, and advance the development of safe, open, and interoperable AI-powered virtual worlds.</w:t>
            </w:r>
          </w:p>
          <w:p w14:paraId="3B4E66EC" w14:textId="7EB3001E" w:rsidR="00125FE2" w:rsidRPr="005873BA" w:rsidRDefault="00D27063" w:rsidP="00ED69D8">
            <w:pPr>
              <w:spacing w:after="120"/>
              <w:ind w:left="791" w:hanging="360"/>
              <w:jc w:val="both"/>
              <w:rPr>
                <w:rFonts w:asciiTheme="minorHAnsi" w:eastAsia="Malgun Gothic" w:hAnsiTheme="minorHAnsi" w:cstheme="minorBidi"/>
                <w:b/>
                <w:bCs/>
                <w:lang w:eastAsia="ko-KR"/>
              </w:rPr>
            </w:pPr>
            <w:r w:rsidRPr="58BAADD2">
              <w:rPr>
                <w:rFonts w:asciiTheme="minorHAnsi" w:eastAsia="DengXian" w:hAnsiTheme="minorHAnsi" w:cstheme="minorBidi"/>
                <w:lang w:eastAsia="ko-KR"/>
              </w:rPr>
              <w:t>–</w:t>
            </w:r>
            <w:r>
              <w:tab/>
            </w:r>
            <w:r w:rsidR="004A5A7A">
              <w:rPr>
                <w:rFonts w:asciiTheme="minorHAnsi" w:eastAsia="DengXian" w:hAnsiTheme="minorHAnsi" w:cstheme="minorBidi"/>
                <w:lang w:eastAsia="zh-CN"/>
              </w:rPr>
              <w:tab/>
            </w:r>
            <w:r w:rsidR="00125FE2" w:rsidRPr="58BAADD2">
              <w:rPr>
                <w:rFonts w:asciiTheme="minorHAnsi" w:eastAsia="DengXian" w:hAnsiTheme="minorHAnsi" w:cstheme="minorBidi"/>
                <w:lang w:eastAsia="zh-CN"/>
              </w:rPr>
              <w:t xml:space="preserve">While the importance of technologies and innovation is highlighted above mainly within </w:t>
            </w:r>
            <w:proofErr w:type="spellStart"/>
            <w:r w:rsidR="00125FE2" w:rsidRPr="58BAADD2">
              <w:rPr>
                <w:rFonts w:asciiTheme="minorHAnsi" w:eastAsia="DengXian" w:hAnsiTheme="minorHAnsi" w:cstheme="minorBidi"/>
                <w:lang w:eastAsia="zh-CN"/>
              </w:rPr>
              <w:t>SDG9</w:t>
            </w:r>
            <w:proofErr w:type="spellEnd"/>
            <w:r w:rsidR="00125FE2" w:rsidRPr="58BAADD2">
              <w:rPr>
                <w:rFonts w:asciiTheme="minorHAnsi" w:eastAsia="DengXian" w:hAnsiTheme="minorHAnsi" w:cstheme="minorBidi"/>
                <w:lang w:eastAsia="zh-CN"/>
              </w:rPr>
              <w:t xml:space="preserve">, the cross-cutting impact that technologies can have across sectors and other SDG targets has been largely excluded from the current SDG cluster. It would be beneficial to highlight the impact that emerging technologies have in driving digital transformation for alleviating the inequalities, providing medical care, improving agricultural production, supporting water management, ensuring the use of renewable energies, facilitating sustainable urban development, protecting biodiversity and promoting collaboration between different stakeholders for the overall achievement of the SDGs. </w:t>
            </w:r>
          </w:p>
          <w:p w14:paraId="49CF3384" w14:textId="2878154C" w:rsidR="00125FE2" w:rsidRPr="005873BA" w:rsidRDefault="00D27063" w:rsidP="00ED69D8">
            <w:pPr>
              <w:spacing w:after="120"/>
              <w:ind w:left="791" w:hanging="360"/>
              <w:jc w:val="both"/>
              <w:rPr>
                <w:rFonts w:asciiTheme="minorHAnsi" w:eastAsia="Malgun Gothic" w:hAnsiTheme="minorHAnsi" w:cstheme="minorBidi"/>
                <w:lang w:eastAsia="ko-KR"/>
              </w:rPr>
            </w:pPr>
            <w:r w:rsidRPr="58BAADD2">
              <w:rPr>
                <w:rFonts w:asciiTheme="minorHAnsi" w:eastAsia="DengXian" w:hAnsiTheme="minorHAnsi" w:cstheme="minorBidi"/>
                <w:lang w:eastAsia="ko-KR"/>
              </w:rPr>
              <w:t>–</w:t>
            </w:r>
            <w:r>
              <w:tab/>
            </w:r>
            <w:r w:rsidR="004A5A7A">
              <w:rPr>
                <w:rFonts w:asciiTheme="minorHAnsi" w:eastAsia="Malgun Gothic" w:hAnsiTheme="minorHAnsi" w:cstheme="minorBidi"/>
                <w:lang w:eastAsia="ko-KR"/>
              </w:rPr>
              <w:tab/>
            </w:r>
            <w:r w:rsidR="00125FE2" w:rsidRPr="58BAADD2">
              <w:rPr>
                <w:rFonts w:asciiTheme="minorHAnsi" w:eastAsia="Malgun Gothic" w:hAnsiTheme="minorHAnsi" w:cstheme="minorBidi"/>
                <w:lang w:eastAsia="ko-KR"/>
              </w:rPr>
              <w:t>Through the WSIS Prizes and WSIS Stocktaking process, ITU has documented and recognized hundreds of projects that enhance ICT access for underserved and remote communities, thereby promoting inclusive digital participation and enabling pathways to social and economic empowerment. Many of these projects explicitly address capacity building, digital literacy, and the inclusion of marginalized groups, effectively democratizing access to digital tools, knowledge, and services.</w:t>
            </w:r>
          </w:p>
          <w:p w14:paraId="2CF8293E" w14:textId="78D96765" w:rsidR="00125FE2" w:rsidRPr="005873BA" w:rsidRDefault="00D27063" w:rsidP="00ED69D8">
            <w:pPr>
              <w:spacing w:after="120"/>
              <w:ind w:left="1142" w:hanging="360"/>
              <w:jc w:val="both"/>
              <w:rPr>
                <w:rFonts w:asciiTheme="minorHAnsi" w:eastAsia="Malgun Gothic" w:hAnsiTheme="minorHAnsi" w:cstheme="minorBidi"/>
                <w:lang w:eastAsia="ko-KR"/>
              </w:rPr>
            </w:pPr>
            <w:r w:rsidRPr="58BAADD2">
              <w:rPr>
                <w:rFonts w:asciiTheme="minorHAnsi" w:eastAsia="DengXian" w:hAnsiTheme="minorHAnsi" w:cstheme="minorBidi"/>
                <w:lang w:eastAsia="zh-CN"/>
              </w:rPr>
              <w:t>•</w:t>
            </w:r>
            <w:r>
              <w:tab/>
            </w:r>
            <w:r w:rsidR="00125FE2" w:rsidRPr="58BAADD2">
              <w:rPr>
                <w:rFonts w:asciiTheme="minorHAnsi" w:eastAsia="Malgun Gothic" w:hAnsiTheme="minorHAnsi" w:cstheme="minorBidi"/>
                <w:lang w:eastAsia="ko-KR"/>
              </w:rPr>
              <w:t>For example, the “Internet para Todos” initiative (</w:t>
            </w:r>
            <w:hyperlink r:id="rId31">
              <w:r w:rsidR="00125FE2" w:rsidRPr="58BAADD2">
                <w:rPr>
                  <w:rStyle w:val="Hyperlink"/>
                  <w:rFonts w:asciiTheme="minorHAnsi" w:eastAsia="Malgun Gothic" w:hAnsiTheme="minorHAnsi" w:cstheme="minorBidi"/>
                  <w:lang w:eastAsia="ko-KR"/>
                </w:rPr>
                <w:t>WSIS Prizes 2025</w:t>
              </w:r>
            </w:hyperlink>
            <w:r w:rsidR="00125FE2" w:rsidRPr="58BAADD2">
              <w:rPr>
                <w:rFonts w:asciiTheme="minorHAnsi" w:eastAsia="Malgun Gothic" w:hAnsiTheme="minorHAnsi" w:cstheme="minorBidi"/>
                <w:lang w:eastAsia="ko-KR"/>
              </w:rPr>
              <w:t xml:space="preserve">, Category </w:t>
            </w:r>
            <w:proofErr w:type="spellStart"/>
            <w:r w:rsidR="00125FE2" w:rsidRPr="58BAADD2">
              <w:rPr>
                <w:rFonts w:asciiTheme="minorHAnsi" w:eastAsia="Malgun Gothic" w:hAnsiTheme="minorHAnsi" w:cstheme="minorBidi"/>
                <w:lang w:eastAsia="ko-KR"/>
              </w:rPr>
              <w:t>C2</w:t>
            </w:r>
            <w:proofErr w:type="spellEnd"/>
            <w:r w:rsidR="00125FE2" w:rsidRPr="58BAADD2">
              <w:rPr>
                <w:rFonts w:asciiTheme="minorHAnsi" w:eastAsia="Malgun Gothic" w:hAnsiTheme="minorHAnsi" w:cstheme="minorBidi"/>
                <w:lang w:eastAsia="ko-KR"/>
              </w:rPr>
              <w:t>: Information &amp; Communication Infrastructure) extended connectivity to millions of people across thousands of rural communities in Peru, providing access to information, education, and essential services for underserved populations. Similarly, the “Situational-Analytical Complex” project from Kazakhstan (</w:t>
            </w:r>
            <w:hyperlink r:id="rId32">
              <w:r w:rsidR="00125FE2" w:rsidRPr="58BAADD2">
                <w:rPr>
                  <w:rStyle w:val="Hyperlink"/>
                  <w:rFonts w:asciiTheme="minorHAnsi" w:eastAsia="Malgun Gothic" w:hAnsiTheme="minorHAnsi" w:cstheme="minorBidi"/>
                  <w:lang w:eastAsia="ko-KR"/>
                </w:rPr>
                <w:t>WSIS Prizes 2025</w:t>
              </w:r>
            </w:hyperlink>
            <w:r w:rsidR="00125FE2" w:rsidRPr="58BAADD2">
              <w:rPr>
                <w:rFonts w:asciiTheme="minorHAnsi" w:eastAsia="Malgun Gothic" w:hAnsiTheme="minorHAnsi" w:cstheme="minorBidi"/>
                <w:lang w:eastAsia="ko-KR"/>
              </w:rPr>
              <w:t xml:space="preserve">, Category </w:t>
            </w:r>
            <w:proofErr w:type="spellStart"/>
            <w:r w:rsidR="00125FE2" w:rsidRPr="58BAADD2">
              <w:rPr>
                <w:rFonts w:asciiTheme="minorHAnsi" w:eastAsia="Malgun Gothic" w:hAnsiTheme="minorHAnsi" w:cstheme="minorBidi"/>
                <w:lang w:eastAsia="ko-KR"/>
              </w:rPr>
              <w:t>C1</w:t>
            </w:r>
            <w:proofErr w:type="spellEnd"/>
            <w:r w:rsidR="00125FE2" w:rsidRPr="58BAADD2">
              <w:rPr>
                <w:rFonts w:asciiTheme="minorHAnsi" w:eastAsia="Malgun Gothic" w:hAnsiTheme="minorHAnsi" w:cstheme="minorBidi"/>
                <w:lang w:eastAsia="ko-KR"/>
              </w:rPr>
              <w:t xml:space="preserve">: Role of Governments &amp; Stakeholders in promoting ICT for development) delivers a digital platform for data-driven governance and operational management, improving efficiency in public service delivery and enabling evidence-based decision-making. See more details about the WSIS Prizes 2025 Winner projects in the </w:t>
            </w:r>
            <w:hyperlink r:id="rId33">
              <w:r w:rsidR="00125FE2" w:rsidRPr="58BAADD2">
                <w:rPr>
                  <w:rStyle w:val="Hyperlink"/>
                  <w:rFonts w:asciiTheme="minorHAnsi" w:eastAsia="Malgun Gothic" w:hAnsiTheme="minorHAnsi" w:cstheme="minorBidi"/>
                  <w:lang w:eastAsia="ko-KR"/>
                </w:rPr>
                <w:t>WSIS Stocktaking 2025: Success Stories</w:t>
              </w:r>
            </w:hyperlink>
            <w:r w:rsidR="00125FE2" w:rsidRPr="58BAADD2">
              <w:rPr>
                <w:rFonts w:asciiTheme="minorHAnsi" w:eastAsia="Malgun Gothic" w:hAnsiTheme="minorHAnsi" w:cstheme="minorBidi"/>
                <w:lang w:eastAsia="ko-KR"/>
              </w:rPr>
              <w:t>.</w:t>
            </w:r>
          </w:p>
          <w:p w14:paraId="475304A4" w14:textId="5A95A587" w:rsidR="00125FE2" w:rsidRPr="005873BA" w:rsidRDefault="00D27063" w:rsidP="00ED69D8">
            <w:pPr>
              <w:spacing w:after="120"/>
              <w:ind w:left="1142" w:hanging="360"/>
              <w:jc w:val="both"/>
              <w:rPr>
                <w:rFonts w:asciiTheme="minorHAnsi" w:eastAsia="Malgun Gothic" w:hAnsiTheme="minorHAnsi" w:cstheme="minorBidi"/>
                <w:lang w:eastAsia="ko-KR"/>
              </w:rPr>
            </w:pPr>
            <w:r w:rsidRPr="58BAADD2">
              <w:rPr>
                <w:rFonts w:asciiTheme="minorHAnsi" w:eastAsia="DengXian" w:hAnsiTheme="minorHAnsi" w:cstheme="minorBidi"/>
                <w:lang w:eastAsia="zh-CN"/>
              </w:rPr>
              <w:t>•</w:t>
            </w:r>
            <w:r>
              <w:tab/>
            </w:r>
            <w:r w:rsidR="00125FE2" w:rsidRPr="58BAADD2">
              <w:rPr>
                <w:rFonts w:asciiTheme="minorHAnsi" w:eastAsia="Malgun Gothic" w:hAnsiTheme="minorHAnsi" w:cstheme="minorBidi"/>
                <w:lang w:eastAsia="ko-KR"/>
              </w:rPr>
              <w:t xml:space="preserve">The </w:t>
            </w:r>
            <w:hyperlink r:id="rId34">
              <w:r w:rsidR="00125FE2" w:rsidRPr="58BAADD2">
                <w:rPr>
                  <w:rStyle w:val="Hyperlink"/>
                  <w:rFonts w:asciiTheme="minorHAnsi" w:eastAsia="Malgun Gothic" w:hAnsiTheme="minorHAnsi" w:cstheme="minorBidi"/>
                  <w:lang w:eastAsia="ko-KR"/>
                </w:rPr>
                <w:t>WSIS Stocktaking 2025 Report</w:t>
              </w:r>
            </w:hyperlink>
            <w:r w:rsidR="00125FE2" w:rsidRPr="58BAADD2">
              <w:rPr>
                <w:rFonts w:asciiTheme="minorHAnsi" w:eastAsia="Malgun Gothic" w:hAnsiTheme="minorHAnsi" w:cstheme="minorBidi"/>
                <w:lang w:eastAsia="ko-KR"/>
              </w:rPr>
              <w:t xml:space="preserve"> further illustrates the breadth of ICT-enabled development solutions, with numerous entries contributing to infrastructure </w:t>
            </w:r>
            <w:r w:rsidR="00125FE2" w:rsidRPr="58BAADD2">
              <w:rPr>
                <w:rFonts w:asciiTheme="minorHAnsi" w:eastAsia="Malgun Gothic" w:hAnsiTheme="minorHAnsi" w:cstheme="minorBidi"/>
                <w:lang w:eastAsia="ko-KR"/>
              </w:rPr>
              <w:lastRenderedPageBreak/>
              <w:t xml:space="preserve">resilience, capacity building, digital governance, and modernized public services. Complementing these initiatives, the </w:t>
            </w:r>
            <w:hyperlink r:id="rId35">
              <w:proofErr w:type="spellStart"/>
              <w:r w:rsidR="00125FE2" w:rsidRPr="58BAADD2">
                <w:rPr>
                  <w:rStyle w:val="Hyperlink"/>
                  <w:rFonts w:asciiTheme="minorHAnsi" w:eastAsia="Malgun Gothic" w:hAnsiTheme="minorHAnsi" w:cstheme="minorBidi"/>
                  <w:lang w:eastAsia="ko-KR"/>
                </w:rPr>
                <w:t>WSIS+20</w:t>
              </w:r>
              <w:proofErr w:type="spellEnd"/>
              <w:r w:rsidR="00125FE2" w:rsidRPr="58BAADD2">
                <w:rPr>
                  <w:rStyle w:val="Hyperlink"/>
                  <w:rFonts w:asciiTheme="minorHAnsi" w:eastAsia="Malgun Gothic" w:hAnsiTheme="minorHAnsi" w:cstheme="minorBidi"/>
                  <w:lang w:eastAsia="ko-KR"/>
                </w:rPr>
                <w:t xml:space="preserve"> High-Level Event 2025</w:t>
              </w:r>
            </w:hyperlink>
            <w:r w:rsidR="00125FE2" w:rsidRPr="58BAADD2">
              <w:rPr>
                <w:rFonts w:asciiTheme="minorHAnsi" w:eastAsia="Malgun Gothic" w:hAnsiTheme="minorHAnsi" w:cstheme="minorBidi"/>
                <w:lang w:eastAsia="ko-KR"/>
              </w:rPr>
              <w:t xml:space="preserve"> facilitated multi-sectoral, cross-border, and multi-stakeholder dialogues, knowledge-sharing sessions, and workshops that enabled the exchange of best practices, fostering scalable and replicable ICT-enabled solutions.</w:t>
            </w:r>
          </w:p>
          <w:p w14:paraId="56E5EE9A" w14:textId="13862BC5" w:rsidR="00125FE2" w:rsidRPr="005873BA" w:rsidRDefault="00D27063" w:rsidP="00ED69D8">
            <w:pPr>
              <w:spacing w:after="120"/>
              <w:ind w:left="1142" w:hanging="360"/>
              <w:jc w:val="both"/>
              <w:rPr>
                <w:rFonts w:asciiTheme="minorHAnsi" w:eastAsia="Malgun Gothic" w:hAnsiTheme="minorHAnsi" w:cstheme="minorBidi"/>
                <w:lang w:eastAsia="ko-KR"/>
              </w:rPr>
            </w:pPr>
            <w:r w:rsidRPr="58BAADD2">
              <w:rPr>
                <w:rFonts w:asciiTheme="minorHAnsi" w:eastAsia="DengXian" w:hAnsiTheme="minorHAnsi" w:cstheme="minorBidi"/>
                <w:lang w:eastAsia="zh-CN"/>
              </w:rPr>
              <w:t>•</w:t>
            </w:r>
            <w:r>
              <w:tab/>
            </w:r>
            <w:r w:rsidR="00125FE2" w:rsidRPr="58BAADD2">
              <w:rPr>
                <w:rFonts w:asciiTheme="minorHAnsi" w:eastAsia="Malgun Gothic" w:hAnsiTheme="minorHAnsi" w:cstheme="minorBidi"/>
                <w:lang w:eastAsia="ko-KR"/>
              </w:rPr>
              <w:t xml:space="preserve">Inclusion of future generations was reinforced through a dedicated </w:t>
            </w:r>
            <w:hyperlink r:id="rId36">
              <w:r w:rsidR="00125FE2" w:rsidRPr="58BAADD2">
                <w:rPr>
                  <w:rStyle w:val="Hyperlink"/>
                  <w:rFonts w:asciiTheme="minorHAnsi" w:eastAsia="Malgun Gothic" w:hAnsiTheme="minorHAnsi" w:cstheme="minorBidi"/>
                  <w:lang w:eastAsia="ko-KR"/>
                </w:rPr>
                <w:t xml:space="preserve">Youth track at </w:t>
              </w:r>
              <w:proofErr w:type="spellStart"/>
              <w:r w:rsidR="00125FE2" w:rsidRPr="58BAADD2">
                <w:rPr>
                  <w:rStyle w:val="Hyperlink"/>
                  <w:rFonts w:asciiTheme="minorHAnsi" w:eastAsia="Malgun Gothic" w:hAnsiTheme="minorHAnsi" w:cstheme="minorBidi"/>
                  <w:lang w:eastAsia="ko-KR"/>
                </w:rPr>
                <w:t>WSIS+20</w:t>
              </w:r>
              <w:proofErr w:type="spellEnd"/>
              <w:r w:rsidR="00125FE2" w:rsidRPr="58BAADD2">
                <w:rPr>
                  <w:rStyle w:val="Hyperlink"/>
                  <w:rFonts w:asciiTheme="minorHAnsi" w:eastAsia="Malgun Gothic" w:hAnsiTheme="minorHAnsi" w:cstheme="minorBidi"/>
                  <w:lang w:eastAsia="ko-KR"/>
                </w:rPr>
                <w:t xml:space="preserve"> </w:t>
              </w:r>
              <w:proofErr w:type="spellStart"/>
              <w:r w:rsidR="00125FE2" w:rsidRPr="58BAADD2">
                <w:rPr>
                  <w:rStyle w:val="Hyperlink"/>
                  <w:rFonts w:asciiTheme="minorHAnsi" w:eastAsia="Malgun Gothic" w:hAnsiTheme="minorHAnsi" w:cstheme="minorBidi"/>
                  <w:lang w:eastAsia="ko-KR"/>
                </w:rPr>
                <w:t>HLE</w:t>
              </w:r>
              <w:proofErr w:type="spellEnd"/>
              <w:r w:rsidR="00125FE2" w:rsidRPr="58BAADD2">
                <w:rPr>
                  <w:rStyle w:val="Hyperlink"/>
                  <w:rFonts w:asciiTheme="minorHAnsi" w:eastAsia="Malgun Gothic" w:hAnsiTheme="minorHAnsi" w:cstheme="minorBidi"/>
                  <w:lang w:eastAsia="ko-KR"/>
                </w:rPr>
                <w:t xml:space="preserve"> 2025</w:t>
              </w:r>
            </w:hyperlink>
            <w:r w:rsidR="00125FE2" w:rsidRPr="58BAADD2">
              <w:rPr>
                <w:rFonts w:asciiTheme="minorHAnsi" w:eastAsia="Malgun Gothic" w:hAnsiTheme="minorHAnsi" w:cstheme="minorBidi"/>
                <w:lang w:eastAsia="ko-KR"/>
              </w:rPr>
              <w:t>, which engaged over 300 young participants in interactive sessions and knowledge cafés, highlighting digital skills development, innovation, and meaningful participation in shaping digital development agendas.</w:t>
            </w:r>
          </w:p>
          <w:p w14:paraId="4DFF80C8" w14:textId="35A147C8" w:rsidR="00125FE2" w:rsidRPr="005873BA" w:rsidRDefault="00D27063" w:rsidP="00ED69D8">
            <w:pPr>
              <w:spacing w:after="120"/>
              <w:ind w:left="1142" w:hanging="360"/>
              <w:jc w:val="both"/>
              <w:rPr>
                <w:rFonts w:asciiTheme="minorHAnsi" w:eastAsia="Malgun Gothic" w:hAnsiTheme="minorHAnsi" w:cstheme="minorBidi"/>
                <w:b/>
                <w:bCs/>
                <w:lang w:eastAsia="ko-KR"/>
              </w:rPr>
            </w:pPr>
            <w:r w:rsidRPr="58BAADD2">
              <w:rPr>
                <w:rFonts w:asciiTheme="minorHAnsi" w:eastAsia="DengXian" w:hAnsiTheme="minorHAnsi" w:cstheme="minorBidi"/>
                <w:lang w:eastAsia="zh-CN"/>
              </w:rPr>
              <w:t>•</w:t>
            </w:r>
            <w:r>
              <w:tab/>
            </w:r>
            <w:r w:rsidR="00125FE2" w:rsidRPr="58BAADD2">
              <w:rPr>
                <w:rFonts w:asciiTheme="minorHAnsi" w:eastAsia="Malgun Gothic" w:hAnsiTheme="minorHAnsi" w:cstheme="minorBidi"/>
                <w:lang w:eastAsia="ko-KR"/>
              </w:rPr>
              <w:t>Collectively, these activities demonstrate ITU’s support for innovative, inclusive, and transformative solutions that advance sustainable development and ensure that no one is left behind.</w:t>
            </w:r>
          </w:p>
        </w:tc>
      </w:tr>
      <w:tr w:rsidR="00125FE2" w:rsidRPr="005873BA" w14:paraId="4707281B" w14:textId="77777777" w:rsidTr="00396299">
        <w:tc>
          <w:tcPr>
            <w:tcW w:w="9016" w:type="dxa"/>
          </w:tcPr>
          <w:p w14:paraId="346E5E61" w14:textId="4732B339" w:rsidR="00125FE2" w:rsidRPr="005873BA" w:rsidRDefault="48765123" w:rsidP="00ED69D8">
            <w:pPr>
              <w:spacing w:after="120"/>
              <w:ind w:left="326" w:hanging="360"/>
              <w:jc w:val="both"/>
              <w:rPr>
                <w:rFonts w:asciiTheme="minorHAnsi" w:eastAsia="DengXian" w:hAnsiTheme="minorHAnsi" w:cstheme="minorBidi"/>
                <w:b/>
                <w:bCs/>
                <w:lang w:eastAsia="zh-CN"/>
              </w:rPr>
            </w:pPr>
            <w:r w:rsidRPr="58BAADD2">
              <w:rPr>
                <w:rFonts w:asciiTheme="minorHAnsi" w:eastAsia="Malgun Gothic" w:hAnsiTheme="minorHAnsi" w:cstheme="minorBidi"/>
                <w:b/>
                <w:bCs/>
                <w:lang w:eastAsia="zh-CN"/>
              </w:rPr>
              <w:lastRenderedPageBreak/>
              <w:t>(c)</w:t>
            </w:r>
            <w:r w:rsidR="0016155B">
              <w:tab/>
            </w:r>
            <w:r w:rsidR="00125FE2" w:rsidRPr="58BAADD2">
              <w:rPr>
                <w:rFonts w:asciiTheme="minorHAnsi" w:eastAsia="Malgun Gothic" w:hAnsiTheme="minorHAnsi" w:cstheme="minorBidi"/>
                <w:b/>
                <w:bCs/>
                <w:lang w:eastAsia="ko-KR"/>
              </w:rPr>
              <w:t>Examples of efforts to enhance coordination on cross-cutting initiatives, programmes and activities aimed at scaling up impact across multiple Goals, given their interlinked nature</w:t>
            </w:r>
            <w:r w:rsidR="00125FE2" w:rsidRPr="58BAADD2">
              <w:rPr>
                <w:rFonts w:asciiTheme="minorHAnsi" w:eastAsia="DengXian" w:hAnsiTheme="minorHAnsi" w:cstheme="minorBidi"/>
                <w:b/>
                <w:bCs/>
                <w:lang w:eastAsia="zh-CN"/>
              </w:rPr>
              <w:t xml:space="preserve">: </w:t>
            </w:r>
          </w:p>
          <w:p w14:paraId="09277500" w14:textId="01005537" w:rsidR="00125FE2" w:rsidRPr="005873BA" w:rsidRDefault="00D27063" w:rsidP="00ED69D8">
            <w:pPr>
              <w:ind w:left="791" w:hanging="360"/>
              <w:jc w:val="both"/>
              <w:rPr>
                <w:rFonts w:asciiTheme="minorHAnsi" w:eastAsia="Malgun Gothic" w:hAnsiTheme="minorHAnsi" w:cstheme="minorBidi"/>
                <w:color w:val="000000"/>
                <w:lang w:eastAsia="ko-KR"/>
              </w:rPr>
            </w:pPr>
            <w:r w:rsidRPr="58BAADD2">
              <w:rPr>
                <w:rFonts w:asciiTheme="minorHAnsi" w:eastAsia="DengXian" w:hAnsiTheme="minorHAnsi" w:cstheme="minorBidi"/>
                <w:color w:val="000000" w:themeColor="text1"/>
                <w:lang w:eastAsia="ko-KR"/>
              </w:rPr>
              <w:t>–</w:t>
            </w:r>
            <w:r w:rsidR="004A5A7A">
              <w:tab/>
            </w:r>
            <w:r w:rsidR="004A5A7A">
              <w:tab/>
            </w:r>
            <w:r w:rsidR="00125FE2" w:rsidRPr="58BAADD2">
              <w:rPr>
                <w:rFonts w:asciiTheme="minorHAnsi" w:hAnsiTheme="minorHAnsi" w:cstheme="minorBidi"/>
                <w:color w:val="000000" w:themeColor="text1"/>
                <w:lang w:eastAsia="zh-CN"/>
              </w:rPr>
              <w:t xml:space="preserve">During the present review period, the </w:t>
            </w:r>
            <w:hyperlink r:id="rId37">
              <w:proofErr w:type="spellStart"/>
              <w:r w:rsidR="00125FE2" w:rsidRPr="58BAADD2">
                <w:rPr>
                  <w:rStyle w:val="Hyperlink"/>
                  <w:rFonts w:asciiTheme="minorHAnsi" w:eastAsia="DengXian" w:hAnsiTheme="minorHAnsi" w:cstheme="minorBidi"/>
                  <w:lang w:eastAsia="zh-CN"/>
                </w:rPr>
                <w:t>WSIS+20</w:t>
              </w:r>
              <w:proofErr w:type="spellEnd"/>
              <w:r w:rsidR="00125FE2" w:rsidRPr="58BAADD2">
                <w:rPr>
                  <w:rStyle w:val="Hyperlink"/>
                  <w:rFonts w:asciiTheme="minorHAnsi" w:eastAsia="DengXian" w:hAnsiTheme="minorHAnsi" w:cstheme="minorBidi"/>
                  <w:lang w:eastAsia="zh-CN"/>
                </w:rPr>
                <w:t xml:space="preserve"> High-Level Event 2025</w:t>
              </w:r>
            </w:hyperlink>
            <w:r w:rsidR="00125FE2" w:rsidRPr="58BAADD2">
              <w:rPr>
                <w:rFonts w:asciiTheme="minorHAnsi" w:hAnsiTheme="minorHAnsi" w:cstheme="minorBidi"/>
                <w:color w:val="000000" w:themeColor="text1"/>
                <w:lang w:eastAsia="zh-CN"/>
              </w:rPr>
              <w:t xml:space="preserve">, the </w:t>
            </w:r>
            <w:hyperlink r:id="rId38">
              <w:r w:rsidR="00125FE2" w:rsidRPr="58BAADD2">
                <w:rPr>
                  <w:rStyle w:val="Hyperlink"/>
                  <w:rFonts w:asciiTheme="minorHAnsi" w:eastAsia="DengXian" w:hAnsiTheme="minorHAnsi" w:cstheme="minorBidi"/>
                  <w:lang w:eastAsia="zh-CN"/>
                </w:rPr>
                <w:t>WSIS Stocktaking 2025 report</w:t>
              </w:r>
            </w:hyperlink>
            <w:r w:rsidR="00125FE2" w:rsidRPr="58BAADD2">
              <w:rPr>
                <w:rFonts w:asciiTheme="minorHAnsi" w:hAnsiTheme="minorHAnsi" w:cstheme="minorBidi"/>
                <w:color w:val="000000" w:themeColor="text1"/>
                <w:lang w:eastAsia="zh-CN"/>
              </w:rPr>
              <w:t xml:space="preserve">, the </w:t>
            </w:r>
            <w:hyperlink r:id="rId39">
              <w:r w:rsidR="00125FE2" w:rsidRPr="58BAADD2">
                <w:rPr>
                  <w:rStyle w:val="Hyperlink"/>
                  <w:rFonts w:asciiTheme="minorHAnsi" w:eastAsia="DengXian" w:hAnsiTheme="minorHAnsi" w:cstheme="minorBidi"/>
                  <w:lang w:eastAsia="zh-CN"/>
                </w:rPr>
                <w:t>WSIS Prizes 2025 contest</w:t>
              </w:r>
            </w:hyperlink>
            <w:r w:rsidR="00125FE2" w:rsidRPr="58BAADD2">
              <w:rPr>
                <w:rFonts w:asciiTheme="minorHAnsi" w:hAnsiTheme="minorHAnsi" w:cstheme="minorBidi"/>
                <w:color w:val="000000" w:themeColor="text1"/>
                <w:lang w:eastAsia="zh-CN"/>
              </w:rPr>
              <w:t xml:space="preserve">, and the work of the </w:t>
            </w:r>
            <w:proofErr w:type="spellStart"/>
            <w:r w:rsidR="00125FE2" w:rsidRPr="58BAADD2">
              <w:rPr>
                <w:rFonts w:asciiTheme="minorHAnsi" w:hAnsiTheme="minorHAnsi" w:cstheme="minorBidi"/>
                <w:color w:val="000000" w:themeColor="text1"/>
                <w:lang w:eastAsia="zh-CN"/>
              </w:rPr>
              <w:t>UNGIS</w:t>
            </w:r>
            <w:proofErr w:type="spellEnd"/>
            <w:r w:rsidR="00125FE2" w:rsidRPr="58BAADD2">
              <w:rPr>
                <w:rFonts w:asciiTheme="minorHAnsi" w:hAnsiTheme="minorHAnsi" w:cstheme="minorBidi"/>
                <w:color w:val="000000" w:themeColor="text1"/>
                <w:lang w:eastAsia="zh-CN"/>
              </w:rPr>
              <w:t>, have collectively advanced ICT-enabled solutions that support SDGs 6, 7, 9, 11, and 17. These mechanisms have accelerated progress by convening global stakeholders, documenting and showcasing scalable development projects, reinforcing UN system coordination, and highlighting innovation that strengthens digital cooperation and sustainable development.</w:t>
            </w:r>
          </w:p>
          <w:p w14:paraId="1521AFE0" w14:textId="1488FF6B" w:rsidR="00125FE2" w:rsidRPr="005873BA" w:rsidRDefault="00D27063" w:rsidP="00ED69D8">
            <w:pPr>
              <w:ind w:left="791" w:hanging="360"/>
              <w:jc w:val="both"/>
              <w:rPr>
                <w:rFonts w:asciiTheme="minorHAnsi" w:eastAsia="Malgun Gothic" w:hAnsiTheme="minorHAnsi" w:cstheme="minorBidi"/>
                <w:szCs w:val="24"/>
                <w:lang w:eastAsia="ko-KR"/>
              </w:rPr>
            </w:pPr>
            <w:r w:rsidRPr="58BAADD2">
              <w:rPr>
                <w:rFonts w:asciiTheme="minorHAnsi" w:eastAsia="DengXian" w:hAnsiTheme="minorHAnsi" w:cstheme="minorBidi"/>
                <w:lang w:eastAsia="zh-CN"/>
              </w:rPr>
              <w:t>–</w:t>
            </w:r>
            <w:r w:rsidR="004A5A7A">
              <w:tab/>
            </w:r>
            <w:r w:rsidR="004A5A7A">
              <w:tab/>
            </w:r>
            <w:r w:rsidR="00125FE2" w:rsidRPr="58BAADD2">
              <w:rPr>
                <w:rFonts w:asciiTheme="minorHAnsi" w:hAnsiTheme="minorHAnsi" w:cstheme="minorBidi"/>
                <w:lang w:eastAsia="zh-CN"/>
              </w:rPr>
              <w:t xml:space="preserve">In November 2024, the ITU and the International Cable Protection Committee launched </w:t>
            </w:r>
            <w:hyperlink r:id="rId40">
              <w:r w:rsidR="00125FE2" w:rsidRPr="58BAADD2">
                <w:rPr>
                  <w:rStyle w:val="Hyperlink"/>
                  <w:rFonts w:asciiTheme="minorHAnsi" w:eastAsia="DengXian" w:hAnsiTheme="minorHAnsi" w:cstheme="minorBidi"/>
                  <w:lang w:eastAsia="zh-CN"/>
                </w:rPr>
                <w:t>the International Advisory Body for Submarine Cable Resilience (IAB)</w:t>
              </w:r>
            </w:hyperlink>
            <w:r w:rsidR="00125FE2" w:rsidRPr="58BAADD2">
              <w:rPr>
                <w:rFonts w:asciiTheme="minorHAnsi" w:hAnsiTheme="minorHAnsi" w:cstheme="minorBidi"/>
                <w:lang w:eastAsia="zh-CN"/>
              </w:rPr>
              <w:t>. This multi-stakeholder initiative brings together representatives from governments, industry, civil society, and international organizations in a cooperative effort to address vulnerabilities and advance global best practices surrounding submarine cables.</w:t>
            </w:r>
            <w:r w:rsidR="00125FE2" w:rsidRPr="58BAADD2">
              <w:rPr>
                <w:rFonts w:asciiTheme="minorHAnsi" w:hAnsiTheme="minorHAnsi" w:cstheme="minorBidi"/>
              </w:rPr>
              <w:t xml:space="preserve"> </w:t>
            </w:r>
            <w:r w:rsidR="00125FE2" w:rsidRPr="58BAADD2">
              <w:rPr>
                <w:rFonts w:asciiTheme="minorHAnsi" w:hAnsiTheme="minorHAnsi" w:cstheme="minorBidi"/>
                <w:lang w:eastAsia="zh-CN"/>
              </w:rPr>
              <w:t>It specifically addresses issues such as improving cable maintenance, preventing damage from natural hazards and human activities, ensuring faster recovery times after disruptions, increase redundancy and promoting sustainable practices in the industry. In addition, it works to help strengthen cooperation between countries and companies to protect this vital infrastructure that underpins global communications and the digital economy.</w:t>
            </w:r>
          </w:p>
          <w:p w14:paraId="03FFBC9F" w14:textId="325AC643" w:rsidR="00125FE2" w:rsidRPr="005873BA" w:rsidRDefault="004A5A7A" w:rsidP="00ED69D8">
            <w:pPr>
              <w:ind w:left="791" w:hanging="360"/>
              <w:jc w:val="both"/>
              <w:rPr>
                <w:rFonts w:asciiTheme="minorHAnsi" w:eastAsia="Malgun Gothic" w:hAnsiTheme="minorHAnsi" w:cstheme="minorBidi"/>
                <w:szCs w:val="24"/>
                <w:lang w:eastAsia="ko-KR"/>
              </w:rPr>
            </w:pPr>
            <w:r>
              <w:rPr>
                <w:rFonts w:asciiTheme="minorHAnsi" w:eastAsia="DengXian" w:hAnsiTheme="minorHAnsi" w:cstheme="minorBidi"/>
                <w:szCs w:val="24"/>
                <w:lang w:eastAsia="zh-CN"/>
              </w:rPr>
              <w:tab/>
            </w:r>
            <w:r>
              <w:rPr>
                <w:rFonts w:asciiTheme="minorHAnsi" w:eastAsia="DengXian" w:hAnsiTheme="minorHAnsi" w:cstheme="minorBidi"/>
                <w:szCs w:val="24"/>
                <w:lang w:eastAsia="zh-CN"/>
              </w:rPr>
              <w:tab/>
            </w:r>
            <w:r w:rsidR="00125FE2" w:rsidRPr="58BAADD2">
              <w:rPr>
                <w:rFonts w:asciiTheme="minorHAnsi" w:eastAsia="DengXian" w:hAnsiTheme="minorHAnsi" w:cstheme="minorBidi"/>
                <w:szCs w:val="24"/>
                <w:lang w:eastAsia="zh-CN"/>
              </w:rPr>
              <w:t xml:space="preserve">The IAB’s inclusive structure encourages cross-sectoral dialogue, helping to harmonize national legal frameworks and regional practices. Five intergovernmental organizations have a consultative role within the Body: FAO, IMO, </w:t>
            </w:r>
            <w:proofErr w:type="spellStart"/>
            <w:r w:rsidR="00125FE2" w:rsidRPr="58BAADD2">
              <w:rPr>
                <w:rFonts w:asciiTheme="minorHAnsi" w:eastAsia="DengXian" w:hAnsiTheme="minorHAnsi" w:cstheme="minorBidi"/>
                <w:szCs w:val="24"/>
                <w:lang w:eastAsia="zh-CN"/>
              </w:rPr>
              <w:t>UNIDIR</w:t>
            </w:r>
            <w:proofErr w:type="spellEnd"/>
            <w:r w:rsidR="00125FE2" w:rsidRPr="58BAADD2">
              <w:rPr>
                <w:rFonts w:asciiTheme="minorHAnsi" w:eastAsia="DengXian" w:hAnsiTheme="minorHAnsi" w:cstheme="minorBidi"/>
                <w:szCs w:val="24"/>
                <w:lang w:eastAsia="zh-CN"/>
              </w:rPr>
              <w:t xml:space="preserve">, </w:t>
            </w:r>
            <w:proofErr w:type="spellStart"/>
            <w:r w:rsidR="00125FE2" w:rsidRPr="58BAADD2">
              <w:rPr>
                <w:rFonts w:asciiTheme="minorHAnsi" w:eastAsia="DengXian" w:hAnsiTheme="minorHAnsi" w:cstheme="minorBidi"/>
                <w:szCs w:val="24"/>
                <w:lang w:eastAsia="zh-CN"/>
              </w:rPr>
              <w:t>UNDOALOS</w:t>
            </w:r>
            <w:proofErr w:type="spellEnd"/>
            <w:r w:rsidR="00125FE2" w:rsidRPr="58BAADD2">
              <w:rPr>
                <w:rFonts w:asciiTheme="minorHAnsi" w:eastAsia="DengXian" w:hAnsiTheme="minorHAnsi" w:cstheme="minorBidi"/>
                <w:szCs w:val="24"/>
                <w:lang w:eastAsia="zh-CN"/>
              </w:rPr>
              <w:t xml:space="preserve"> and UNODC. These organisations are relevant not only because of their mandates, but also because they already work on issues that directly intersect with submarine cable governance, such as maritime regulation, ocean resource management, security, or even conflict prevention. Their participation ensures coherence and avoids duplication of efforts while creating synergy.</w:t>
            </w:r>
          </w:p>
          <w:p w14:paraId="5EA292A6" w14:textId="1F066804" w:rsidR="00125FE2" w:rsidRPr="005873BA" w:rsidRDefault="005873BA" w:rsidP="00ED69D8">
            <w:pPr>
              <w:ind w:left="791" w:hanging="360"/>
              <w:jc w:val="both"/>
              <w:rPr>
                <w:rFonts w:asciiTheme="minorHAnsi" w:eastAsia="Malgun Gothic" w:hAnsiTheme="minorHAnsi" w:cstheme="minorBidi"/>
                <w:szCs w:val="24"/>
                <w:lang w:eastAsia="ko-KR"/>
              </w:rPr>
            </w:pPr>
            <w:r w:rsidRPr="005873BA">
              <w:rPr>
                <w:rFonts w:asciiTheme="minorHAnsi" w:eastAsia="Malgun Gothic" w:hAnsiTheme="minorHAnsi" w:cstheme="minorHAnsi"/>
                <w:szCs w:val="24"/>
                <w:lang w:eastAsia="ko-KR"/>
              </w:rPr>
              <w:lastRenderedPageBreak/>
              <w:tab/>
            </w:r>
            <w:r w:rsidR="004A5A7A">
              <w:rPr>
                <w:rFonts w:asciiTheme="minorHAnsi" w:hAnsiTheme="minorHAnsi" w:cstheme="minorBidi"/>
                <w:szCs w:val="24"/>
                <w:lang w:eastAsia="zh-CN"/>
              </w:rPr>
              <w:tab/>
            </w:r>
            <w:r w:rsidR="00125FE2" w:rsidRPr="58BAADD2">
              <w:rPr>
                <w:rFonts w:asciiTheme="minorHAnsi" w:hAnsiTheme="minorHAnsi" w:cstheme="minorBidi"/>
                <w:szCs w:val="24"/>
                <w:lang w:eastAsia="zh-CN"/>
              </w:rPr>
              <w:t xml:space="preserve">In July 2025, ITU submitted a note to the </w:t>
            </w:r>
            <w:proofErr w:type="spellStart"/>
            <w:r w:rsidR="00125FE2" w:rsidRPr="58BAADD2">
              <w:rPr>
                <w:rFonts w:asciiTheme="minorHAnsi" w:hAnsiTheme="minorHAnsi" w:cstheme="minorBidi"/>
                <w:szCs w:val="24"/>
                <w:lang w:eastAsia="zh-CN"/>
              </w:rPr>
              <w:t>IMO's</w:t>
            </w:r>
            <w:proofErr w:type="spellEnd"/>
            <w:r w:rsidR="00125FE2" w:rsidRPr="58BAADD2">
              <w:rPr>
                <w:rFonts w:asciiTheme="minorHAnsi" w:hAnsiTheme="minorHAnsi" w:cstheme="minorBidi"/>
                <w:szCs w:val="24"/>
                <w:lang w:eastAsia="zh-CN"/>
              </w:rPr>
              <w:t xml:space="preserve"> Maritime Safety Committee (MSC) meetings regarding updates on the resilience of telecommunication submarine cable, and also made a similar statement at the International Seabed Authority's Council meeting.</w:t>
            </w:r>
          </w:p>
          <w:p w14:paraId="1DE0CD23" w14:textId="34F2C57C" w:rsidR="00125FE2" w:rsidRPr="005873BA" w:rsidRDefault="00D27063" w:rsidP="00ED69D8">
            <w:pPr>
              <w:ind w:left="791" w:hanging="360"/>
              <w:jc w:val="both"/>
              <w:rPr>
                <w:rFonts w:asciiTheme="minorHAnsi" w:hAnsiTheme="minorHAnsi" w:cstheme="minorBidi"/>
                <w:lang w:eastAsia="zh-CN"/>
              </w:rPr>
            </w:pPr>
            <w:r w:rsidRPr="58BAADD2">
              <w:rPr>
                <w:rFonts w:asciiTheme="minorHAnsi" w:eastAsia="DengXian" w:hAnsiTheme="minorHAnsi" w:cstheme="minorBidi"/>
                <w:lang w:eastAsia="zh-CN"/>
              </w:rPr>
              <w:t>–</w:t>
            </w:r>
            <w:r w:rsidR="004A5A7A">
              <w:tab/>
            </w:r>
            <w:r w:rsidR="004A5A7A">
              <w:tab/>
            </w:r>
            <w:proofErr w:type="spellStart"/>
            <w:r w:rsidR="00125FE2" w:rsidRPr="58BAADD2">
              <w:rPr>
                <w:rFonts w:asciiTheme="minorHAnsi" w:hAnsiTheme="minorHAnsi" w:cstheme="minorBidi"/>
                <w:lang w:eastAsia="zh-CN"/>
              </w:rPr>
              <w:t>Partner2Connect</w:t>
            </w:r>
            <w:proofErr w:type="spellEnd"/>
            <w:r w:rsidR="00125FE2" w:rsidRPr="58BAADD2">
              <w:rPr>
                <w:rFonts w:asciiTheme="minorHAnsi" w:hAnsiTheme="minorHAnsi" w:cstheme="minorBidi"/>
                <w:lang w:eastAsia="zh-CN"/>
              </w:rPr>
              <w:t xml:space="preserve"> strengthens coordination by providing a transparent global platform that promotes partnerships and facilitates matchmaking. </w:t>
            </w:r>
            <w:proofErr w:type="spellStart"/>
            <w:r w:rsidR="00125FE2" w:rsidRPr="58BAADD2">
              <w:rPr>
                <w:rFonts w:asciiTheme="minorHAnsi" w:hAnsiTheme="minorHAnsi" w:cstheme="minorBidi"/>
                <w:lang w:eastAsia="zh-CN"/>
              </w:rPr>
              <w:t>P2C</w:t>
            </w:r>
            <w:proofErr w:type="spellEnd"/>
            <w:r w:rsidR="00125FE2" w:rsidRPr="58BAADD2">
              <w:rPr>
                <w:rFonts w:asciiTheme="minorHAnsi" w:hAnsiTheme="minorHAnsi" w:cstheme="minorBidi"/>
                <w:lang w:eastAsia="zh-CN"/>
              </w:rPr>
              <w:t xml:space="preserve"> helps governments and stakeholders identify relevant pledges and connect with suitable partners, while dedicated support mechanisms advance implementation. Throughout 2025, the </w:t>
            </w:r>
            <w:proofErr w:type="spellStart"/>
            <w:r w:rsidR="00125FE2" w:rsidRPr="58BAADD2">
              <w:rPr>
                <w:rFonts w:asciiTheme="minorHAnsi" w:hAnsiTheme="minorHAnsi" w:cstheme="minorBidi"/>
                <w:lang w:eastAsia="zh-CN"/>
              </w:rPr>
              <w:t>P2C</w:t>
            </w:r>
            <w:proofErr w:type="spellEnd"/>
            <w:r w:rsidR="00125FE2" w:rsidRPr="58BAADD2">
              <w:rPr>
                <w:rFonts w:asciiTheme="minorHAnsi" w:hAnsiTheme="minorHAnsi" w:cstheme="minorBidi"/>
                <w:lang w:eastAsia="zh-CN"/>
              </w:rPr>
              <w:t xml:space="preserve"> Matchmaking Accelerator Series (held in the Caribbean, Guatemala and Jamaica) created focused spaces for countries to present priorities and for pledgers to engage on concrete opportunities. New collaborations with multilateral development banks, the private sector and UN entities further reinforced </w:t>
            </w:r>
            <w:proofErr w:type="spellStart"/>
            <w:r w:rsidR="00125FE2" w:rsidRPr="58BAADD2">
              <w:rPr>
                <w:rFonts w:asciiTheme="minorHAnsi" w:hAnsiTheme="minorHAnsi" w:cstheme="minorBidi"/>
                <w:lang w:eastAsia="zh-CN"/>
              </w:rPr>
              <w:t>P2C’s</w:t>
            </w:r>
            <w:proofErr w:type="spellEnd"/>
            <w:r w:rsidR="00125FE2" w:rsidRPr="58BAADD2">
              <w:rPr>
                <w:rFonts w:asciiTheme="minorHAnsi" w:hAnsiTheme="minorHAnsi" w:cstheme="minorBidi"/>
                <w:lang w:eastAsia="zh-CN"/>
              </w:rPr>
              <w:t xml:space="preserve"> role as a catalyst for inclusive and sustainable digital transformation.</w:t>
            </w:r>
          </w:p>
          <w:p w14:paraId="542A8198" w14:textId="0E6ECD49" w:rsidR="00125FE2" w:rsidRPr="005873BA" w:rsidRDefault="00D27063" w:rsidP="00ED69D8">
            <w:pPr>
              <w:ind w:left="791" w:hanging="360"/>
              <w:jc w:val="both"/>
              <w:rPr>
                <w:rFonts w:asciiTheme="minorHAnsi" w:hAnsiTheme="minorHAnsi" w:cstheme="minorBidi"/>
                <w:lang w:eastAsia="zh-CN"/>
              </w:rPr>
            </w:pPr>
            <w:r w:rsidRPr="58BAADD2">
              <w:rPr>
                <w:rFonts w:asciiTheme="minorHAnsi" w:eastAsia="DengXian" w:hAnsiTheme="minorHAnsi" w:cstheme="minorBidi"/>
                <w:lang w:eastAsia="zh-CN"/>
              </w:rPr>
              <w:t>–</w:t>
            </w:r>
            <w:r w:rsidR="004A5A7A">
              <w:tab/>
            </w:r>
            <w:r w:rsidR="004A5A7A">
              <w:tab/>
            </w:r>
            <w:r w:rsidR="00125FE2" w:rsidRPr="58BAADD2">
              <w:rPr>
                <w:rFonts w:asciiTheme="minorHAnsi" w:hAnsiTheme="minorHAnsi" w:cstheme="minorBidi"/>
                <w:lang w:eastAsia="zh-CN"/>
              </w:rPr>
              <w:t xml:space="preserve">The Broadband Commission for Sustainable Development founded in 2010 by the ITU, UNESCO, H.E. President Paul Kagame of Rwanda, and Carlos Slim Helú, as the UN flagship public-private collaboration, has elevated universal broadband connectivity to the forefront of global policy discussions. The Broadband Commission's work serves as a policy and programmatic guide for national and international action in broadband development and for achieving universal connectivity, advancing </w:t>
            </w:r>
            <w:proofErr w:type="spellStart"/>
            <w:r w:rsidR="00125FE2" w:rsidRPr="58BAADD2">
              <w:rPr>
                <w:rFonts w:asciiTheme="minorHAnsi" w:hAnsiTheme="minorHAnsi" w:cstheme="minorBidi"/>
                <w:lang w:eastAsia="zh-CN"/>
              </w:rPr>
              <w:t>SDG9</w:t>
            </w:r>
            <w:proofErr w:type="spellEnd"/>
            <w:r w:rsidR="00125FE2" w:rsidRPr="58BAADD2">
              <w:rPr>
                <w:rFonts w:asciiTheme="minorHAnsi" w:hAnsiTheme="minorHAnsi" w:cstheme="minorBidi"/>
                <w:lang w:eastAsia="zh-CN"/>
              </w:rPr>
              <w:t xml:space="preserve"> and </w:t>
            </w:r>
            <w:proofErr w:type="spellStart"/>
            <w:r w:rsidR="00125FE2" w:rsidRPr="58BAADD2">
              <w:rPr>
                <w:rFonts w:asciiTheme="minorHAnsi" w:hAnsiTheme="minorHAnsi" w:cstheme="minorBidi"/>
                <w:lang w:eastAsia="zh-CN"/>
              </w:rPr>
              <w:t>SDG17</w:t>
            </w:r>
            <w:proofErr w:type="spellEnd"/>
            <w:r w:rsidR="00125FE2" w:rsidRPr="58BAADD2">
              <w:rPr>
                <w:rFonts w:asciiTheme="minorHAnsi" w:hAnsiTheme="minorHAnsi" w:cstheme="minorBidi"/>
                <w:lang w:eastAsia="zh-CN"/>
              </w:rPr>
              <w:t>. In 2025 the Commission commemorates its 15th anniversary of global advocacy and impact.</w:t>
            </w:r>
          </w:p>
          <w:p w14:paraId="7DBA81CD" w14:textId="3ABF4048" w:rsidR="00125FE2" w:rsidRPr="005873BA" w:rsidRDefault="00D27063" w:rsidP="00ED69D8">
            <w:pPr>
              <w:spacing w:after="120"/>
              <w:ind w:left="791" w:hanging="360"/>
              <w:jc w:val="both"/>
              <w:rPr>
                <w:rFonts w:asciiTheme="minorHAnsi" w:eastAsia="DengXian" w:hAnsiTheme="minorHAnsi" w:cstheme="minorBidi"/>
                <w:lang w:eastAsia="zh-CN"/>
              </w:rPr>
            </w:pPr>
            <w:r w:rsidRPr="58BAADD2">
              <w:rPr>
                <w:rFonts w:asciiTheme="minorHAnsi" w:eastAsia="DengXian" w:hAnsiTheme="minorHAnsi" w:cstheme="minorBidi"/>
                <w:lang w:eastAsia="zh-CN"/>
              </w:rPr>
              <w:t>–</w:t>
            </w:r>
            <w:r w:rsidR="004A5A7A">
              <w:tab/>
            </w:r>
            <w:r w:rsidR="004A5A7A">
              <w:tab/>
            </w:r>
            <w:r w:rsidR="00125FE2" w:rsidRPr="58BAADD2">
              <w:rPr>
                <w:rFonts w:asciiTheme="minorHAnsi" w:eastAsia="DengXian" w:hAnsiTheme="minorHAnsi" w:cstheme="minorBidi"/>
                <w:lang w:eastAsia="zh-CN"/>
              </w:rPr>
              <w:t xml:space="preserve">Led by ITU, the WSIS structures and </w:t>
            </w:r>
            <w:proofErr w:type="spellStart"/>
            <w:r w:rsidR="00125FE2" w:rsidRPr="58BAADD2">
              <w:rPr>
                <w:rFonts w:asciiTheme="minorHAnsi" w:eastAsia="DengXian" w:hAnsiTheme="minorHAnsi" w:cstheme="minorBidi"/>
                <w:lang w:eastAsia="zh-CN"/>
              </w:rPr>
              <w:t>UNGIS</w:t>
            </w:r>
            <w:proofErr w:type="spellEnd"/>
            <w:r w:rsidR="00125FE2" w:rsidRPr="58BAADD2">
              <w:rPr>
                <w:rFonts w:asciiTheme="minorHAnsi" w:eastAsia="DengXian" w:hAnsiTheme="minorHAnsi" w:cstheme="minorBidi"/>
                <w:lang w:eastAsia="zh-CN"/>
              </w:rPr>
              <w:t xml:space="preserve"> coordination have led to stronger cross-cutting approaches in several areas:</w:t>
            </w:r>
          </w:p>
          <w:p w14:paraId="771290A7" w14:textId="01769584" w:rsidR="00125FE2" w:rsidRPr="005873BA" w:rsidRDefault="00D27063" w:rsidP="00ED69D8">
            <w:pPr>
              <w:spacing w:after="120"/>
              <w:ind w:left="1142" w:hanging="360"/>
              <w:jc w:val="both"/>
              <w:rPr>
                <w:rFonts w:asciiTheme="minorHAnsi" w:eastAsia="DengXian" w:hAnsiTheme="minorHAnsi" w:cstheme="minorBidi"/>
                <w:lang w:eastAsia="zh-CN"/>
              </w:rPr>
            </w:pPr>
            <w:r w:rsidRPr="58BAADD2">
              <w:rPr>
                <w:rFonts w:asciiTheme="minorHAnsi" w:eastAsia="DengXian" w:hAnsiTheme="minorHAnsi" w:cstheme="minorBidi"/>
                <w:lang w:eastAsia="zh-CN"/>
              </w:rPr>
              <w:t>•</w:t>
            </w:r>
            <w:r>
              <w:tab/>
            </w:r>
            <w:proofErr w:type="spellStart"/>
            <w:r w:rsidR="00125FE2" w:rsidRPr="58BAADD2">
              <w:rPr>
                <w:rFonts w:asciiTheme="minorHAnsi" w:eastAsia="DengXian" w:hAnsiTheme="minorHAnsi" w:cstheme="minorBidi"/>
                <w:lang w:eastAsia="zh-CN"/>
              </w:rPr>
              <w:t>WSIS+20</w:t>
            </w:r>
            <w:proofErr w:type="spellEnd"/>
            <w:r w:rsidR="00125FE2" w:rsidRPr="58BAADD2">
              <w:rPr>
                <w:rFonts w:asciiTheme="minorHAnsi" w:eastAsia="DengXian" w:hAnsiTheme="minorHAnsi" w:cstheme="minorBidi"/>
                <w:lang w:eastAsia="zh-CN"/>
              </w:rPr>
              <w:t xml:space="preserve"> </w:t>
            </w:r>
            <w:proofErr w:type="spellStart"/>
            <w:r w:rsidR="00125FE2" w:rsidRPr="58BAADD2">
              <w:rPr>
                <w:rFonts w:asciiTheme="minorHAnsi" w:eastAsia="DengXian" w:hAnsiTheme="minorHAnsi" w:cstheme="minorBidi"/>
                <w:lang w:eastAsia="zh-CN"/>
              </w:rPr>
              <w:t>HLE</w:t>
            </w:r>
            <w:proofErr w:type="spellEnd"/>
            <w:r w:rsidR="00125FE2" w:rsidRPr="58BAADD2">
              <w:rPr>
                <w:rFonts w:asciiTheme="minorHAnsi" w:eastAsia="DengXian" w:hAnsiTheme="minorHAnsi" w:cstheme="minorBidi"/>
                <w:lang w:eastAsia="zh-CN"/>
              </w:rPr>
              <w:t xml:space="preserve"> 2025 preparatory meetings have consolidated insights ITU, UNESCO, UNDP, UNCTAD, UN Regional Commissions, and other UN entities, ensuring that digital solutions to water, energy, infrastructure and urban challenges are addressed cohesively.</w:t>
            </w:r>
          </w:p>
          <w:p w14:paraId="1E444830" w14:textId="24ACC09F" w:rsidR="00125FE2" w:rsidRPr="005873BA" w:rsidRDefault="00D27063" w:rsidP="00ED69D8">
            <w:pPr>
              <w:spacing w:after="120"/>
              <w:ind w:left="1142" w:hanging="360"/>
              <w:jc w:val="both"/>
              <w:rPr>
                <w:rFonts w:asciiTheme="minorHAnsi" w:eastAsia="DengXian" w:hAnsiTheme="minorHAnsi" w:cstheme="minorBidi"/>
                <w:lang w:eastAsia="zh-CN"/>
              </w:rPr>
            </w:pPr>
            <w:r w:rsidRPr="58BAADD2">
              <w:rPr>
                <w:rFonts w:asciiTheme="minorHAnsi" w:eastAsia="DengXian" w:hAnsiTheme="minorHAnsi" w:cstheme="minorBidi"/>
                <w:lang w:eastAsia="zh-CN"/>
              </w:rPr>
              <w:t>•</w:t>
            </w:r>
            <w:r>
              <w:tab/>
            </w:r>
            <w:proofErr w:type="spellStart"/>
            <w:r w:rsidR="00125FE2" w:rsidRPr="58BAADD2">
              <w:rPr>
                <w:rFonts w:asciiTheme="minorHAnsi" w:eastAsia="DengXian" w:hAnsiTheme="minorHAnsi" w:cstheme="minorBidi"/>
                <w:lang w:eastAsia="zh-CN"/>
              </w:rPr>
              <w:t>UNGIS</w:t>
            </w:r>
            <w:proofErr w:type="spellEnd"/>
            <w:r w:rsidR="00125FE2" w:rsidRPr="58BAADD2">
              <w:rPr>
                <w:rFonts w:asciiTheme="minorHAnsi" w:eastAsia="DengXian" w:hAnsiTheme="minorHAnsi" w:cstheme="minorBidi"/>
                <w:lang w:eastAsia="zh-CN"/>
              </w:rPr>
              <w:t xml:space="preserve"> joint initiatives focus on integrated digital cooperation, including integration of the Global Digital Compact into the WSIS architecture, which spans all reviewed SDGs. Following the Summit of the Future, the </w:t>
            </w:r>
            <w:hyperlink r:id="rId41">
              <w:r w:rsidR="00125FE2" w:rsidRPr="58BAADD2">
                <w:rPr>
                  <w:rStyle w:val="Hyperlink"/>
                  <w:rFonts w:asciiTheme="minorHAnsi" w:hAnsiTheme="minorHAnsi" w:cstheme="minorBidi"/>
                </w:rPr>
                <w:t>WSIS-SDG-</w:t>
              </w:r>
              <w:proofErr w:type="spellStart"/>
              <w:r w:rsidR="00125FE2" w:rsidRPr="58BAADD2">
                <w:rPr>
                  <w:rStyle w:val="Hyperlink"/>
                  <w:rFonts w:asciiTheme="minorHAnsi" w:hAnsiTheme="minorHAnsi" w:cstheme="minorBidi"/>
                </w:rPr>
                <w:t>GDC</w:t>
              </w:r>
              <w:proofErr w:type="spellEnd"/>
              <w:r w:rsidR="00125FE2" w:rsidRPr="58BAADD2">
                <w:rPr>
                  <w:rStyle w:val="Hyperlink"/>
                  <w:rFonts w:asciiTheme="minorHAnsi" w:hAnsiTheme="minorHAnsi" w:cstheme="minorBidi"/>
                </w:rPr>
                <w:t xml:space="preserve"> Matrix</w:t>
              </w:r>
            </w:hyperlink>
            <w:r w:rsidR="00125FE2" w:rsidRPr="58BAADD2">
              <w:rPr>
                <w:rFonts w:asciiTheme="minorHAnsi" w:eastAsia="DengXian" w:hAnsiTheme="minorHAnsi" w:cstheme="minorBidi"/>
                <w:lang w:eastAsia="zh-CN"/>
              </w:rPr>
              <w:t xml:space="preserve"> was prepared in consultation with WSIS Action Lines facilitators and. </w:t>
            </w:r>
            <w:proofErr w:type="spellStart"/>
            <w:r w:rsidR="00125FE2" w:rsidRPr="58BAADD2">
              <w:rPr>
                <w:rFonts w:asciiTheme="minorHAnsi" w:eastAsia="DengXian" w:hAnsiTheme="minorHAnsi" w:cstheme="minorBidi"/>
                <w:lang w:eastAsia="zh-CN"/>
              </w:rPr>
              <w:t>UNGIS</w:t>
            </w:r>
            <w:proofErr w:type="spellEnd"/>
            <w:r w:rsidR="00125FE2" w:rsidRPr="58BAADD2">
              <w:rPr>
                <w:rFonts w:asciiTheme="minorHAnsi" w:eastAsia="DengXian" w:hAnsiTheme="minorHAnsi" w:cstheme="minorBidi"/>
                <w:lang w:eastAsia="zh-CN"/>
              </w:rPr>
              <w:t> members.</w:t>
            </w:r>
          </w:p>
          <w:p w14:paraId="3C92141B" w14:textId="79491B02" w:rsidR="00125FE2" w:rsidRPr="005873BA" w:rsidRDefault="00D27063" w:rsidP="00ED69D8">
            <w:pPr>
              <w:spacing w:after="120"/>
              <w:ind w:left="1142" w:hanging="360"/>
              <w:jc w:val="both"/>
              <w:rPr>
                <w:rFonts w:asciiTheme="minorHAnsi" w:eastAsia="DengXian" w:hAnsiTheme="minorHAnsi" w:cstheme="minorBidi"/>
                <w:lang w:eastAsia="zh-CN"/>
              </w:rPr>
            </w:pPr>
            <w:r w:rsidRPr="58BAADD2">
              <w:rPr>
                <w:rFonts w:asciiTheme="minorHAnsi" w:eastAsia="DengXian" w:hAnsiTheme="minorHAnsi" w:cstheme="minorBidi"/>
                <w:lang w:eastAsia="zh-CN"/>
              </w:rPr>
              <w:t>•</w:t>
            </w:r>
            <w:r>
              <w:tab/>
            </w:r>
            <w:r w:rsidR="00125FE2" w:rsidRPr="58BAADD2">
              <w:rPr>
                <w:rFonts w:asciiTheme="minorHAnsi" w:eastAsia="DengXian" w:hAnsiTheme="minorHAnsi" w:cstheme="minorBidi"/>
                <w:lang w:eastAsia="zh-CN"/>
              </w:rPr>
              <w:t xml:space="preserve">Inter-agency coordination on data and indicators, particularly through the Partnership on Measuring ICT for Development, led by ITU, UNESCO, UNCTAD, strengthens a shared evidence base that supports SDG planning, monitoring, and reporting, particularly for SDG </w:t>
            </w:r>
            <w:proofErr w:type="spellStart"/>
            <w:r w:rsidR="00125FE2" w:rsidRPr="58BAADD2">
              <w:rPr>
                <w:rFonts w:asciiTheme="minorHAnsi" w:eastAsia="DengXian" w:hAnsiTheme="minorHAnsi" w:cstheme="minorBidi"/>
                <w:lang w:eastAsia="zh-CN"/>
              </w:rPr>
              <w:t>9.c</w:t>
            </w:r>
            <w:proofErr w:type="spellEnd"/>
            <w:r w:rsidR="00125FE2" w:rsidRPr="58BAADD2">
              <w:rPr>
                <w:rFonts w:asciiTheme="minorHAnsi" w:eastAsia="DengXian" w:hAnsiTheme="minorHAnsi" w:cstheme="minorBidi"/>
                <w:lang w:eastAsia="zh-CN"/>
              </w:rPr>
              <w:t xml:space="preserve"> (“Significantly increase access to information and communications technology”) and related goals.</w:t>
            </w:r>
          </w:p>
          <w:p w14:paraId="4B1A3244" w14:textId="77777777" w:rsidR="00125FE2" w:rsidRPr="005873BA" w:rsidRDefault="00125FE2" w:rsidP="00ED69D8">
            <w:pPr>
              <w:tabs>
                <w:tab w:val="clear" w:pos="567"/>
                <w:tab w:val="clear" w:pos="1134"/>
                <w:tab w:val="clear" w:pos="1701"/>
                <w:tab w:val="clear" w:pos="2268"/>
                <w:tab w:val="clear" w:pos="2835"/>
              </w:tabs>
              <w:overflowPunct/>
              <w:autoSpaceDE/>
              <w:autoSpaceDN/>
              <w:adjustRightInd/>
              <w:spacing w:after="120" w:line="259" w:lineRule="auto"/>
              <w:jc w:val="both"/>
              <w:textAlignment w:val="auto"/>
              <w:rPr>
                <w:rFonts w:asciiTheme="minorHAnsi" w:eastAsia="DengXian" w:hAnsiTheme="minorHAnsi" w:cstheme="minorBidi"/>
                <w:b/>
                <w:bCs/>
                <w:lang w:eastAsia="zh-CN"/>
              </w:rPr>
            </w:pPr>
            <w:r w:rsidRPr="58BAADD2">
              <w:rPr>
                <w:rFonts w:asciiTheme="minorHAnsi" w:eastAsia="DengXian" w:hAnsiTheme="minorHAnsi" w:cstheme="minorBidi"/>
                <w:b/>
                <w:bCs/>
                <w:lang w:eastAsia="zh-CN"/>
              </w:rPr>
              <w:t>For full list of examples of specific actions taken by ITU accelerate progress towards the cluster of SDG targets in review this year see Annex 1 below.</w:t>
            </w:r>
          </w:p>
        </w:tc>
      </w:tr>
      <w:tr w:rsidR="00125FE2" w:rsidRPr="005873BA" w14:paraId="36710868" w14:textId="77777777" w:rsidTr="00396299">
        <w:tc>
          <w:tcPr>
            <w:tcW w:w="9016" w:type="dxa"/>
          </w:tcPr>
          <w:p w14:paraId="789A5FA2" w14:textId="1C3582B1" w:rsidR="00125FE2" w:rsidRPr="005873BA" w:rsidRDefault="48765123" w:rsidP="00ED69D8">
            <w:pPr>
              <w:keepNext/>
              <w:tabs>
                <w:tab w:val="clear" w:pos="567"/>
                <w:tab w:val="clear" w:pos="1134"/>
                <w:tab w:val="clear" w:pos="1701"/>
                <w:tab w:val="clear" w:pos="2268"/>
                <w:tab w:val="clear" w:pos="2835"/>
              </w:tabs>
              <w:overflowPunct/>
              <w:autoSpaceDE/>
              <w:autoSpaceDN/>
              <w:adjustRightInd/>
              <w:spacing w:after="120" w:line="259" w:lineRule="auto"/>
              <w:ind w:left="448" w:hanging="471"/>
              <w:jc w:val="both"/>
              <w:textAlignment w:val="auto"/>
              <w:rPr>
                <w:rFonts w:asciiTheme="minorHAnsi" w:eastAsia="DengXian" w:hAnsiTheme="minorHAnsi" w:cstheme="minorBidi"/>
                <w:b/>
                <w:bCs/>
                <w:lang w:eastAsia="zh-CN"/>
              </w:rPr>
            </w:pPr>
            <w:r w:rsidRPr="58BAADD2">
              <w:rPr>
                <w:rFonts w:asciiTheme="minorHAnsi" w:eastAsia="Malgun Gothic" w:hAnsiTheme="minorHAnsi" w:cstheme="minorBidi"/>
                <w:b/>
                <w:bCs/>
                <w:lang w:eastAsia="zh-CN"/>
              </w:rPr>
              <w:lastRenderedPageBreak/>
              <w:t>(d)</w:t>
            </w:r>
            <w:r w:rsidR="0016155B">
              <w:tab/>
            </w:r>
            <w:r w:rsidR="00125FE2" w:rsidRPr="58BAADD2">
              <w:rPr>
                <w:rFonts w:asciiTheme="minorHAnsi" w:eastAsia="Malgun Gothic" w:hAnsiTheme="minorHAnsi" w:cstheme="minorBidi"/>
                <w:b/>
                <w:bCs/>
                <w:lang w:eastAsia="ko-KR"/>
              </w:rPr>
              <w:t xml:space="preserve">Follow-up actions and measures being undertaken by your intergovernmental body or forum to support the implementation of the </w:t>
            </w:r>
            <w:r w:rsidR="00125FE2" w:rsidRPr="58BAADD2">
              <w:rPr>
                <w:rFonts w:asciiTheme="minorHAnsi" w:eastAsia="Malgun Gothic" w:hAnsiTheme="minorHAnsi" w:cstheme="minorBidi"/>
                <w:b/>
                <w:bCs/>
                <w:i/>
                <w:iCs/>
                <w:lang w:eastAsia="ko-KR"/>
              </w:rPr>
              <w:t>Pact for the Future</w:t>
            </w:r>
            <w:r w:rsidR="00125FE2" w:rsidRPr="58BAADD2">
              <w:rPr>
                <w:rFonts w:asciiTheme="minorHAnsi" w:eastAsia="Malgun Gothic" w:hAnsiTheme="minorHAnsi" w:cstheme="minorBidi"/>
                <w:b/>
                <w:bCs/>
                <w:lang w:eastAsia="ko-KR"/>
              </w:rPr>
              <w:t xml:space="preserve">, the </w:t>
            </w:r>
            <w:r w:rsidR="00125FE2" w:rsidRPr="58BAADD2">
              <w:rPr>
                <w:rFonts w:asciiTheme="minorHAnsi" w:eastAsia="Malgun Gothic" w:hAnsiTheme="minorHAnsi" w:cstheme="minorBidi"/>
                <w:b/>
                <w:bCs/>
                <w:i/>
                <w:iCs/>
                <w:lang w:eastAsia="ko-KR"/>
              </w:rPr>
              <w:t>Sevilla Commitment</w:t>
            </w:r>
            <w:r w:rsidR="00125FE2" w:rsidRPr="58BAADD2">
              <w:rPr>
                <w:rFonts w:asciiTheme="minorHAnsi" w:eastAsia="Malgun Gothic" w:hAnsiTheme="minorHAnsi" w:cstheme="minorBidi"/>
                <w:b/>
                <w:bCs/>
                <w:lang w:eastAsia="ko-KR"/>
              </w:rPr>
              <w:t>, the outcome of the Second World Summit for Social Development, as well as to accelerate the implementation of the 2030 Agenda for Sustainable Development;</w:t>
            </w:r>
            <w:r w:rsidR="00125FE2" w:rsidRPr="58BAADD2">
              <w:rPr>
                <w:rFonts w:asciiTheme="minorHAnsi" w:eastAsia="Malgun Gothic" w:hAnsiTheme="minorHAnsi" w:cstheme="minorBidi"/>
                <w:lang w:eastAsia="ko-KR"/>
              </w:rPr>
              <w:t xml:space="preserve"> </w:t>
            </w:r>
          </w:p>
          <w:p w14:paraId="5553C329" w14:textId="624048F8" w:rsidR="00125FE2" w:rsidRPr="005873BA" w:rsidRDefault="00D27063" w:rsidP="00ED69D8">
            <w:pPr>
              <w:spacing w:after="120"/>
              <w:ind w:left="791" w:hanging="360"/>
              <w:jc w:val="both"/>
              <w:rPr>
                <w:rFonts w:asciiTheme="minorHAnsi" w:eastAsia="DengXian" w:hAnsiTheme="minorHAnsi" w:cstheme="minorBidi"/>
                <w:lang w:eastAsia="zh-CN"/>
              </w:rPr>
            </w:pPr>
            <w:r w:rsidRPr="58BAADD2">
              <w:rPr>
                <w:rFonts w:asciiTheme="minorHAnsi" w:eastAsia="DengXian" w:hAnsiTheme="minorHAnsi" w:cstheme="minorBidi"/>
                <w:lang w:eastAsia="zh-CN"/>
              </w:rPr>
              <w:t>–</w:t>
            </w:r>
            <w:r w:rsidR="00D62445">
              <w:tab/>
            </w:r>
            <w:r w:rsidR="00D62445">
              <w:tab/>
            </w:r>
            <w:r w:rsidR="00125FE2" w:rsidRPr="58BAADD2">
              <w:rPr>
                <w:rFonts w:asciiTheme="minorHAnsi" w:eastAsia="DengXian" w:hAnsiTheme="minorHAnsi" w:cstheme="minorBidi"/>
                <w:lang w:eastAsia="zh-CN"/>
              </w:rPr>
              <w:t>The benefits of driving digital transformation can have a transcending impact on the achievement of all SDGs, including the cluster in review this year. Digital transformation forms an integral pillar of the Strategic Plan of ITU, the United Nations specialized agency for ICTs.</w:t>
            </w:r>
          </w:p>
          <w:p w14:paraId="0972D8BC" w14:textId="4248D940" w:rsidR="00125FE2" w:rsidRPr="005873BA" w:rsidRDefault="00D27063" w:rsidP="00ED69D8">
            <w:pPr>
              <w:spacing w:after="120"/>
              <w:ind w:left="791" w:hanging="360"/>
              <w:jc w:val="both"/>
              <w:rPr>
                <w:rFonts w:asciiTheme="minorHAnsi" w:eastAsia="Malgun Gothic" w:hAnsiTheme="minorHAnsi" w:cstheme="minorBidi"/>
                <w:color w:val="000000"/>
                <w:lang w:eastAsia="ko-KR"/>
              </w:rPr>
            </w:pPr>
            <w:r w:rsidRPr="58BAADD2">
              <w:rPr>
                <w:rFonts w:asciiTheme="minorHAnsi" w:eastAsia="DengXian" w:hAnsiTheme="minorHAnsi" w:cstheme="minorBidi"/>
                <w:color w:val="000000" w:themeColor="text1"/>
                <w:lang w:eastAsia="ko-KR"/>
              </w:rPr>
              <w:t>–</w:t>
            </w:r>
            <w:r w:rsidR="00D62445">
              <w:tab/>
            </w:r>
            <w:r w:rsidR="00D62445">
              <w:tab/>
            </w:r>
            <w:r w:rsidR="00125FE2" w:rsidRPr="58BAADD2">
              <w:rPr>
                <w:rFonts w:asciiTheme="minorHAnsi" w:eastAsia="DengXian" w:hAnsiTheme="minorHAnsi" w:cstheme="minorBidi"/>
                <w:color w:val="000000" w:themeColor="text1"/>
                <w:lang w:eastAsia="zh-CN"/>
              </w:rPr>
              <w:t>ITU is committed to aligning its initiatives with the objectives of the Global Digital Compact (</w:t>
            </w:r>
            <w:proofErr w:type="spellStart"/>
            <w:r w:rsidR="00125FE2" w:rsidRPr="58BAADD2">
              <w:rPr>
                <w:rFonts w:asciiTheme="minorHAnsi" w:eastAsia="DengXian" w:hAnsiTheme="minorHAnsi" w:cstheme="minorBidi"/>
                <w:color w:val="000000" w:themeColor="text1"/>
                <w:lang w:eastAsia="zh-CN"/>
              </w:rPr>
              <w:t>GDC</w:t>
            </w:r>
            <w:proofErr w:type="spellEnd"/>
            <w:r w:rsidR="00125FE2" w:rsidRPr="58BAADD2">
              <w:rPr>
                <w:rFonts w:asciiTheme="minorHAnsi" w:eastAsia="DengXian" w:hAnsiTheme="minorHAnsi" w:cstheme="minorBidi"/>
                <w:color w:val="000000" w:themeColor="text1"/>
                <w:lang w:eastAsia="zh-CN"/>
              </w:rPr>
              <w:t>), adopted by Member States at the Summit of the Future in September 2024, as an Annex to the Pact for the Futur</w:t>
            </w:r>
            <w:r w:rsidR="00125FE2" w:rsidRPr="58BAADD2">
              <w:rPr>
                <w:rFonts w:asciiTheme="minorHAnsi" w:eastAsia="Malgun Gothic" w:hAnsiTheme="minorHAnsi" w:cstheme="minorBidi"/>
                <w:color w:val="000000" w:themeColor="text1"/>
                <w:lang w:eastAsia="ko-KR"/>
              </w:rPr>
              <w:t xml:space="preserve">e, as well as with the </w:t>
            </w:r>
            <w:proofErr w:type="spellStart"/>
            <w:r w:rsidR="00125FE2" w:rsidRPr="58BAADD2">
              <w:rPr>
                <w:rFonts w:asciiTheme="minorHAnsi" w:eastAsia="Malgun Gothic" w:hAnsiTheme="minorHAnsi" w:cstheme="minorBidi"/>
                <w:color w:val="000000" w:themeColor="text1"/>
                <w:lang w:eastAsia="ko-KR"/>
              </w:rPr>
              <w:t>Servilla</w:t>
            </w:r>
            <w:proofErr w:type="spellEnd"/>
            <w:r w:rsidR="00125FE2" w:rsidRPr="58BAADD2">
              <w:rPr>
                <w:rFonts w:asciiTheme="minorHAnsi" w:eastAsia="Malgun Gothic" w:hAnsiTheme="minorHAnsi" w:cstheme="minorBidi"/>
                <w:color w:val="000000" w:themeColor="text1"/>
                <w:lang w:eastAsia="ko-KR"/>
              </w:rPr>
              <w:t xml:space="preserve"> Commitment and the outcomes of the second World Summit for Social Development (</w:t>
            </w:r>
            <w:proofErr w:type="spellStart"/>
            <w:r w:rsidR="00125FE2" w:rsidRPr="58BAADD2">
              <w:rPr>
                <w:rFonts w:asciiTheme="minorHAnsi" w:eastAsia="Malgun Gothic" w:hAnsiTheme="minorHAnsi" w:cstheme="minorBidi"/>
                <w:color w:val="000000" w:themeColor="text1"/>
                <w:lang w:eastAsia="ko-KR"/>
              </w:rPr>
              <w:t>WSSD2</w:t>
            </w:r>
            <w:proofErr w:type="spellEnd"/>
            <w:r w:rsidR="00125FE2" w:rsidRPr="58BAADD2">
              <w:rPr>
                <w:rFonts w:asciiTheme="minorHAnsi" w:eastAsia="Malgun Gothic" w:hAnsiTheme="minorHAnsi" w:cstheme="minorBidi"/>
                <w:color w:val="000000" w:themeColor="text1"/>
                <w:lang w:eastAsia="ko-KR"/>
              </w:rPr>
              <w:t xml:space="preserve">) held in Doha in November 2025. </w:t>
            </w:r>
          </w:p>
          <w:p w14:paraId="15F159CC" w14:textId="0AE37090" w:rsidR="00125FE2" w:rsidRPr="005873BA" w:rsidRDefault="00D27063" w:rsidP="00ED69D8">
            <w:pPr>
              <w:spacing w:after="120"/>
              <w:ind w:left="791" w:hanging="360"/>
              <w:jc w:val="both"/>
              <w:rPr>
                <w:rFonts w:asciiTheme="minorHAnsi" w:eastAsia="Malgun Gothic" w:hAnsiTheme="minorHAnsi" w:cstheme="minorBidi"/>
                <w:color w:val="000000" w:themeColor="text1"/>
                <w:lang w:eastAsia="ko-KR"/>
              </w:rPr>
            </w:pPr>
            <w:r w:rsidRPr="58BAADD2">
              <w:rPr>
                <w:rFonts w:asciiTheme="minorHAnsi" w:eastAsia="DengXian" w:hAnsiTheme="minorHAnsi" w:cstheme="minorBidi"/>
                <w:color w:val="000000" w:themeColor="text1"/>
                <w:lang w:eastAsia="ko-KR"/>
              </w:rPr>
              <w:t>–</w:t>
            </w:r>
            <w:r w:rsidR="00D62445">
              <w:tab/>
            </w:r>
            <w:r w:rsidR="00D62445">
              <w:tab/>
            </w:r>
            <w:r w:rsidR="00125FE2" w:rsidRPr="58BAADD2">
              <w:rPr>
                <w:rFonts w:asciiTheme="minorHAnsi" w:eastAsia="Malgun Gothic" w:hAnsiTheme="minorHAnsi" w:cstheme="minorBidi"/>
                <w:color w:val="000000" w:themeColor="text1"/>
                <w:lang w:eastAsia="ko-KR"/>
              </w:rPr>
              <w:t xml:space="preserve">ITU advances </w:t>
            </w:r>
            <w:proofErr w:type="spellStart"/>
            <w:r w:rsidR="00125FE2" w:rsidRPr="58BAADD2">
              <w:rPr>
                <w:rFonts w:asciiTheme="minorHAnsi" w:eastAsia="Malgun Gothic" w:hAnsiTheme="minorHAnsi" w:cstheme="minorBidi"/>
                <w:color w:val="000000" w:themeColor="text1"/>
                <w:lang w:eastAsia="ko-KR"/>
              </w:rPr>
              <w:t>GDC</w:t>
            </w:r>
            <w:proofErr w:type="spellEnd"/>
            <w:r w:rsidR="00125FE2" w:rsidRPr="58BAADD2">
              <w:rPr>
                <w:rFonts w:asciiTheme="minorHAnsi" w:eastAsia="Malgun Gothic" w:hAnsiTheme="minorHAnsi" w:cstheme="minorBidi"/>
                <w:color w:val="000000" w:themeColor="text1"/>
                <w:lang w:eastAsia="ko-KR"/>
              </w:rPr>
              <w:t xml:space="preserve"> objectives through initiatives closing digital divides (e.g., Giga for schools), expanding digital inclusion (e.g., </w:t>
            </w:r>
            <w:proofErr w:type="spellStart"/>
            <w:r w:rsidR="00125FE2" w:rsidRPr="58BAADD2">
              <w:rPr>
                <w:rFonts w:asciiTheme="minorHAnsi" w:eastAsia="Malgun Gothic" w:hAnsiTheme="minorHAnsi" w:cstheme="minorBidi"/>
                <w:color w:val="000000" w:themeColor="text1"/>
                <w:lang w:eastAsia="ko-KR"/>
              </w:rPr>
              <w:t>EQAULS</w:t>
            </w:r>
            <w:proofErr w:type="spellEnd"/>
            <w:r w:rsidR="00125FE2" w:rsidRPr="58BAADD2">
              <w:rPr>
                <w:rFonts w:asciiTheme="minorHAnsi" w:eastAsia="Malgun Gothic" w:hAnsiTheme="minorHAnsi" w:cstheme="minorBidi"/>
                <w:color w:val="000000" w:themeColor="text1"/>
                <w:lang w:eastAsia="ko-KR"/>
              </w:rPr>
              <w:t xml:space="preserve">, Digital Transformation </w:t>
            </w:r>
            <w:proofErr w:type="spellStart"/>
            <w:r w:rsidR="00125FE2" w:rsidRPr="58BAADD2">
              <w:rPr>
                <w:rFonts w:asciiTheme="minorHAnsi" w:eastAsia="Malgun Gothic" w:hAnsiTheme="minorHAnsi" w:cstheme="minorBidi"/>
                <w:color w:val="000000" w:themeColor="text1"/>
                <w:lang w:eastAsia="ko-KR"/>
              </w:rPr>
              <w:t>Centers</w:t>
            </w:r>
            <w:proofErr w:type="spellEnd"/>
            <w:r w:rsidR="00125FE2" w:rsidRPr="58BAADD2">
              <w:rPr>
                <w:rFonts w:asciiTheme="minorHAnsi" w:eastAsia="Malgun Gothic" w:hAnsiTheme="minorHAnsi" w:cstheme="minorBidi"/>
                <w:color w:val="000000" w:themeColor="text1"/>
                <w:lang w:eastAsia="ko-KR"/>
              </w:rPr>
              <w:t xml:space="preserve">), fostering safe spaces (e.g., Cyber-drills, Green Digital Action), data governance (e.g., standards for interoperability) and AI governance (e.g., AI for Good). It collaborates via </w:t>
            </w:r>
            <w:proofErr w:type="spellStart"/>
            <w:r w:rsidR="00125FE2" w:rsidRPr="58BAADD2">
              <w:rPr>
                <w:rFonts w:asciiTheme="minorHAnsi" w:eastAsia="Malgun Gothic" w:hAnsiTheme="minorHAnsi" w:cstheme="minorBidi"/>
                <w:color w:val="000000" w:themeColor="text1"/>
                <w:lang w:eastAsia="ko-KR"/>
              </w:rPr>
              <w:t>Partner2Connect</w:t>
            </w:r>
            <w:proofErr w:type="spellEnd"/>
            <w:r w:rsidR="00125FE2" w:rsidRPr="58BAADD2">
              <w:rPr>
                <w:rFonts w:asciiTheme="minorHAnsi" w:eastAsia="Malgun Gothic" w:hAnsiTheme="minorHAnsi" w:cstheme="minorBidi"/>
                <w:color w:val="000000" w:themeColor="text1"/>
                <w:lang w:eastAsia="ko-KR"/>
              </w:rPr>
              <w:t xml:space="preserve">, AI skill coalitions, and multistakeholder platforms (e.g., WSIS) with UN partners. </w:t>
            </w:r>
          </w:p>
          <w:p w14:paraId="670EB51C" w14:textId="571F4E47" w:rsidR="00125FE2" w:rsidRPr="005873BA" w:rsidRDefault="00D27063" w:rsidP="00ED69D8">
            <w:pPr>
              <w:spacing w:after="120"/>
              <w:ind w:left="791" w:hanging="360"/>
              <w:jc w:val="both"/>
              <w:rPr>
                <w:rFonts w:asciiTheme="minorHAnsi" w:eastAsia="Malgun Gothic" w:hAnsiTheme="minorHAnsi" w:cstheme="minorBidi"/>
                <w:color w:val="000000" w:themeColor="text1"/>
                <w:lang w:eastAsia="ko-KR"/>
              </w:rPr>
            </w:pPr>
            <w:r w:rsidRPr="58BAADD2">
              <w:rPr>
                <w:rFonts w:asciiTheme="minorHAnsi" w:eastAsia="DengXian" w:hAnsiTheme="minorHAnsi" w:cstheme="minorBidi"/>
                <w:color w:val="000000" w:themeColor="text1"/>
                <w:lang w:eastAsia="ko-KR"/>
              </w:rPr>
              <w:t>–</w:t>
            </w:r>
            <w:r w:rsidR="00D62445">
              <w:tab/>
            </w:r>
            <w:r w:rsidR="00D62445">
              <w:tab/>
            </w:r>
            <w:r w:rsidR="00125FE2" w:rsidRPr="58BAADD2">
              <w:rPr>
                <w:rFonts w:asciiTheme="minorHAnsi" w:eastAsiaTheme="minorEastAsia" w:hAnsiTheme="minorHAnsi" w:cstheme="minorBidi"/>
                <w:color w:val="000000" w:themeColor="text1"/>
              </w:rPr>
              <w:t xml:space="preserve">The joint ITU/UNICEF Giga initiative helps governments connect every school to the internet. Leveraging the expertise of ITU and UNICEF, Giga extends support in four areas, school mapping, infrastructure </w:t>
            </w:r>
            <w:proofErr w:type="spellStart"/>
            <w:r w:rsidR="00125FE2" w:rsidRPr="58BAADD2">
              <w:rPr>
                <w:rFonts w:asciiTheme="minorHAnsi" w:eastAsiaTheme="minorEastAsia" w:hAnsiTheme="minorHAnsi" w:cstheme="minorBidi"/>
                <w:color w:val="000000" w:themeColor="text1"/>
              </w:rPr>
              <w:t>modeling</w:t>
            </w:r>
            <w:proofErr w:type="spellEnd"/>
            <w:r w:rsidR="00125FE2" w:rsidRPr="58BAADD2">
              <w:rPr>
                <w:rFonts w:asciiTheme="minorHAnsi" w:eastAsiaTheme="minorEastAsia" w:hAnsiTheme="minorHAnsi" w:cstheme="minorBidi"/>
                <w:color w:val="000000" w:themeColor="text1"/>
              </w:rPr>
              <w:t xml:space="preserve"> and cost analysis, financing and contracting. This support is anchored in capacity building across the four areas.</w:t>
            </w:r>
          </w:p>
          <w:p w14:paraId="3A46D062" w14:textId="77777777" w:rsidR="00125FE2" w:rsidRPr="005873BA" w:rsidRDefault="00125FE2" w:rsidP="00ED69D8">
            <w:pPr>
              <w:pStyle w:val="ListParagraph"/>
              <w:spacing w:after="120"/>
              <w:ind w:left="791"/>
              <w:jc w:val="both"/>
              <w:rPr>
                <w:rFonts w:asciiTheme="minorHAnsi" w:hAnsiTheme="minorHAnsi" w:cstheme="minorBidi"/>
                <w:sz w:val="24"/>
                <w:szCs w:val="24"/>
              </w:rPr>
            </w:pPr>
            <w:r w:rsidRPr="58BAADD2">
              <w:rPr>
                <w:rFonts w:asciiTheme="minorHAnsi" w:eastAsiaTheme="minorEastAsia" w:hAnsiTheme="minorHAnsi" w:cstheme="minorBidi"/>
                <w:color w:val="000000" w:themeColor="text1"/>
                <w:sz w:val="24"/>
                <w:szCs w:val="24"/>
              </w:rPr>
              <w:t xml:space="preserve">By the end of 2025, Giga was working with governments in 46 countries and territories. Giga has mapped over 2.2 million schools, using government data from over 40 countries. Infrastructure mapping and </w:t>
            </w:r>
            <w:proofErr w:type="spellStart"/>
            <w:r w:rsidRPr="58BAADD2">
              <w:rPr>
                <w:rFonts w:asciiTheme="minorHAnsi" w:eastAsiaTheme="minorEastAsia" w:hAnsiTheme="minorHAnsi" w:cstheme="minorBidi"/>
                <w:color w:val="000000" w:themeColor="text1"/>
                <w:sz w:val="24"/>
                <w:szCs w:val="24"/>
              </w:rPr>
              <w:t>modeling</w:t>
            </w:r>
            <w:proofErr w:type="spellEnd"/>
            <w:r w:rsidRPr="58BAADD2">
              <w:rPr>
                <w:rFonts w:asciiTheme="minorHAnsi" w:eastAsiaTheme="minorEastAsia" w:hAnsiTheme="minorHAnsi" w:cstheme="minorBidi"/>
                <w:color w:val="000000" w:themeColor="text1"/>
                <w:sz w:val="24"/>
                <w:szCs w:val="24"/>
              </w:rPr>
              <w:t xml:space="preserve"> to foster effective school connectivity has already been done for 9 countries and engagements are underway to advance the same in 21 more. 5 Giga Learning Hub trainings, delivered through ITU Academy, have been held (in person and online), enabling 128 delegates from 52 countries to strengthen capacity on different aspects of delivering school connectivity.</w:t>
            </w:r>
          </w:p>
          <w:p w14:paraId="49B517F1" w14:textId="77777777" w:rsidR="00125FE2" w:rsidRPr="005873BA" w:rsidRDefault="00125FE2" w:rsidP="00ED69D8">
            <w:pPr>
              <w:pStyle w:val="ListParagraph"/>
              <w:spacing w:after="120"/>
              <w:ind w:left="791"/>
              <w:jc w:val="both"/>
              <w:rPr>
                <w:rFonts w:asciiTheme="minorHAnsi" w:eastAsia="Malgun Gothic" w:hAnsiTheme="minorHAnsi" w:cstheme="minorBidi"/>
                <w:color w:val="000000" w:themeColor="text1"/>
                <w:sz w:val="24"/>
                <w:szCs w:val="24"/>
                <w:lang w:eastAsia="ko-KR"/>
              </w:rPr>
            </w:pPr>
            <w:r w:rsidRPr="58BAADD2">
              <w:rPr>
                <w:rFonts w:asciiTheme="minorHAnsi" w:eastAsia="Aptos" w:hAnsiTheme="minorHAnsi" w:cstheme="minorBidi"/>
                <w:color w:val="000000" w:themeColor="text1"/>
                <w:sz w:val="24"/>
                <w:szCs w:val="24"/>
              </w:rPr>
              <w:t>G</w:t>
            </w:r>
            <w:r w:rsidRPr="58BAADD2">
              <w:rPr>
                <w:rFonts w:asciiTheme="minorHAnsi" w:eastAsiaTheme="minorEastAsia" w:hAnsiTheme="minorHAnsi" w:cstheme="minorBidi"/>
                <w:color w:val="000000" w:themeColor="text1"/>
                <w:sz w:val="24"/>
                <w:szCs w:val="24"/>
              </w:rPr>
              <w:t xml:space="preserve">iga is also exploring innovative financing approaches to support school connectivity. Through its </w:t>
            </w:r>
            <w:hyperlink r:id="rId42">
              <w:r w:rsidRPr="58BAADD2">
                <w:rPr>
                  <w:rStyle w:val="Hyperlink"/>
                  <w:rFonts w:asciiTheme="minorHAnsi" w:eastAsiaTheme="minorEastAsia" w:hAnsiTheme="minorHAnsi" w:cstheme="minorBidi"/>
                  <w:sz w:val="24"/>
                  <w:szCs w:val="24"/>
                </w:rPr>
                <w:t>Digital Infrastructure Investment Initiative (DIII)</w:t>
              </w:r>
            </w:hyperlink>
            <w:r w:rsidRPr="58BAADD2">
              <w:rPr>
                <w:rFonts w:asciiTheme="minorHAnsi" w:eastAsiaTheme="minorEastAsia" w:hAnsiTheme="minorHAnsi" w:cstheme="minorBidi"/>
                <w:color w:val="000000" w:themeColor="text1"/>
                <w:sz w:val="24"/>
                <w:szCs w:val="24"/>
              </w:rPr>
              <w:t xml:space="preserve">, ITU with Giga has convened stakeholders, alongside multilateral development banks, investors, private sector, operators, governments, and others to explore the investments and innovative financing approaches required for universal, meaningful connectivity. </w:t>
            </w:r>
          </w:p>
          <w:p w14:paraId="4364584F" w14:textId="0284F777" w:rsidR="00125FE2" w:rsidRPr="005873BA" w:rsidRDefault="00D27063" w:rsidP="00ED69D8">
            <w:pPr>
              <w:spacing w:after="120"/>
              <w:ind w:left="791" w:hanging="360"/>
              <w:jc w:val="both"/>
              <w:rPr>
                <w:rFonts w:asciiTheme="minorHAnsi" w:eastAsia="Malgun Gothic" w:hAnsiTheme="minorHAnsi" w:cstheme="minorBidi"/>
                <w:lang w:eastAsia="ko-KR"/>
              </w:rPr>
            </w:pPr>
            <w:r w:rsidRPr="58BAADD2">
              <w:rPr>
                <w:rFonts w:asciiTheme="minorHAnsi" w:eastAsia="DengXian" w:hAnsiTheme="minorHAnsi" w:cstheme="minorBidi"/>
                <w:lang w:eastAsia="ko-KR"/>
              </w:rPr>
              <w:t>–</w:t>
            </w:r>
            <w:r w:rsidR="00D62445">
              <w:tab/>
            </w:r>
            <w:r w:rsidR="00D62445">
              <w:tab/>
            </w:r>
            <w:r w:rsidR="00125FE2" w:rsidRPr="58BAADD2">
              <w:rPr>
                <w:rFonts w:asciiTheme="minorHAnsi" w:hAnsiTheme="minorHAnsi" w:cstheme="minorBidi"/>
              </w:rPr>
              <w:t xml:space="preserve">The DIII working group and knowledge products have informed the </w:t>
            </w:r>
            <w:proofErr w:type="spellStart"/>
            <w:r w:rsidR="00125FE2" w:rsidRPr="58BAADD2">
              <w:rPr>
                <w:rFonts w:asciiTheme="minorHAnsi" w:hAnsiTheme="minorHAnsi" w:cstheme="minorBidi"/>
              </w:rPr>
              <w:t>G20</w:t>
            </w:r>
            <w:proofErr w:type="spellEnd"/>
            <w:r w:rsidR="00125FE2" w:rsidRPr="58BAADD2">
              <w:rPr>
                <w:rFonts w:asciiTheme="minorHAnsi" w:hAnsiTheme="minorHAnsi" w:cstheme="minorBidi"/>
              </w:rPr>
              <w:t xml:space="preserve"> Brazil and South Africa processes, as well as publication of the Connecting Humanity Action Blueprint together with the Kingdom of Saudi Arabia. This body of work is entering a new, action-oriented phase under the "Digital Infrastructure Investment </w:t>
            </w:r>
            <w:r w:rsidR="00125FE2" w:rsidRPr="58BAADD2">
              <w:rPr>
                <w:rFonts w:asciiTheme="minorHAnsi" w:hAnsiTheme="minorHAnsi" w:cstheme="minorBidi"/>
              </w:rPr>
              <w:lastRenderedPageBreak/>
              <w:t>Catalyser" – a platform for information sharing, collaboration, and fostering innovative partnerships and financing to drive digital infrastructure investments—especially for last-mile connectivity in least developed countries. The Catalyser was launched by ITU and UNCTAD in July 2025 at the Fourth International Financing for Development Conference in Sevilla, Spain and formally accepted into the Sevilla Platform for Action.</w:t>
            </w:r>
          </w:p>
          <w:p w14:paraId="7B9CADC8" w14:textId="051790E7" w:rsidR="00125FE2" w:rsidRPr="005873BA" w:rsidRDefault="00D27063" w:rsidP="00ED69D8">
            <w:pPr>
              <w:spacing w:after="120"/>
              <w:ind w:left="791" w:hanging="360"/>
              <w:jc w:val="both"/>
              <w:rPr>
                <w:rFonts w:asciiTheme="minorHAnsi" w:hAnsiTheme="minorHAnsi" w:cstheme="minorBidi"/>
                <w:lang w:eastAsia="zh-CN"/>
              </w:rPr>
            </w:pPr>
            <w:r w:rsidRPr="58BAADD2">
              <w:rPr>
                <w:rFonts w:asciiTheme="minorHAnsi" w:eastAsia="DengXian" w:hAnsiTheme="minorHAnsi" w:cstheme="minorBidi"/>
                <w:lang w:eastAsia="zh-CN"/>
              </w:rPr>
              <w:t>–</w:t>
            </w:r>
            <w:r w:rsidR="00D62445">
              <w:tab/>
            </w:r>
            <w:r w:rsidR="00D62445">
              <w:tab/>
            </w:r>
            <w:r w:rsidR="00125FE2" w:rsidRPr="58BAADD2">
              <w:rPr>
                <w:rFonts w:asciiTheme="minorHAnsi" w:hAnsiTheme="minorHAnsi" w:cstheme="minorBidi"/>
              </w:rPr>
              <w:t xml:space="preserve">Looking beyond connecting schools to the Internet, Giga is creating a foundation for systemic transformation in education through Digital Public Infrastructure (DPI). Working closely with UNESCO and UNICEF, Giga is contributing to shaping the global vision for trustworthy public digital learning platforms, recently launching a joint Charter that serves as the first normative framework of its kind, which outlines shared principles and safeguards for development and governance of the platforms. Building on this, Giga will convene governments and partners to support the adoption and practical application of these principles, helping countries strengthen their digital learning ecosystems so they become more inclusive, resilient, and future-ready. </w:t>
            </w:r>
          </w:p>
          <w:p w14:paraId="75BBC777" w14:textId="04C72ED2" w:rsidR="00125FE2" w:rsidRPr="005873BA" w:rsidRDefault="00D27063" w:rsidP="00ED69D8">
            <w:pPr>
              <w:ind w:left="791" w:hanging="360"/>
              <w:jc w:val="both"/>
              <w:rPr>
                <w:rFonts w:asciiTheme="minorHAnsi" w:hAnsiTheme="minorHAnsi" w:cstheme="minorBidi"/>
                <w:szCs w:val="24"/>
                <w:lang w:eastAsia="zh-CN"/>
              </w:rPr>
            </w:pPr>
            <w:r w:rsidRPr="58BAADD2">
              <w:rPr>
                <w:rFonts w:asciiTheme="minorHAnsi" w:eastAsia="DengXian" w:hAnsiTheme="minorHAnsi" w:cstheme="minorBidi"/>
                <w:lang w:eastAsia="zh-CN"/>
              </w:rPr>
              <w:t>–</w:t>
            </w:r>
            <w:r w:rsidR="00D62445">
              <w:tab/>
            </w:r>
            <w:r w:rsidR="00D62445">
              <w:tab/>
            </w:r>
            <w:r w:rsidR="00125FE2" w:rsidRPr="58BAADD2">
              <w:rPr>
                <w:rFonts w:asciiTheme="minorHAnsi" w:hAnsiTheme="minorHAnsi" w:cstheme="minorBidi"/>
                <w:lang w:eastAsia="zh-CN"/>
              </w:rPr>
              <w:t xml:space="preserve">The </w:t>
            </w:r>
            <w:proofErr w:type="spellStart"/>
            <w:r w:rsidR="00125FE2" w:rsidRPr="58BAADD2">
              <w:rPr>
                <w:rFonts w:asciiTheme="minorHAnsi" w:hAnsiTheme="minorHAnsi" w:cstheme="minorBidi"/>
                <w:lang w:eastAsia="zh-CN"/>
              </w:rPr>
              <w:t>Partner2Connect</w:t>
            </w:r>
            <w:proofErr w:type="spellEnd"/>
            <w:r w:rsidR="00125FE2" w:rsidRPr="58BAADD2">
              <w:rPr>
                <w:rFonts w:asciiTheme="minorHAnsi" w:hAnsiTheme="minorHAnsi" w:cstheme="minorBidi"/>
                <w:lang w:eastAsia="zh-CN"/>
              </w:rPr>
              <w:t xml:space="preserve"> Digital Coalition (</w:t>
            </w:r>
            <w:proofErr w:type="spellStart"/>
            <w:r w:rsidR="00125FE2" w:rsidRPr="58BAADD2">
              <w:rPr>
                <w:rFonts w:asciiTheme="minorHAnsi" w:hAnsiTheme="minorHAnsi" w:cstheme="minorBidi"/>
                <w:lang w:eastAsia="zh-CN"/>
              </w:rPr>
              <w:t>P2C</w:t>
            </w:r>
            <w:proofErr w:type="spellEnd"/>
            <w:r w:rsidR="00125FE2" w:rsidRPr="58BAADD2">
              <w:rPr>
                <w:rFonts w:asciiTheme="minorHAnsi" w:hAnsiTheme="minorHAnsi" w:cstheme="minorBidi"/>
                <w:lang w:eastAsia="zh-CN"/>
              </w:rPr>
              <w:t xml:space="preserve">) continues to serve as ITU’s flagship mechanism for advancing universal meaningful connectivity and sustainable digital transformation in alignment with the SDGs, the WSIS process and the Global Digital Compact. By November 2025, </w:t>
            </w:r>
            <w:proofErr w:type="spellStart"/>
            <w:r w:rsidR="00125FE2" w:rsidRPr="58BAADD2">
              <w:rPr>
                <w:rFonts w:asciiTheme="minorHAnsi" w:hAnsiTheme="minorHAnsi" w:cstheme="minorBidi"/>
                <w:lang w:eastAsia="zh-CN"/>
              </w:rPr>
              <w:t>P2C</w:t>
            </w:r>
            <w:proofErr w:type="spellEnd"/>
            <w:r w:rsidR="00125FE2" w:rsidRPr="58BAADD2">
              <w:rPr>
                <w:rFonts w:asciiTheme="minorHAnsi" w:hAnsiTheme="minorHAnsi" w:cstheme="minorBidi"/>
                <w:lang w:eastAsia="zh-CN"/>
              </w:rPr>
              <w:t xml:space="preserve"> had mobilized over USD 80 billion in pledges from 1,050 pledgers representing 486 organizations across 149 countries, including 29 UN entities, with more than one third of commitments directly benefiting </w:t>
            </w:r>
            <w:proofErr w:type="spellStart"/>
            <w:r w:rsidR="00125FE2" w:rsidRPr="58BAADD2">
              <w:rPr>
                <w:rFonts w:asciiTheme="minorHAnsi" w:hAnsiTheme="minorHAnsi" w:cstheme="minorBidi"/>
                <w:lang w:eastAsia="zh-CN"/>
              </w:rPr>
              <w:t>LDCs</w:t>
            </w:r>
            <w:proofErr w:type="spellEnd"/>
            <w:r w:rsidR="00125FE2" w:rsidRPr="58BAADD2">
              <w:rPr>
                <w:rFonts w:asciiTheme="minorHAnsi" w:hAnsiTheme="minorHAnsi" w:cstheme="minorBidi"/>
                <w:lang w:eastAsia="zh-CN"/>
              </w:rPr>
              <w:t xml:space="preserve">, </w:t>
            </w:r>
            <w:proofErr w:type="spellStart"/>
            <w:r w:rsidR="00125FE2" w:rsidRPr="58BAADD2">
              <w:rPr>
                <w:rFonts w:asciiTheme="minorHAnsi" w:hAnsiTheme="minorHAnsi" w:cstheme="minorBidi"/>
                <w:lang w:eastAsia="zh-CN"/>
              </w:rPr>
              <w:t>LLDCs</w:t>
            </w:r>
            <w:proofErr w:type="spellEnd"/>
            <w:r w:rsidR="00125FE2" w:rsidRPr="58BAADD2">
              <w:rPr>
                <w:rFonts w:asciiTheme="minorHAnsi" w:hAnsiTheme="minorHAnsi" w:cstheme="minorBidi"/>
                <w:lang w:eastAsia="zh-CN"/>
              </w:rPr>
              <w:t xml:space="preserve"> and SIDS. In 2025, </w:t>
            </w:r>
            <w:proofErr w:type="spellStart"/>
            <w:r w:rsidR="00125FE2" w:rsidRPr="58BAADD2">
              <w:rPr>
                <w:rFonts w:asciiTheme="minorHAnsi" w:hAnsiTheme="minorHAnsi" w:cstheme="minorBidi"/>
                <w:lang w:eastAsia="zh-CN"/>
              </w:rPr>
              <w:t>P2C</w:t>
            </w:r>
            <w:proofErr w:type="spellEnd"/>
            <w:r w:rsidR="00125FE2" w:rsidRPr="58BAADD2">
              <w:rPr>
                <w:rFonts w:asciiTheme="minorHAnsi" w:hAnsiTheme="minorHAnsi" w:cstheme="minorBidi"/>
                <w:lang w:eastAsia="zh-CN"/>
              </w:rPr>
              <w:t xml:space="preserve"> strengthened delivery by convening its Annual Meetings, to review progress and reaffirm the shared ambition of reaching USD 100 billion by 2026.</w:t>
            </w:r>
          </w:p>
          <w:p w14:paraId="2479B793" w14:textId="6101A0DF" w:rsidR="00125FE2" w:rsidRPr="005873BA" w:rsidRDefault="00D62445" w:rsidP="00ED69D8">
            <w:pPr>
              <w:ind w:left="791" w:hanging="360"/>
              <w:jc w:val="both"/>
              <w:rPr>
                <w:rFonts w:asciiTheme="minorHAnsi" w:hAnsiTheme="minorHAnsi" w:cstheme="minorBidi"/>
                <w:szCs w:val="24"/>
                <w:lang w:eastAsia="zh-CN"/>
              </w:rPr>
            </w:pPr>
            <w:r>
              <w:rPr>
                <w:rFonts w:asciiTheme="minorHAnsi" w:eastAsia="DengXian" w:hAnsiTheme="minorHAnsi" w:cstheme="minorBidi"/>
                <w:szCs w:val="24"/>
                <w:lang w:eastAsia="zh-CN"/>
              </w:rPr>
              <w:tab/>
            </w:r>
            <w:r>
              <w:rPr>
                <w:rFonts w:asciiTheme="minorHAnsi" w:eastAsia="DengXian" w:hAnsiTheme="minorHAnsi" w:cstheme="minorBidi"/>
                <w:szCs w:val="24"/>
                <w:lang w:eastAsia="zh-CN"/>
              </w:rPr>
              <w:tab/>
            </w:r>
            <w:r w:rsidR="00125FE2" w:rsidRPr="58BAADD2">
              <w:rPr>
                <w:rFonts w:asciiTheme="minorHAnsi" w:eastAsia="DengXian" w:hAnsiTheme="minorHAnsi" w:cstheme="minorBidi"/>
                <w:szCs w:val="24"/>
                <w:lang w:eastAsia="zh-CN"/>
              </w:rPr>
              <w:t xml:space="preserve">Throughout the year, the </w:t>
            </w:r>
            <w:proofErr w:type="spellStart"/>
            <w:r w:rsidR="00125FE2" w:rsidRPr="58BAADD2">
              <w:rPr>
                <w:rFonts w:asciiTheme="minorHAnsi" w:eastAsia="DengXian" w:hAnsiTheme="minorHAnsi" w:cstheme="minorBidi"/>
                <w:szCs w:val="24"/>
                <w:lang w:eastAsia="zh-CN"/>
              </w:rPr>
              <w:t>P2C</w:t>
            </w:r>
            <w:proofErr w:type="spellEnd"/>
            <w:r w:rsidR="00125FE2" w:rsidRPr="58BAADD2">
              <w:rPr>
                <w:rFonts w:asciiTheme="minorHAnsi" w:eastAsia="DengXian" w:hAnsiTheme="minorHAnsi" w:cstheme="minorBidi"/>
                <w:szCs w:val="24"/>
                <w:lang w:eastAsia="zh-CN"/>
              </w:rPr>
              <w:t xml:space="preserve"> Matchmaking Accelerator Series connected governments and pledgers supporting the implementation of priority projects in areas such as affordable access, resilient infrastructure and digital public services. The </w:t>
            </w:r>
            <w:proofErr w:type="spellStart"/>
            <w:r w:rsidR="00125FE2" w:rsidRPr="58BAADD2">
              <w:rPr>
                <w:rFonts w:asciiTheme="minorHAnsi" w:eastAsia="DengXian" w:hAnsiTheme="minorHAnsi" w:cstheme="minorBidi"/>
                <w:szCs w:val="24"/>
                <w:lang w:eastAsia="zh-CN"/>
              </w:rPr>
              <w:t>P2C</w:t>
            </w:r>
            <w:proofErr w:type="spellEnd"/>
            <w:r w:rsidR="00125FE2" w:rsidRPr="58BAADD2">
              <w:rPr>
                <w:rFonts w:asciiTheme="minorHAnsi" w:eastAsia="DengXian" w:hAnsiTheme="minorHAnsi" w:cstheme="minorBidi"/>
                <w:szCs w:val="24"/>
                <w:lang w:eastAsia="zh-CN"/>
              </w:rPr>
              <w:t xml:space="preserve"> Flash digital magazine continued to document impact stories and best practices, while enhancements to the </w:t>
            </w:r>
            <w:proofErr w:type="spellStart"/>
            <w:r w:rsidR="00125FE2" w:rsidRPr="58BAADD2">
              <w:rPr>
                <w:rFonts w:asciiTheme="minorHAnsi" w:eastAsia="DengXian" w:hAnsiTheme="minorHAnsi" w:cstheme="minorBidi"/>
                <w:szCs w:val="24"/>
                <w:lang w:eastAsia="zh-CN"/>
              </w:rPr>
              <w:t>P2C</w:t>
            </w:r>
            <w:proofErr w:type="spellEnd"/>
            <w:r w:rsidR="00125FE2" w:rsidRPr="58BAADD2">
              <w:rPr>
                <w:rFonts w:asciiTheme="minorHAnsi" w:eastAsia="DengXian" w:hAnsiTheme="minorHAnsi" w:cstheme="minorBidi"/>
                <w:szCs w:val="24"/>
                <w:lang w:eastAsia="zh-CN"/>
              </w:rPr>
              <w:t xml:space="preserve"> Dashboard and reporting tools improved transparency and evidence-based decision-making. Together, these efforts reinforced </w:t>
            </w:r>
            <w:proofErr w:type="spellStart"/>
            <w:r w:rsidR="00125FE2" w:rsidRPr="58BAADD2">
              <w:rPr>
                <w:rFonts w:asciiTheme="minorHAnsi" w:eastAsia="DengXian" w:hAnsiTheme="minorHAnsi" w:cstheme="minorBidi"/>
                <w:szCs w:val="24"/>
                <w:lang w:eastAsia="zh-CN"/>
              </w:rPr>
              <w:t>P2C’s</w:t>
            </w:r>
            <w:proofErr w:type="spellEnd"/>
            <w:r w:rsidR="00125FE2" w:rsidRPr="58BAADD2">
              <w:rPr>
                <w:rFonts w:asciiTheme="minorHAnsi" w:eastAsia="DengXian" w:hAnsiTheme="minorHAnsi" w:cstheme="minorBidi"/>
                <w:szCs w:val="24"/>
                <w:lang w:eastAsia="zh-CN"/>
              </w:rPr>
              <w:t xml:space="preserve"> role as a trusted global platform for partnership building, financing facilitation, and coordinated action to accelerate digital transformation.</w:t>
            </w:r>
          </w:p>
          <w:p w14:paraId="07995648" w14:textId="69690D69" w:rsidR="00125FE2" w:rsidRPr="005873BA" w:rsidRDefault="00D27063" w:rsidP="00ED69D8">
            <w:pPr>
              <w:tabs>
                <w:tab w:val="left" w:pos="776"/>
              </w:tabs>
              <w:overflowPunct/>
              <w:autoSpaceDE/>
              <w:autoSpaceDN/>
              <w:adjustRightInd/>
              <w:spacing w:after="120"/>
              <w:ind w:left="791" w:hanging="360"/>
              <w:jc w:val="both"/>
              <w:textAlignment w:val="auto"/>
              <w:rPr>
                <w:rFonts w:asciiTheme="minorHAnsi" w:eastAsia="DengXian" w:hAnsiTheme="minorHAnsi" w:cstheme="minorBidi"/>
                <w:lang w:eastAsia="zh-CN"/>
              </w:rPr>
            </w:pPr>
            <w:r w:rsidRPr="58BAADD2">
              <w:rPr>
                <w:rFonts w:asciiTheme="minorHAnsi" w:eastAsia="DengXian" w:hAnsiTheme="minorHAnsi" w:cstheme="minorBidi"/>
                <w:lang w:eastAsia="zh-CN"/>
              </w:rPr>
              <w:t>–</w:t>
            </w:r>
            <w:r>
              <w:tab/>
            </w:r>
            <w:r>
              <w:tab/>
            </w:r>
            <w:r w:rsidR="00125FE2" w:rsidRPr="58BAADD2">
              <w:rPr>
                <w:rFonts w:asciiTheme="minorHAnsi" w:eastAsia="DengXian" w:hAnsiTheme="minorHAnsi" w:cstheme="minorBidi"/>
                <w:lang w:eastAsia="zh-CN"/>
              </w:rPr>
              <w:t xml:space="preserve">The WSIS Action Lines allow ITU to monitor and measure their progress towards certain targets in the WSIS Action Lines themselves which have been mapped to the SDGs. The annual WSIS Forum, hosted by ITU, remains the UN system’s principal platform for multistakeholder dialogue and for deliberations on the implementation of the WSIS Action Lines and its future roadmaps. The </w:t>
            </w:r>
            <w:proofErr w:type="spellStart"/>
            <w:r w:rsidR="00125FE2" w:rsidRPr="58BAADD2">
              <w:rPr>
                <w:rFonts w:asciiTheme="minorHAnsi" w:eastAsia="DengXian" w:hAnsiTheme="minorHAnsi" w:cstheme="minorBidi"/>
                <w:lang w:eastAsia="zh-CN"/>
              </w:rPr>
              <w:t>WSIS+20</w:t>
            </w:r>
            <w:proofErr w:type="spellEnd"/>
            <w:r w:rsidR="00125FE2" w:rsidRPr="58BAADD2">
              <w:rPr>
                <w:rFonts w:asciiTheme="minorHAnsi" w:eastAsia="DengXian" w:hAnsiTheme="minorHAnsi" w:cstheme="minorBidi"/>
                <w:lang w:eastAsia="zh-CN"/>
              </w:rPr>
              <w:t xml:space="preserve"> </w:t>
            </w:r>
            <w:proofErr w:type="spellStart"/>
            <w:r w:rsidR="00125FE2" w:rsidRPr="58BAADD2">
              <w:rPr>
                <w:rFonts w:asciiTheme="minorHAnsi" w:eastAsia="DengXian" w:hAnsiTheme="minorHAnsi" w:cstheme="minorBidi"/>
                <w:lang w:eastAsia="zh-CN"/>
              </w:rPr>
              <w:t>HLE</w:t>
            </w:r>
            <w:proofErr w:type="spellEnd"/>
            <w:r w:rsidR="00125FE2" w:rsidRPr="58BAADD2">
              <w:rPr>
                <w:rFonts w:asciiTheme="minorHAnsi" w:eastAsia="DengXian" w:hAnsiTheme="minorHAnsi" w:cstheme="minorBidi"/>
                <w:lang w:eastAsia="zh-CN"/>
              </w:rPr>
              <w:t xml:space="preserve"> 2025 outcomes also include the discussions on the new global frameworks.</w:t>
            </w:r>
          </w:p>
          <w:p w14:paraId="29445131" w14:textId="7903BBD3" w:rsidR="00125FE2" w:rsidRPr="005873BA" w:rsidRDefault="00D62445" w:rsidP="00ED69D8">
            <w:pPr>
              <w:tabs>
                <w:tab w:val="left" w:pos="776"/>
              </w:tabs>
              <w:overflowPunct/>
              <w:autoSpaceDE/>
              <w:autoSpaceDN/>
              <w:adjustRightInd/>
              <w:spacing w:after="120"/>
              <w:ind w:left="791" w:hanging="360"/>
              <w:jc w:val="both"/>
              <w:textAlignment w:val="auto"/>
              <w:rPr>
                <w:rFonts w:asciiTheme="minorHAnsi" w:eastAsia="DengXian" w:hAnsiTheme="minorHAnsi" w:cstheme="minorBidi"/>
                <w:lang w:eastAsia="zh-CN"/>
              </w:rPr>
            </w:pPr>
            <w:r>
              <w:rPr>
                <w:rFonts w:asciiTheme="minorHAnsi" w:eastAsia="DengXian" w:hAnsiTheme="minorHAnsi" w:cstheme="minorBidi"/>
                <w:lang w:eastAsia="zh-CN"/>
              </w:rPr>
              <w:tab/>
            </w:r>
            <w:r>
              <w:rPr>
                <w:rFonts w:asciiTheme="minorHAnsi" w:eastAsia="DengXian" w:hAnsiTheme="minorHAnsi" w:cstheme="minorBidi"/>
                <w:lang w:eastAsia="zh-CN"/>
              </w:rPr>
              <w:tab/>
            </w:r>
            <w:r w:rsidR="00125FE2" w:rsidRPr="58BAADD2">
              <w:rPr>
                <w:rFonts w:asciiTheme="minorHAnsi" w:eastAsia="DengXian" w:hAnsiTheme="minorHAnsi" w:cstheme="minorBidi"/>
                <w:lang w:eastAsia="zh-CN"/>
              </w:rPr>
              <w:t xml:space="preserve">The session on the </w:t>
            </w:r>
            <w:proofErr w:type="spellStart"/>
            <w:r w:rsidR="00125FE2" w:rsidRPr="58BAADD2">
              <w:rPr>
                <w:rFonts w:asciiTheme="minorHAnsi" w:eastAsia="DengXian" w:hAnsiTheme="minorHAnsi" w:cstheme="minorBidi"/>
                <w:lang w:eastAsia="zh-CN"/>
              </w:rPr>
              <w:t>WSIS+20</w:t>
            </w:r>
            <w:proofErr w:type="spellEnd"/>
            <w:r w:rsidR="00125FE2" w:rsidRPr="58BAADD2">
              <w:rPr>
                <w:rFonts w:asciiTheme="minorHAnsi" w:eastAsia="DengXian" w:hAnsiTheme="minorHAnsi" w:cstheme="minorBidi"/>
                <w:lang w:eastAsia="zh-CN"/>
              </w:rPr>
              <w:t xml:space="preserve"> Overall Review multistakeholder consultation (9 July 2025) and the session “Charting the Path Forward” (11 July 2025) brought together governments, UN entities, civil society, private sector, and youth to provide input on the </w:t>
            </w:r>
            <w:proofErr w:type="spellStart"/>
            <w:r w:rsidR="00125FE2" w:rsidRPr="58BAADD2">
              <w:rPr>
                <w:rFonts w:asciiTheme="minorHAnsi" w:eastAsia="DengXian" w:hAnsiTheme="minorHAnsi" w:cstheme="minorBidi"/>
                <w:lang w:eastAsia="zh-CN"/>
              </w:rPr>
              <w:t>WSIS+20</w:t>
            </w:r>
            <w:proofErr w:type="spellEnd"/>
            <w:r w:rsidR="00125FE2" w:rsidRPr="58BAADD2">
              <w:rPr>
                <w:rFonts w:asciiTheme="minorHAnsi" w:eastAsia="DengXian" w:hAnsiTheme="minorHAnsi" w:cstheme="minorBidi"/>
                <w:lang w:eastAsia="zh-CN"/>
              </w:rPr>
              <w:t xml:space="preserve"> review. Participants emphasized inclusive, multistakeholder engagement, the need to address digital divides, and the importance of forward-looking priorities such as universal connectivity, responsible digital innovation, </w:t>
            </w:r>
            <w:r w:rsidR="00125FE2" w:rsidRPr="58BAADD2">
              <w:rPr>
                <w:rFonts w:asciiTheme="minorHAnsi" w:eastAsia="DengXian" w:hAnsiTheme="minorHAnsi" w:cstheme="minorBidi"/>
                <w:lang w:eastAsia="zh-CN"/>
              </w:rPr>
              <w:lastRenderedPageBreak/>
              <w:t xml:space="preserve">sustainable ICT, and cross-sector cooperation. The </w:t>
            </w:r>
            <w:proofErr w:type="spellStart"/>
            <w:r w:rsidR="00125FE2" w:rsidRPr="58BAADD2">
              <w:rPr>
                <w:rFonts w:asciiTheme="minorHAnsi" w:eastAsia="DengXian" w:hAnsiTheme="minorHAnsi" w:cstheme="minorBidi"/>
                <w:lang w:eastAsia="zh-CN"/>
              </w:rPr>
              <w:t>WSIS+20</w:t>
            </w:r>
            <w:proofErr w:type="spellEnd"/>
            <w:r w:rsidR="00125FE2" w:rsidRPr="58BAADD2">
              <w:rPr>
                <w:rFonts w:asciiTheme="minorHAnsi" w:eastAsia="DengXian" w:hAnsiTheme="minorHAnsi" w:cstheme="minorBidi"/>
                <w:lang w:eastAsia="zh-CN"/>
              </w:rPr>
              <w:t xml:space="preserve"> Overall Review co-facilitators committed to incorporating stakeholder feedback into the draft outcome document, ensuring that WSIS evolves post-2025 in alignment with the SDGs, the Global Digital Compact, and the broader UN development agenda. </w:t>
            </w:r>
          </w:p>
          <w:p w14:paraId="3CEBA04A" w14:textId="1F49823E" w:rsidR="00125FE2" w:rsidRPr="005873BA" w:rsidRDefault="00D27063" w:rsidP="00ED69D8">
            <w:pPr>
              <w:pStyle w:val="ListParagraph"/>
              <w:tabs>
                <w:tab w:val="left" w:pos="776"/>
              </w:tabs>
              <w:ind w:left="791" w:hanging="360"/>
              <w:jc w:val="both"/>
              <w:rPr>
                <w:rFonts w:asciiTheme="minorHAnsi" w:eastAsia="Malgun Gothic" w:hAnsiTheme="minorHAnsi" w:cstheme="minorBidi"/>
                <w:b/>
                <w:bCs/>
                <w:sz w:val="24"/>
                <w:szCs w:val="24"/>
                <w:lang w:eastAsia="ko-KR"/>
              </w:rPr>
            </w:pPr>
            <w:r>
              <w:rPr>
                <w:rFonts w:asciiTheme="minorHAnsi" w:eastAsia="DengXian" w:hAnsiTheme="minorHAnsi" w:cstheme="minorHAnsi"/>
                <w:sz w:val="24"/>
                <w:szCs w:val="24"/>
                <w:lang w:eastAsia="zh-CN"/>
              </w:rPr>
              <w:tab/>
            </w:r>
            <w:r w:rsidR="00125FE2" w:rsidRPr="58BAADD2">
              <w:rPr>
                <w:rFonts w:asciiTheme="minorHAnsi" w:eastAsia="DengXian" w:hAnsiTheme="minorHAnsi" w:cstheme="minorBidi"/>
                <w:sz w:val="24"/>
                <w:szCs w:val="24"/>
                <w:lang w:eastAsia="zh-CN"/>
              </w:rPr>
              <w:t>Scaling successful ICT-enabled development projects, using WSIS Stocktaking and WSIS Prizes as mechanisms for knowledge-sharing, replication, and investment attraction.</w:t>
            </w:r>
          </w:p>
        </w:tc>
      </w:tr>
      <w:tr w:rsidR="00125FE2" w:rsidRPr="005873BA" w14:paraId="11A222ED" w14:textId="77777777" w:rsidTr="00396299">
        <w:tc>
          <w:tcPr>
            <w:tcW w:w="9016" w:type="dxa"/>
          </w:tcPr>
          <w:p w14:paraId="295C493C" w14:textId="0D127FC6" w:rsidR="00125FE2" w:rsidRPr="005873BA" w:rsidRDefault="00125FE2" w:rsidP="00783C5A">
            <w:pPr>
              <w:tabs>
                <w:tab w:val="clear" w:pos="567"/>
                <w:tab w:val="clear" w:pos="1134"/>
                <w:tab w:val="clear" w:pos="1701"/>
                <w:tab w:val="clear" w:pos="2268"/>
                <w:tab w:val="clear" w:pos="2835"/>
              </w:tabs>
              <w:overflowPunct/>
              <w:autoSpaceDE/>
              <w:autoSpaceDN/>
              <w:adjustRightInd/>
              <w:spacing w:after="120" w:line="259" w:lineRule="auto"/>
              <w:ind w:left="448" w:hanging="471"/>
              <w:jc w:val="both"/>
              <w:textAlignment w:val="auto"/>
              <w:rPr>
                <w:rFonts w:asciiTheme="minorHAnsi" w:eastAsia="DengXian" w:hAnsiTheme="minorHAnsi" w:cstheme="minorBidi"/>
                <w:b/>
                <w:bCs/>
                <w:lang w:eastAsia="zh-CN"/>
              </w:rPr>
            </w:pPr>
            <w:r w:rsidRPr="58BAADD2">
              <w:rPr>
                <w:rFonts w:asciiTheme="minorHAnsi" w:eastAsia="Malgun Gothic" w:hAnsiTheme="minorHAnsi" w:cstheme="minorBidi"/>
                <w:b/>
                <w:bCs/>
                <w:lang w:eastAsia="ko-KR"/>
              </w:rPr>
              <w:lastRenderedPageBreak/>
              <w:t>(e)</w:t>
            </w:r>
            <w:r>
              <w:tab/>
            </w:r>
            <w:r w:rsidRPr="58BAADD2">
              <w:rPr>
                <w:rFonts w:asciiTheme="minorHAnsi" w:eastAsia="Malgun Gothic" w:hAnsiTheme="minorHAnsi" w:cstheme="minorBidi"/>
                <w:b/>
                <w:bCs/>
                <w:lang w:eastAsia="ko-KR"/>
              </w:rPr>
              <w:t xml:space="preserve">Recommendations and key messages to be considered for inclusion in the Ministerial Declaration of the 2026 ECOSOC High-Level Segment and </w:t>
            </w:r>
            <w:proofErr w:type="spellStart"/>
            <w:r w:rsidRPr="58BAADD2">
              <w:rPr>
                <w:rFonts w:asciiTheme="minorHAnsi" w:eastAsia="Malgun Gothic" w:hAnsiTheme="minorHAnsi" w:cstheme="minorBidi"/>
                <w:b/>
                <w:bCs/>
                <w:lang w:eastAsia="ko-KR"/>
              </w:rPr>
              <w:t>HLPF</w:t>
            </w:r>
            <w:proofErr w:type="spellEnd"/>
            <w:r w:rsidRPr="58BAADD2">
              <w:rPr>
                <w:rFonts w:asciiTheme="minorHAnsi" w:eastAsia="DengXian" w:hAnsiTheme="minorHAnsi" w:cstheme="minorBidi"/>
                <w:b/>
                <w:bCs/>
                <w:lang w:eastAsia="zh-CN"/>
              </w:rPr>
              <w:t>:</w:t>
            </w:r>
          </w:p>
          <w:p w14:paraId="54725943" w14:textId="50BE5670" w:rsidR="00125FE2" w:rsidRPr="005873BA" w:rsidRDefault="00D27063" w:rsidP="00783C5A">
            <w:pPr>
              <w:ind w:left="791" w:hanging="360"/>
              <w:jc w:val="both"/>
              <w:rPr>
                <w:rFonts w:asciiTheme="minorHAnsi" w:hAnsiTheme="minorHAnsi" w:cstheme="minorBidi"/>
                <w:lang w:eastAsia="ko-KR"/>
              </w:rPr>
            </w:pPr>
            <w:r w:rsidRPr="58BAADD2">
              <w:rPr>
                <w:rFonts w:asciiTheme="minorHAnsi" w:eastAsia="Malgun Gothic" w:hAnsiTheme="minorHAnsi" w:cstheme="minorBidi"/>
                <w:lang w:eastAsia="ko-KR"/>
              </w:rPr>
              <w:t>–</w:t>
            </w:r>
            <w:r w:rsidR="004C73B0">
              <w:tab/>
            </w:r>
            <w:r w:rsidR="004C73B0">
              <w:tab/>
            </w:r>
            <w:r w:rsidR="00125FE2" w:rsidRPr="58BAADD2">
              <w:rPr>
                <w:rFonts w:asciiTheme="minorHAnsi" w:eastAsia="Malgun Gothic" w:hAnsiTheme="minorHAnsi" w:cstheme="minorBidi"/>
                <w:lang w:eastAsia="ko-KR"/>
              </w:rPr>
              <w:t>Effective digital cooperation serves as a foundational enabler for advancing the ambitious goals of the 2030 Agenda for Sustainable Development, driving inclusive connectivity, innovation and equitable access to digital technologies worldwide. This vision has been reinforced by Member States through major UN Conferences and Summits in recent years, including the Summit of the Future 2024, the 4</w:t>
            </w:r>
            <w:r w:rsidR="00125FE2" w:rsidRPr="58BAADD2">
              <w:rPr>
                <w:rFonts w:asciiTheme="minorHAnsi" w:eastAsia="Malgun Gothic" w:hAnsiTheme="minorHAnsi" w:cstheme="minorBidi"/>
                <w:vertAlign w:val="superscript"/>
                <w:lang w:eastAsia="ko-KR"/>
              </w:rPr>
              <w:t>th</w:t>
            </w:r>
            <w:r w:rsidR="00125FE2" w:rsidRPr="58BAADD2">
              <w:rPr>
                <w:rFonts w:asciiTheme="minorHAnsi" w:eastAsia="Malgun Gothic" w:hAnsiTheme="minorHAnsi" w:cstheme="minorBidi"/>
                <w:lang w:eastAsia="ko-KR"/>
              </w:rPr>
              <w:t xml:space="preserve"> International Conference on Financing for Development and the 2</w:t>
            </w:r>
            <w:r w:rsidR="00125FE2" w:rsidRPr="58BAADD2">
              <w:rPr>
                <w:rFonts w:asciiTheme="minorHAnsi" w:eastAsia="Malgun Gothic" w:hAnsiTheme="minorHAnsi" w:cstheme="minorBidi"/>
                <w:vertAlign w:val="superscript"/>
                <w:lang w:eastAsia="ko-KR"/>
              </w:rPr>
              <w:t>nd</w:t>
            </w:r>
            <w:r w:rsidR="00125FE2" w:rsidRPr="58BAADD2">
              <w:rPr>
                <w:rFonts w:asciiTheme="minorHAnsi" w:eastAsia="Malgun Gothic" w:hAnsiTheme="minorHAnsi" w:cstheme="minorBidi"/>
                <w:lang w:eastAsia="ko-KR"/>
              </w:rPr>
              <w:t xml:space="preserve"> World Summit for Social Development 2025.</w:t>
            </w:r>
          </w:p>
          <w:p w14:paraId="41D750B5" w14:textId="16D8A531" w:rsidR="00125FE2" w:rsidRPr="005873BA" w:rsidRDefault="00D27063" w:rsidP="00783C5A">
            <w:pPr>
              <w:ind w:left="791" w:hanging="360"/>
              <w:jc w:val="both"/>
              <w:rPr>
                <w:rFonts w:asciiTheme="minorHAnsi" w:eastAsia="DengXian" w:hAnsiTheme="minorHAnsi" w:cstheme="minorBidi"/>
                <w:lang w:eastAsia="zh-CN"/>
              </w:rPr>
            </w:pPr>
            <w:r w:rsidRPr="58BAADD2">
              <w:rPr>
                <w:rFonts w:asciiTheme="minorHAnsi" w:eastAsia="DengXian" w:hAnsiTheme="minorHAnsi" w:cstheme="minorBidi"/>
                <w:lang w:eastAsia="ko-KR"/>
              </w:rPr>
              <w:t>–</w:t>
            </w:r>
            <w:r w:rsidR="004C73B0">
              <w:tab/>
            </w:r>
            <w:r w:rsidR="004C73B0">
              <w:tab/>
            </w:r>
            <w:r w:rsidR="00125FE2" w:rsidRPr="58BAADD2">
              <w:rPr>
                <w:rFonts w:asciiTheme="minorHAnsi" w:eastAsia="DengXian" w:hAnsiTheme="minorHAnsi" w:cstheme="minorBidi"/>
                <w:lang w:eastAsia="zh-CN"/>
              </w:rPr>
              <w:t>The increasing reliance on digital infrastructure by national economies and citizens combined with the probability of new global emergencies means regulators will need to switch focus beyond regulating within traditional sectoral frameworks to regulatory frameworks which are adaptive, collaborative, outcomes-based and technology neutral. This includes strengthening the resilience of international connectivity infrastructure, particularly telecommunication submarine cables, which carry over 99% of global data traffic and are an essential enabler of digital inclusion, e-commerce, education, health services, and government operations.</w:t>
            </w:r>
          </w:p>
          <w:p w14:paraId="7C4002C5" w14:textId="50417457" w:rsidR="00125FE2" w:rsidRPr="005873BA" w:rsidRDefault="00D27063" w:rsidP="00783C5A">
            <w:pPr>
              <w:ind w:left="791" w:hanging="360"/>
              <w:jc w:val="both"/>
              <w:rPr>
                <w:rFonts w:asciiTheme="minorHAnsi" w:hAnsiTheme="minorHAnsi" w:cstheme="minorBidi"/>
                <w:lang w:eastAsia="zh-CN"/>
              </w:rPr>
            </w:pPr>
            <w:r w:rsidRPr="58BAADD2">
              <w:rPr>
                <w:rFonts w:asciiTheme="minorHAnsi" w:eastAsia="DengXian" w:hAnsiTheme="minorHAnsi" w:cstheme="minorBidi"/>
                <w:lang w:eastAsia="zh-CN"/>
              </w:rPr>
              <w:t>–</w:t>
            </w:r>
            <w:r w:rsidR="004C73B0">
              <w:tab/>
            </w:r>
            <w:r w:rsidR="004C73B0">
              <w:tab/>
            </w:r>
            <w:r w:rsidR="00125FE2" w:rsidRPr="58BAADD2">
              <w:rPr>
                <w:rFonts w:asciiTheme="minorHAnsi" w:hAnsiTheme="minorHAnsi" w:cstheme="minorBidi"/>
                <w:lang w:eastAsia="zh-CN"/>
              </w:rPr>
              <w:t>Access to the Internet is increasing, but not as quickly and evenly across the world as it needs to. Too many people still live in digital darkness. The global challenge is to commit the resources that would allow everyone to benefit in a meaningful way from being connected.</w:t>
            </w:r>
          </w:p>
          <w:p w14:paraId="3EB749A9" w14:textId="1139ADDF" w:rsidR="00125FE2" w:rsidRPr="005873BA" w:rsidRDefault="00D27063" w:rsidP="00783C5A">
            <w:pPr>
              <w:ind w:left="791" w:hanging="360"/>
              <w:jc w:val="both"/>
              <w:rPr>
                <w:rFonts w:asciiTheme="minorHAnsi" w:eastAsia="DengXian" w:hAnsiTheme="minorHAnsi" w:cstheme="minorBidi"/>
                <w:lang w:eastAsia="zh-CN"/>
              </w:rPr>
            </w:pPr>
            <w:r w:rsidRPr="58BAADD2">
              <w:rPr>
                <w:rFonts w:asciiTheme="minorHAnsi" w:eastAsia="DengXian" w:hAnsiTheme="minorHAnsi" w:cstheme="minorBidi"/>
                <w:lang w:eastAsia="zh-CN"/>
              </w:rPr>
              <w:t>–</w:t>
            </w:r>
            <w:r w:rsidR="00E33861">
              <w:tab/>
            </w:r>
            <w:r w:rsidR="00E33861">
              <w:tab/>
            </w:r>
            <w:r w:rsidR="00125FE2" w:rsidRPr="58BAADD2">
              <w:rPr>
                <w:rFonts w:asciiTheme="minorHAnsi" w:eastAsia="DengXian" w:hAnsiTheme="minorHAnsi" w:cstheme="minorBidi"/>
                <w:lang w:eastAsia="zh-CN"/>
              </w:rPr>
              <w:t>With the 2030 deadline of delivering on the Sustainable Development Goals fast approaching, identifying new strategies to achieve full digital inclusion has become a matter of utmost urgency if we are to have any hope of meeting our Global Goals.</w:t>
            </w:r>
            <w:r w:rsidR="00125FE2" w:rsidRPr="58BAADD2">
              <w:rPr>
                <w:rFonts w:asciiTheme="minorHAnsi" w:eastAsia="Malgun Gothic" w:hAnsiTheme="minorHAnsi" w:cstheme="minorBidi"/>
                <w:lang w:eastAsia="ko-KR"/>
              </w:rPr>
              <w:t xml:space="preserve"> </w:t>
            </w:r>
          </w:p>
          <w:p w14:paraId="1891A93F" w14:textId="30EB64C4" w:rsidR="00125FE2" w:rsidRPr="005873BA" w:rsidRDefault="00D27063" w:rsidP="00783C5A">
            <w:pPr>
              <w:ind w:left="791" w:hanging="360"/>
              <w:jc w:val="both"/>
              <w:rPr>
                <w:rFonts w:asciiTheme="minorHAnsi" w:eastAsia="DengXian" w:hAnsiTheme="minorHAnsi" w:cstheme="minorBidi"/>
                <w:lang w:eastAsia="zh-CN"/>
              </w:rPr>
            </w:pPr>
            <w:r w:rsidRPr="58BAADD2">
              <w:rPr>
                <w:rFonts w:asciiTheme="minorHAnsi" w:eastAsia="DengXian" w:hAnsiTheme="minorHAnsi" w:cstheme="minorBidi"/>
                <w:lang w:eastAsia="zh-CN"/>
              </w:rPr>
              <w:t>–</w:t>
            </w:r>
            <w:r w:rsidR="00E33861">
              <w:tab/>
            </w:r>
            <w:r w:rsidR="00E33861">
              <w:tab/>
            </w:r>
            <w:r w:rsidR="00125FE2" w:rsidRPr="58BAADD2">
              <w:rPr>
                <w:rFonts w:asciiTheme="minorHAnsi" w:eastAsia="DengXian" w:hAnsiTheme="minorHAnsi" w:cstheme="minorBidi"/>
                <w:lang w:eastAsia="zh-CN"/>
              </w:rPr>
              <w:t>That means working more collaboratively to solve chronic gaps in rural access, access at home and at school, digital skills training, quality and speed of connection, and equal digital opportunities for marginalized groups including women and girls, as well as striving to ensure that every country meets the affordability target set by the Broadband Commission for Sustainable Development of less than 2 per cent of monthly gross national income per capita.</w:t>
            </w:r>
          </w:p>
          <w:p w14:paraId="271688FD" w14:textId="25D234D6" w:rsidR="00125FE2" w:rsidRPr="005873BA" w:rsidRDefault="00D27063" w:rsidP="00783C5A">
            <w:pPr>
              <w:spacing w:after="120"/>
              <w:ind w:left="791" w:hanging="360"/>
              <w:jc w:val="both"/>
              <w:rPr>
                <w:rFonts w:asciiTheme="minorHAnsi" w:eastAsia="DengXian" w:hAnsiTheme="minorHAnsi" w:cstheme="minorBidi"/>
                <w:lang w:eastAsia="zh-CN"/>
              </w:rPr>
            </w:pPr>
            <w:r w:rsidRPr="58BAADD2">
              <w:rPr>
                <w:rFonts w:asciiTheme="minorHAnsi" w:eastAsia="DengXian" w:hAnsiTheme="minorHAnsi" w:cstheme="minorBidi"/>
                <w:lang w:eastAsia="zh-CN"/>
              </w:rPr>
              <w:t>–</w:t>
            </w:r>
            <w:r w:rsidR="00E33861">
              <w:tab/>
            </w:r>
            <w:r w:rsidR="00E33861">
              <w:tab/>
            </w:r>
            <w:r w:rsidR="00125FE2" w:rsidRPr="58BAADD2">
              <w:rPr>
                <w:rFonts w:asciiTheme="minorHAnsi" w:eastAsia="DengXian" w:hAnsiTheme="minorHAnsi" w:cstheme="minorBidi"/>
                <w:lang w:eastAsia="zh-CN"/>
              </w:rPr>
              <w:t>Recognize digital cooperation as a strategic accelerator for SDGs 6, 7, 9, 11, and 17, leveraging established WSIS mechanisms.</w:t>
            </w:r>
          </w:p>
          <w:p w14:paraId="2692271B" w14:textId="025E9ED5" w:rsidR="00125FE2" w:rsidRPr="005873BA" w:rsidRDefault="00D27063" w:rsidP="00783C5A">
            <w:pPr>
              <w:spacing w:after="120"/>
              <w:ind w:left="791" w:hanging="360"/>
              <w:jc w:val="both"/>
              <w:rPr>
                <w:rFonts w:asciiTheme="minorHAnsi" w:eastAsia="DengXian" w:hAnsiTheme="minorHAnsi" w:cstheme="minorBidi"/>
                <w:lang w:eastAsia="zh-CN"/>
              </w:rPr>
            </w:pPr>
            <w:r w:rsidRPr="58BAADD2">
              <w:rPr>
                <w:rFonts w:asciiTheme="minorHAnsi" w:eastAsia="DengXian" w:hAnsiTheme="minorHAnsi" w:cstheme="minorBidi"/>
                <w:lang w:eastAsia="zh-CN"/>
              </w:rPr>
              <w:t>–</w:t>
            </w:r>
            <w:r w:rsidR="00E33861">
              <w:tab/>
            </w:r>
            <w:r w:rsidR="00E33861">
              <w:tab/>
            </w:r>
            <w:r w:rsidR="00125FE2" w:rsidRPr="58BAADD2">
              <w:rPr>
                <w:rFonts w:asciiTheme="minorHAnsi" w:eastAsia="DengXian" w:hAnsiTheme="minorHAnsi" w:cstheme="minorBidi"/>
                <w:lang w:eastAsia="zh-CN"/>
              </w:rPr>
              <w:t xml:space="preserve">Strengthen UN-wide coordination through </w:t>
            </w:r>
            <w:proofErr w:type="spellStart"/>
            <w:r w:rsidR="00125FE2" w:rsidRPr="58BAADD2">
              <w:rPr>
                <w:rFonts w:asciiTheme="minorHAnsi" w:eastAsia="DengXian" w:hAnsiTheme="minorHAnsi" w:cstheme="minorBidi"/>
                <w:lang w:eastAsia="zh-CN"/>
              </w:rPr>
              <w:t>UNGIS</w:t>
            </w:r>
            <w:proofErr w:type="spellEnd"/>
            <w:r w:rsidR="00125FE2" w:rsidRPr="58BAADD2">
              <w:rPr>
                <w:rFonts w:asciiTheme="minorHAnsi" w:eastAsia="DengXian" w:hAnsiTheme="minorHAnsi" w:cstheme="minorBidi"/>
                <w:lang w:eastAsia="zh-CN"/>
              </w:rPr>
              <w:t xml:space="preserve"> to ensure ICT initiatives are coherent, evidence-driven, and scalable across sectors.</w:t>
            </w:r>
          </w:p>
          <w:p w14:paraId="4FF2FE70" w14:textId="463F369E" w:rsidR="00125FE2" w:rsidRPr="005873BA" w:rsidRDefault="00D27063" w:rsidP="00783C5A">
            <w:pPr>
              <w:spacing w:after="120"/>
              <w:ind w:left="791" w:hanging="360"/>
              <w:jc w:val="both"/>
              <w:rPr>
                <w:rFonts w:asciiTheme="minorHAnsi" w:eastAsia="DengXian" w:hAnsiTheme="minorHAnsi" w:cstheme="minorBidi"/>
                <w:lang w:eastAsia="zh-CN"/>
              </w:rPr>
            </w:pPr>
            <w:r w:rsidRPr="58BAADD2">
              <w:rPr>
                <w:rFonts w:asciiTheme="minorHAnsi" w:eastAsia="DengXian" w:hAnsiTheme="minorHAnsi" w:cstheme="minorBidi"/>
                <w:lang w:eastAsia="zh-CN"/>
              </w:rPr>
              <w:lastRenderedPageBreak/>
              <w:t>–</w:t>
            </w:r>
            <w:r w:rsidR="00E33861">
              <w:tab/>
            </w:r>
            <w:r w:rsidR="00E33861">
              <w:tab/>
            </w:r>
            <w:r w:rsidR="00125FE2" w:rsidRPr="58BAADD2">
              <w:rPr>
                <w:rFonts w:asciiTheme="minorHAnsi" w:eastAsia="DengXian" w:hAnsiTheme="minorHAnsi" w:cstheme="minorBidi"/>
                <w:lang w:eastAsia="zh-CN"/>
              </w:rPr>
              <w:t>Ensure ICT initiatives are fully aligned with the 2030 Agenda, utilize WSIS Action Lines as a coordinating framework, and reinforce UN-wide collaboration while avoiding duplication.</w:t>
            </w:r>
          </w:p>
          <w:p w14:paraId="38180167" w14:textId="0A41A319" w:rsidR="00125FE2" w:rsidRPr="005873BA" w:rsidRDefault="00D27063" w:rsidP="00783C5A">
            <w:pPr>
              <w:spacing w:after="120"/>
              <w:ind w:left="791" w:hanging="360"/>
              <w:jc w:val="both"/>
              <w:rPr>
                <w:rFonts w:asciiTheme="minorHAnsi" w:eastAsia="DengXian" w:hAnsiTheme="minorHAnsi" w:cstheme="minorBidi"/>
                <w:lang w:eastAsia="zh-CN"/>
              </w:rPr>
            </w:pPr>
            <w:r w:rsidRPr="58BAADD2">
              <w:rPr>
                <w:rFonts w:asciiTheme="minorHAnsi" w:eastAsia="DengXian" w:hAnsiTheme="minorHAnsi" w:cstheme="minorBidi"/>
                <w:lang w:eastAsia="zh-CN"/>
              </w:rPr>
              <w:t>–</w:t>
            </w:r>
            <w:r w:rsidR="00E33861">
              <w:tab/>
            </w:r>
            <w:r w:rsidR="00E33861">
              <w:tab/>
            </w:r>
            <w:r w:rsidR="00125FE2" w:rsidRPr="58BAADD2">
              <w:rPr>
                <w:rFonts w:asciiTheme="minorHAnsi" w:eastAsia="DengXian" w:hAnsiTheme="minorHAnsi" w:cstheme="minorBidi"/>
                <w:lang w:eastAsia="zh-CN"/>
              </w:rPr>
              <w:t>Prioritize capacity-building and digital skills as essential foundations for sustainable and inclusive digital transformation.</w:t>
            </w:r>
          </w:p>
          <w:p w14:paraId="0BFAA9C8" w14:textId="2063640F" w:rsidR="00125FE2" w:rsidRPr="005873BA" w:rsidRDefault="00D27063" w:rsidP="00783C5A">
            <w:pPr>
              <w:spacing w:after="120"/>
              <w:ind w:left="791" w:hanging="360"/>
              <w:jc w:val="both"/>
              <w:rPr>
                <w:rFonts w:asciiTheme="minorHAnsi" w:eastAsia="DengXian" w:hAnsiTheme="minorHAnsi" w:cstheme="minorBidi"/>
                <w:lang w:eastAsia="zh-CN"/>
              </w:rPr>
            </w:pPr>
            <w:r w:rsidRPr="58BAADD2">
              <w:rPr>
                <w:rFonts w:asciiTheme="minorHAnsi" w:eastAsia="DengXian" w:hAnsiTheme="minorHAnsi" w:cstheme="minorBidi"/>
                <w:lang w:eastAsia="zh-CN"/>
              </w:rPr>
              <w:t>–</w:t>
            </w:r>
            <w:r w:rsidR="00E33861">
              <w:tab/>
            </w:r>
            <w:r w:rsidR="00E33861">
              <w:tab/>
            </w:r>
            <w:r w:rsidR="00125FE2" w:rsidRPr="58BAADD2">
              <w:rPr>
                <w:rFonts w:asciiTheme="minorHAnsi" w:eastAsia="DengXian" w:hAnsiTheme="minorHAnsi" w:cstheme="minorBidi"/>
                <w:lang w:eastAsia="zh-CN"/>
              </w:rPr>
              <w:t>Expand universal and meaningful connectivity through development and deployment of ICT infrastructure, enabling access to information for all.</w:t>
            </w:r>
          </w:p>
          <w:p w14:paraId="2A501D92" w14:textId="0579CB9C" w:rsidR="00125FE2" w:rsidRPr="005873BA" w:rsidRDefault="00D27063" w:rsidP="00783C5A">
            <w:pPr>
              <w:spacing w:after="120"/>
              <w:ind w:left="791" w:hanging="360"/>
              <w:jc w:val="both"/>
              <w:rPr>
                <w:rFonts w:asciiTheme="minorHAnsi" w:eastAsia="DengXian" w:hAnsiTheme="minorHAnsi" w:cstheme="minorBidi"/>
                <w:lang w:eastAsia="zh-CN"/>
              </w:rPr>
            </w:pPr>
            <w:r w:rsidRPr="58BAADD2">
              <w:rPr>
                <w:rFonts w:asciiTheme="minorHAnsi" w:eastAsia="DengXian" w:hAnsiTheme="minorHAnsi" w:cstheme="minorBidi"/>
                <w:lang w:eastAsia="zh-CN"/>
              </w:rPr>
              <w:t>–</w:t>
            </w:r>
            <w:r w:rsidR="00E33861">
              <w:tab/>
            </w:r>
            <w:r w:rsidR="00E33861">
              <w:tab/>
            </w:r>
            <w:r w:rsidR="00125FE2" w:rsidRPr="58BAADD2">
              <w:rPr>
                <w:rFonts w:asciiTheme="minorHAnsi" w:eastAsia="DengXian" w:hAnsiTheme="minorHAnsi" w:cstheme="minorBidi"/>
                <w:lang w:eastAsia="zh-CN"/>
              </w:rPr>
              <w:t>Promote building confidence and security in the use of ICTs to ensure safe, trustworthy, and resilient digital environments.</w:t>
            </w:r>
          </w:p>
          <w:p w14:paraId="5E8B418E" w14:textId="21A92C7B" w:rsidR="00125FE2" w:rsidRPr="005873BA" w:rsidRDefault="00D27063" w:rsidP="00783C5A">
            <w:pPr>
              <w:spacing w:after="120"/>
              <w:ind w:left="791" w:hanging="360"/>
              <w:jc w:val="both"/>
              <w:rPr>
                <w:rFonts w:asciiTheme="minorHAnsi" w:eastAsia="DengXian" w:hAnsiTheme="minorHAnsi" w:cstheme="minorBidi"/>
                <w:lang w:eastAsia="zh-CN"/>
              </w:rPr>
            </w:pPr>
            <w:r w:rsidRPr="58BAADD2">
              <w:rPr>
                <w:rFonts w:asciiTheme="minorHAnsi" w:eastAsia="DengXian" w:hAnsiTheme="minorHAnsi" w:cstheme="minorBidi"/>
                <w:lang w:eastAsia="zh-CN"/>
              </w:rPr>
              <w:t>–</w:t>
            </w:r>
            <w:r w:rsidR="00E33861">
              <w:tab/>
            </w:r>
            <w:r w:rsidR="00E33861">
              <w:tab/>
            </w:r>
            <w:r w:rsidR="00125FE2" w:rsidRPr="58BAADD2">
              <w:rPr>
                <w:rFonts w:asciiTheme="minorHAnsi" w:eastAsia="DengXian" w:hAnsiTheme="minorHAnsi" w:cstheme="minorBidi"/>
                <w:lang w:eastAsia="zh-CN"/>
              </w:rPr>
              <w:t>Foster an enabling environment for digital development, supporting policy, regulatory, and institutional frameworks that empower innovation and investment.</w:t>
            </w:r>
          </w:p>
          <w:p w14:paraId="1F5EC46C" w14:textId="79B77DB8" w:rsidR="00125FE2" w:rsidRPr="005873BA" w:rsidRDefault="00D27063" w:rsidP="00783C5A">
            <w:pPr>
              <w:ind w:left="791" w:hanging="360"/>
              <w:jc w:val="both"/>
              <w:rPr>
                <w:rFonts w:asciiTheme="minorHAnsi" w:eastAsia="DengXian" w:hAnsiTheme="minorHAnsi" w:cstheme="minorBidi"/>
                <w:b/>
                <w:bCs/>
                <w:lang w:eastAsia="zh-CN"/>
              </w:rPr>
            </w:pPr>
            <w:r w:rsidRPr="58BAADD2">
              <w:rPr>
                <w:rFonts w:asciiTheme="minorHAnsi" w:eastAsia="DengXian" w:hAnsiTheme="minorHAnsi" w:cstheme="minorBidi"/>
                <w:lang w:eastAsia="zh-CN"/>
              </w:rPr>
              <w:t>–</w:t>
            </w:r>
            <w:r w:rsidR="00E33861">
              <w:tab/>
            </w:r>
            <w:r w:rsidR="00E33861">
              <w:tab/>
            </w:r>
            <w:r w:rsidR="00125FE2" w:rsidRPr="58BAADD2">
              <w:rPr>
                <w:rFonts w:asciiTheme="minorHAnsi" w:eastAsia="DengXian" w:hAnsiTheme="minorHAnsi" w:cstheme="minorBidi"/>
                <w:lang w:eastAsia="zh-CN"/>
              </w:rPr>
              <w:t xml:space="preserve">Promote scaling of proven ICT-enabled solutions documented through WSIS Stocktaking and WSIS Prizes, with priority for </w:t>
            </w:r>
            <w:proofErr w:type="spellStart"/>
            <w:r w:rsidR="00125FE2" w:rsidRPr="58BAADD2">
              <w:rPr>
                <w:rFonts w:asciiTheme="minorHAnsi" w:eastAsia="DengXian" w:hAnsiTheme="minorHAnsi" w:cstheme="minorBidi"/>
                <w:lang w:eastAsia="zh-CN"/>
              </w:rPr>
              <w:t>LDCs</w:t>
            </w:r>
            <w:proofErr w:type="spellEnd"/>
            <w:r w:rsidR="00125FE2" w:rsidRPr="58BAADD2">
              <w:rPr>
                <w:rFonts w:asciiTheme="minorHAnsi" w:eastAsia="DengXian" w:hAnsiTheme="minorHAnsi" w:cstheme="minorBidi"/>
                <w:lang w:eastAsia="zh-CN"/>
              </w:rPr>
              <w:t xml:space="preserve">, </w:t>
            </w:r>
            <w:proofErr w:type="spellStart"/>
            <w:r w:rsidR="00125FE2" w:rsidRPr="58BAADD2">
              <w:rPr>
                <w:rFonts w:asciiTheme="minorHAnsi" w:eastAsia="DengXian" w:hAnsiTheme="minorHAnsi" w:cstheme="minorBidi"/>
                <w:lang w:eastAsia="zh-CN"/>
              </w:rPr>
              <w:t>LLDCs</w:t>
            </w:r>
            <w:proofErr w:type="spellEnd"/>
            <w:r w:rsidR="00125FE2" w:rsidRPr="58BAADD2">
              <w:rPr>
                <w:rFonts w:asciiTheme="minorHAnsi" w:eastAsia="DengXian" w:hAnsiTheme="minorHAnsi" w:cstheme="minorBidi"/>
                <w:lang w:eastAsia="zh-CN"/>
              </w:rPr>
              <w:t>, and SIDS.</w:t>
            </w:r>
          </w:p>
        </w:tc>
      </w:tr>
    </w:tbl>
    <w:p w14:paraId="3844FE33" w14:textId="44D4D0F4" w:rsidR="00125FE2" w:rsidRPr="002132E3" w:rsidRDefault="00125FE2" w:rsidP="58BAADD2">
      <w:r>
        <w:lastRenderedPageBreak/>
        <w:br w:type="page"/>
      </w:r>
    </w:p>
    <w:p w14:paraId="29AEEE35" w14:textId="51A2F239" w:rsidR="00125FE2" w:rsidRPr="002132E3" w:rsidRDefault="00125FE2" w:rsidP="58BAADD2">
      <w:pPr>
        <w:pStyle w:val="AnnexNo"/>
        <w:tabs>
          <w:tab w:val="clear" w:pos="567"/>
          <w:tab w:val="clear" w:pos="1134"/>
          <w:tab w:val="clear" w:pos="1701"/>
          <w:tab w:val="clear" w:pos="2268"/>
          <w:tab w:val="clear" w:pos="2835"/>
        </w:tabs>
        <w:spacing w:before="0" w:line="259" w:lineRule="auto"/>
        <w:rPr>
          <w:rFonts w:eastAsia="DengXian"/>
          <w:lang w:eastAsia="zh-CN"/>
        </w:rPr>
      </w:pPr>
      <w:bookmarkStart w:id="11" w:name="Annex1"/>
      <w:bookmarkEnd w:id="11"/>
      <w:r w:rsidRPr="58BAADD2">
        <w:rPr>
          <w:rFonts w:eastAsia="DengXian"/>
        </w:rPr>
        <w:lastRenderedPageBreak/>
        <w:t>ANNEX</w:t>
      </w:r>
      <w:r w:rsidRPr="58BAADD2">
        <w:rPr>
          <w:rFonts w:eastAsia="DengXian"/>
          <w:lang w:eastAsia="zh-CN"/>
        </w:rPr>
        <w:t xml:space="preserve"> 1</w:t>
      </w:r>
    </w:p>
    <w:p w14:paraId="36F5346E" w14:textId="195EF1BE" w:rsidR="00125FE2" w:rsidRPr="002132E3" w:rsidRDefault="00125FE2" w:rsidP="00D27063">
      <w:pPr>
        <w:pStyle w:val="Annextitle"/>
        <w:rPr>
          <w:rFonts w:eastAsia="DengXian"/>
        </w:rPr>
      </w:pPr>
      <w:r w:rsidRPr="002132E3">
        <w:rPr>
          <w:rFonts w:eastAsia="DengXian"/>
        </w:rPr>
        <w:t>I</w:t>
      </w:r>
      <w:r w:rsidR="00D27063" w:rsidRPr="002132E3">
        <w:rPr>
          <w:rFonts w:eastAsia="DengXian"/>
        </w:rPr>
        <w:t>n</w:t>
      </w:r>
      <w:r w:rsidRPr="002132E3">
        <w:rPr>
          <w:rFonts w:eastAsia="DengXian"/>
        </w:rPr>
        <w:t>-</w:t>
      </w:r>
      <w:r w:rsidR="00D27063" w:rsidRPr="002132E3">
        <w:rPr>
          <w:rFonts w:eastAsia="DengXian"/>
        </w:rPr>
        <w:t xml:space="preserve">depth view of the role of ICTs </w:t>
      </w:r>
      <w:r w:rsidR="00D27063" w:rsidRPr="00D27063">
        <w:rPr>
          <w:rFonts w:eastAsia="DengXian"/>
        </w:rPr>
        <w:t>and</w:t>
      </w:r>
      <w:r w:rsidR="00D27063" w:rsidRPr="002132E3">
        <w:rPr>
          <w:rFonts w:eastAsia="DengXian"/>
        </w:rPr>
        <w:t xml:space="preserve"> ITU’s contributions to Goals </w:t>
      </w:r>
      <w:r w:rsidRPr="002132E3">
        <w:rPr>
          <w:rFonts w:eastAsia="DengXian"/>
        </w:rPr>
        <w:t>6 (on clean water and sanitation), 7 (on affordable and clean energy), 9 (on industry, innovation and infrastructure), 11 (on sustainable cities and communities), and 17 (on partnerships for the Goals)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125FE2" w:rsidRPr="00D27063" w14:paraId="24DB68D1" w14:textId="77777777" w:rsidTr="58BAADD2">
        <w:tc>
          <w:tcPr>
            <w:tcW w:w="9016" w:type="dxa"/>
          </w:tcPr>
          <w:p w14:paraId="77E93D3E" w14:textId="77777777" w:rsidR="00125FE2" w:rsidRPr="00D27063" w:rsidRDefault="00125FE2" w:rsidP="00ED69D8">
            <w:pPr>
              <w:tabs>
                <w:tab w:val="clear" w:pos="567"/>
                <w:tab w:val="clear" w:pos="1134"/>
                <w:tab w:val="clear" w:pos="1701"/>
                <w:tab w:val="clear" w:pos="2268"/>
                <w:tab w:val="clear" w:pos="2835"/>
              </w:tabs>
              <w:overflowPunct/>
              <w:autoSpaceDE/>
              <w:autoSpaceDN/>
              <w:adjustRightInd/>
              <w:spacing w:after="120" w:line="259" w:lineRule="auto"/>
              <w:jc w:val="both"/>
              <w:textAlignment w:val="auto"/>
              <w:rPr>
                <w:rFonts w:asciiTheme="minorHAnsi" w:eastAsia="DengXian" w:hAnsiTheme="minorHAnsi" w:cstheme="minorBidi"/>
                <w:lang w:eastAsia="zh-CN"/>
              </w:rPr>
            </w:pPr>
            <w:r w:rsidRPr="58BAADD2">
              <w:rPr>
                <w:rFonts w:asciiTheme="minorHAnsi" w:eastAsia="DengXian" w:hAnsiTheme="minorHAnsi" w:cstheme="minorBidi"/>
                <w:b/>
                <w:bCs/>
                <w:lang w:eastAsia="zh-CN"/>
              </w:rPr>
              <w:t>Goal 6: Ensure availability and sustainability management of water and sanitation for all</w:t>
            </w:r>
            <w:r w:rsidRPr="58BAADD2">
              <w:rPr>
                <w:rFonts w:asciiTheme="minorHAnsi" w:eastAsia="DengXian" w:hAnsiTheme="minorHAnsi" w:cstheme="minorBidi"/>
                <w:lang w:eastAsia="zh-CN"/>
              </w:rPr>
              <w:t xml:space="preserve"> </w:t>
            </w:r>
          </w:p>
          <w:p w14:paraId="49DF7932" w14:textId="77777777" w:rsidR="00125FE2" w:rsidRPr="00D27063" w:rsidRDefault="00125FE2" w:rsidP="00ED69D8">
            <w:pPr>
              <w:tabs>
                <w:tab w:val="clear" w:pos="567"/>
                <w:tab w:val="clear" w:pos="1134"/>
                <w:tab w:val="clear" w:pos="1701"/>
                <w:tab w:val="clear" w:pos="2268"/>
                <w:tab w:val="clear" w:pos="2835"/>
              </w:tabs>
              <w:overflowPunct/>
              <w:autoSpaceDE/>
              <w:autoSpaceDN/>
              <w:adjustRightInd/>
              <w:spacing w:after="120" w:line="259" w:lineRule="auto"/>
              <w:ind w:left="155"/>
              <w:jc w:val="both"/>
              <w:textAlignment w:val="auto"/>
              <w:rPr>
                <w:rFonts w:asciiTheme="minorHAnsi" w:eastAsia="DengXian" w:hAnsiTheme="minorHAnsi" w:cstheme="minorBidi"/>
                <w:i/>
                <w:iCs/>
                <w:lang w:eastAsia="zh-CN"/>
              </w:rPr>
            </w:pPr>
            <w:r w:rsidRPr="58BAADD2">
              <w:rPr>
                <w:rFonts w:asciiTheme="minorHAnsi" w:eastAsia="DengXian" w:hAnsiTheme="minorHAnsi" w:cstheme="minorBidi"/>
                <w:i/>
                <w:iCs/>
                <w:lang w:eastAsia="zh-CN"/>
              </w:rPr>
              <w:t xml:space="preserve">ICTs are particularly important for smart water management, facilitating the measurement and monitoring of water supplies as well as necessary interventions, and enabling practitioners at the local level to ensure the equitable and sustainable extension of water, sanitation and hygiene (WASH) services. As the costs of ICTs continues to fall, governments will be able to better integrate ICTs into monitoring and evaluation frameworks to optimize operations and improve the quality of service. </w:t>
            </w:r>
          </w:p>
          <w:p w14:paraId="1D394ECE" w14:textId="77777777" w:rsidR="00125FE2" w:rsidRPr="00D27063" w:rsidRDefault="00125FE2" w:rsidP="00ED69D8">
            <w:pPr>
              <w:tabs>
                <w:tab w:val="clear" w:pos="567"/>
                <w:tab w:val="clear" w:pos="1134"/>
                <w:tab w:val="clear" w:pos="1701"/>
                <w:tab w:val="clear" w:pos="2268"/>
                <w:tab w:val="clear" w:pos="2835"/>
              </w:tabs>
              <w:overflowPunct/>
              <w:autoSpaceDE/>
              <w:autoSpaceDN/>
              <w:adjustRightInd/>
              <w:spacing w:after="120" w:line="259" w:lineRule="auto"/>
              <w:ind w:left="720" w:hanging="720"/>
              <w:jc w:val="both"/>
              <w:textAlignment w:val="auto"/>
              <w:rPr>
                <w:rFonts w:asciiTheme="minorHAnsi" w:eastAsia="DengXian" w:hAnsiTheme="minorHAnsi" w:cstheme="minorBidi"/>
                <w:b/>
                <w:bCs/>
                <w:lang w:eastAsia="zh-CN"/>
              </w:rPr>
            </w:pPr>
            <w:r w:rsidRPr="58BAADD2">
              <w:rPr>
                <w:rFonts w:asciiTheme="minorHAnsi" w:eastAsia="DengXian" w:hAnsiTheme="minorHAnsi" w:cstheme="minorBidi"/>
                <w:b/>
                <w:bCs/>
                <w:lang w:eastAsia="zh-CN"/>
              </w:rPr>
              <w:t xml:space="preserve">ITU contributes to </w:t>
            </w:r>
            <w:proofErr w:type="spellStart"/>
            <w:r w:rsidRPr="58BAADD2">
              <w:rPr>
                <w:rFonts w:asciiTheme="minorHAnsi" w:eastAsia="DengXian" w:hAnsiTheme="minorHAnsi" w:cstheme="minorBidi"/>
                <w:b/>
                <w:bCs/>
                <w:lang w:eastAsia="zh-CN"/>
              </w:rPr>
              <w:t>SDG6</w:t>
            </w:r>
            <w:proofErr w:type="spellEnd"/>
            <w:r w:rsidRPr="58BAADD2">
              <w:rPr>
                <w:rFonts w:asciiTheme="minorHAnsi" w:eastAsia="DengXian" w:hAnsiTheme="minorHAnsi" w:cstheme="minorBidi"/>
                <w:b/>
                <w:bCs/>
                <w:lang w:eastAsia="zh-CN"/>
              </w:rPr>
              <w:t xml:space="preserve">: </w:t>
            </w:r>
          </w:p>
          <w:p w14:paraId="3A90EDEF" w14:textId="6BED44E0" w:rsidR="00125FE2" w:rsidRPr="00D27063" w:rsidRDefault="00D27063" w:rsidP="00ED69D8">
            <w:pPr>
              <w:tabs>
                <w:tab w:val="clear" w:pos="567"/>
                <w:tab w:val="clear" w:pos="1134"/>
                <w:tab w:val="clear" w:pos="1701"/>
                <w:tab w:val="clear" w:pos="2268"/>
                <w:tab w:val="clear" w:pos="2835"/>
              </w:tabs>
              <w:overflowPunct/>
              <w:autoSpaceDE/>
              <w:autoSpaceDN/>
              <w:adjustRightInd/>
              <w:spacing w:after="120" w:line="259" w:lineRule="auto"/>
              <w:ind w:left="630" w:hanging="450"/>
              <w:jc w:val="both"/>
              <w:textAlignment w:val="auto"/>
              <w:rPr>
                <w:rFonts w:asciiTheme="minorHAnsi" w:eastAsia="DengXian" w:hAnsiTheme="minorHAnsi" w:cstheme="minorBidi"/>
                <w:lang w:eastAsia="zh-CN"/>
              </w:rPr>
            </w:pPr>
            <w:r w:rsidRPr="58BAADD2">
              <w:rPr>
                <w:rFonts w:eastAsia="SimSun" w:cs="Calibri"/>
                <w:lang w:eastAsia="zh-CN"/>
              </w:rPr>
              <w:t>–</w:t>
            </w:r>
            <w:r>
              <w:tab/>
            </w:r>
            <w:r w:rsidR="00125FE2" w:rsidRPr="58BAADD2">
              <w:rPr>
                <w:rFonts w:asciiTheme="minorHAnsi" w:eastAsia="DengXian" w:hAnsiTheme="minorHAnsi" w:cstheme="minorBidi"/>
                <w:lang w:eastAsia="zh-CN"/>
              </w:rPr>
              <w:t>ITU contributes to targets 6.1, 6.4 and 6.5 through the work of study groups on creating the Smart Society, which raises awareness and examines best practices for fostering and enabling the deployment and use of smart devices, including management and control of drinking water supplies, water pumps, among others. This is especially important in developing countries;</w:t>
            </w:r>
          </w:p>
          <w:p w14:paraId="6504AD08" w14:textId="059418A9" w:rsidR="00125FE2" w:rsidRPr="00D27063" w:rsidRDefault="00D27063" w:rsidP="00ED69D8">
            <w:pPr>
              <w:tabs>
                <w:tab w:val="clear" w:pos="567"/>
                <w:tab w:val="clear" w:pos="1134"/>
                <w:tab w:val="clear" w:pos="1701"/>
                <w:tab w:val="clear" w:pos="2268"/>
                <w:tab w:val="clear" w:pos="2835"/>
              </w:tabs>
              <w:overflowPunct/>
              <w:autoSpaceDE/>
              <w:autoSpaceDN/>
              <w:adjustRightInd/>
              <w:spacing w:after="120" w:line="259" w:lineRule="auto"/>
              <w:ind w:left="630" w:hanging="450"/>
              <w:jc w:val="both"/>
              <w:textAlignment w:val="auto"/>
              <w:rPr>
                <w:rFonts w:asciiTheme="minorHAnsi" w:eastAsia="DengXian" w:hAnsiTheme="minorHAnsi" w:cstheme="minorBidi"/>
                <w:lang w:eastAsia="zh-CN"/>
              </w:rPr>
            </w:pPr>
            <w:r w:rsidRPr="58BAADD2">
              <w:rPr>
                <w:rFonts w:eastAsia="SimSun" w:cs="Calibri"/>
                <w:lang w:eastAsia="zh-CN"/>
              </w:rPr>
              <w:t>–</w:t>
            </w:r>
            <w:r>
              <w:tab/>
            </w:r>
            <w:r w:rsidR="00125FE2" w:rsidRPr="58BAADD2">
              <w:rPr>
                <w:rFonts w:asciiTheme="minorHAnsi" w:eastAsia="DengXian" w:hAnsiTheme="minorHAnsi" w:cstheme="minorBidi"/>
                <w:lang w:eastAsia="zh-CN"/>
              </w:rPr>
              <w:t xml:space="preserve">ITU contributes to target 6.4, recognizing the need to develop ‘smart’ water-management systems; one that incorporates the views of irrigation, agriculture, environment and communications ministries as well as those of the ICT industry and relevant intergovernmental and non-governmental organizations. A number of relevant texts were developed; </w:t>
            </w:r>
          </w:p>
          <w:p w14:paraId="7F6F097C" w14:textId="3E28C86E" w:rsidR="00125FE2" w:rsidRPr="00D27063" w:rsidRDefault="00D27063" w:rsidP="00ED69D8">
            <w:pPr>
              <w:tabs>
                <w:tab w:val="clear" w:pos="567"/>
                <w:tab w:val="clear" w:pos="1134"/>
                <w:tab w:val="clear" w:pos="1701"/>
                <w:tab w:val="clear" w:pos="2268"/>
                <w:tab w:val="clear" w:pos="2835"/>
              </w:tabs>
              <w:overflowPunct/>
              <w:autoSpaceDE/>
              <w:autoSpaceDN/>
              <w:adjustRightInd/>
              <w:spacing w:after="120" w:line="259" w:lineRule="auto"/>
              <w:ind w:left="630" w:hanging="450"/>
              <w:jc w:val="both"/>
              <w:textAlignment w:val="auto"/>
              <w:rPr>
                <w:rFonts w:asciiTheme="minorHAnsi" w:eastAsia="DengXian" w:hAnsiTheme="minorHAnsi" w:cstheme="minorBidi"/>
                <w:lang w:eastAsia="zh-CN"/>
              </w:rPr>
            </w:pPr>
            <w:r w:rsidRPr="58BAADD2">
              <w:rPr>
                <w:rFonts w:eastAsia="SimSun" w:cs="Calibri"/>
                <w:lang w:eastAsia="zh-CN"/>
              </w:rPr>
              <w:t>–</w:t>
            </w:r>
            <w:r>
              <w:tab/>
            </w:r>
            <w:r w:rsidR="00125FE2" w:rsidRPr="58BAADD2">
              <w:rPr>
                <w:rFonts w:asciiTheme="minorHAnsi" w:eastAsia="DengXian" w:hAnsiTheme="minorHAnsi" w:cstheme="minorBidi"/>
                <w:lang w:eastAsia="zh-CN"/>
              </w:rPr>
              <w:t xml:space="preserve">ITU also contributes to SGD target 6.4 by studying smart water management in the context of IoT and smart cities; </w:t>
            </w:r>
          </w:p>
          <w:p w14:paraId="61CBC45E" w14:textId="7229C71D" w:rsidR="00125FE2" w:rsidRPr="00D27063" w:rsidRDefault="00D27063" w:rsidP="00ED69D8">
            <w:pPr>
              <w:tabs>
                <w:tab w:val="clear" w:pos="567"/>
                <w:tab w:val="clear" w:pos="1134"/>
                <w:tab w:val="clear" w:pos="1701"/>
                <w:tab w:val="clear" w:pos="2268"/>
                <w:tab w:val="clear" w:pos="2835"/>
              </w:tabs>
              <w:overflowPunct/>
              <w:autoSpaceDE/>
              <w:autoSpaceDN/>
              <w:adjustRightInd/>
              <w:spacing w:after="120" w:line="259" w:lineRule="auto"/>
              <w:ind w:left="630" w:hanging="450"/>
              <w:jc w:val="both"/>
              <w:textAlignment w:val="auto"/>
              <w:rPr>
                <w:rFonts w:asciiTheme="minorHAnsi" w:eastAsia="DengXian" w:hAnsiTheme="minorHAnsi" w:cstheme="minorBidi"/>
                <w:lang w:eastAsia="zh-CN"/>
              </w:rPr>
            </w:pPr>
            <w:r w:rsidRPr="58BAADD2">
              <w:rPr>
                <w:rFonts w:eastAsia="SimSun" w:cs="Calibri"/>
                <w:lang w:eastAsia="zh-CN"/>
              </w:rPr>
              <w:t>–</w:t>
            </w:r>
            <w:r>
              <w:tab/>
            </w:r>
            <w:r w:rsidR="00125FE2" w:rsidRPr="58BAADD2">
              <w:rPr>
                <w:rFonts w:asciiTheme="minorHAnsi" w:eastAsia="DengXian" w:hAnsiTheme="minorHAnsi" w:cstheme="minorBidi"/>
                <w:lang w:eastAsia="zh-CN"/>
              </w:rPr>
              <w:t>Radiocommunication systems, as enabled by ITU activities, are fundamental for Target 6.6, to monitor the water cycle and groundwater and help to efficiently monitor, protect and restore water resources and associated ecosystems;</w:t>
            </w:r>
          </w:p>
          <w:p w14:paraId="613940C2" w14:textId="773B7B9C" w:rsidR="00125FE2" w:rsidRPr="00D27063" w:rsidRDefault="00D27063" w:rsidP="00ED69D8">
            <w:pPr>
              <w:tabs>
                <w:tab w:val="clear" w:pos="567"/>
                <w:tab w:val="clear" w:pos="1134"/>
                <w:tab w:val="clear" w:pos="1701"/>
                <w:tab w:val="clear" w:pos="2268"/>
                <w:tab w:val="clear" w:pos="2835"/>
              </w:tabs>
              <w:overflowPunct/>
              <w:autoSpaceDE/>
              <w:autoSpaceDN/>
              <w:adjustRightInd/>
              <w:spacing w:after="120" w:line="259" w:lineRule="auto"/>
              <w:ind w:left="630" w:hanging="450"/>
              <w:jc w:val="both"/>
              <w:textAlignment w:val="auto"/>
              <w:rPr>
                <w:rFonts w:asciiTheme="minorHAnsi" w:eastAsia="DengXian" w:hAnsiTheme="minorHAnsi" w:cstheme="minorBidi"/>
                <w:lang w:eastAsia="zh-CN"/>
              </w:rPr>
            </w:pPr>
            <w:r w:rsidRPr="58BAADD2">
              <w:rPr>
                <w:rFonts w:eastAsia="SimSun" w:cs="Calibri"/>
                <w:lang w:eastAsia="zh-CN"/>
              </w:rPr>
              <w:t>–</w:t>
            </w:r>
            <w:r>
              <w:tab/>
            </w:r>
            <w:r w:rsidR="00125FE2" w:rsidRPr="58BAADD2">
              <w:rPr>
                <w:rFonts w:asciiTheme="minorHAnsi" w:eastAsia="DengXian" w:hAnsiTheme="minorHAnsi" w:cstheme="minorBidi"/>
                <w:lang w:eastAsia="zh-CN"/>
              </w:rPr>
              <w:t>ITU-R has published a Report on smart grid utility management systems that explains how smart grid connectivity and communications help to reduce the overall electricity demand through system optimization as well as to integrate renewable energy resources. Similar developments are taking place in gas and water infrastructure (including clean water, wastewater and sewerage, and hot water);</w:t>
            </w:r>
          </w:p>
          <w:p w14:paraId="6C7640EB" w14:textId="270B9A06" w:rsidR="00125FE2" w:rsidRPr="00D27063" w:rsidRDefault="00D27063" w:rsidP="00ED69D8">
            <w:pPr>
              <w:tabs>
                <w:tab w:val="clear" w:pos="567"/>
                <w:tab w:val="clear" w:pos="1134"/>
                <w:tab w:val="clear" w:pos="1701"/>
                <w:tab w:val="clear" w:pos="2268"/>
                <w:tab w:val="clear" w:pos="2835"/>
              </w:tabs>
              <w:overflowPunct/>
              <w:autoSpaceDE/>
              <w:autoSpaceDN/>
              <w:adjustRightInd/>
              <w:spacing w:after="120"/>
              <w:ind w:left="630" w:hanging="450"/>
              <w:jc w:val="both"/>
              <w:textAlignment w:val="auto"/>
              <w:rPr>
                <w:rFonts w:eastAsia="Calibri" w:cs="Calibri"/>
                <w:lang w:eastAsia="zh-CN"/>
              </w:rPr>
            </w:pPr>
            <w:r w:rsidRPr="58BAADD2">
              <w:rPr>
                <w:rFonts w:eastAsia="SimSun" w:cs="Calibri"/>
                <w:lang w:eastAsia="zh-CN"/>
              </w:rPr>
              <w:t>–</w:t>
            </w:r>
            <w:r>
              <w:tab/>
            </w:r>
            <w:r w:rsidR="00125FE2" w:rsidRPr="58BAADD2">
              <w:rPr>
                <w:rFonts w:eastAsia="Calibri" w:cs="Calibri"/>
              </w:rPr>
              <w:t xml:space="preserve">The ITU </w:t>
            </w:r>
            <w:proofErr w:type="spellStart"/>
            <w:r w:rsidR="00125FE2" w:rsidRPr="58BAADD2">
              <w:rPr>
                <w:rFonts w:eastAsia="Calibri" w:cs="Calibri"/>
              </w:rPr>
              <w:t>EGTI</w:t>
            </w:r>
            <w:proofErr w:type="spellEnd"/>
            <w:r w:rsidR="00125FE2" w:rsidRPr="58BAADD2">
              <w:rPr>
                <w:rFonts w:eastAsia="Calibri" w:cs="Calibri"/>
              </w:rPr>
              <w:t xml:space="preserve"> Subgroup on National Greenhouse Gas Emission Monitoring Indicators has been tasked with defining a set of harmonized environmental indicators to support national-level monitoring of the ICT sector’s environmental impact. These indicators aim to strengthen countries’ capacity to measure and monitor these impacts, enabling them to develop more informed policies. Water related indicators </w:t>
            </w:r>
            <w:r w:rsidR="00125FE2" w:rsidRPr="58BAADD2">
              <w:rPr>
                <w:rFonts w:eastAsia="Calibri" w:cs="Calibri"/>
              </w:rPr>
              <w:lastRenderedPageBreak/>
              <w:t xml:space="preserve">are included, these related to water consumption for manufacturing equipment, end-user devices and data </w:t>
            </w:r>
            <w:proofErr w:type="spellStart"/>
            <w:r w:rsidR="00125FE2" w:rsidRPr="58BAADD2">
              <w:rPr>
                <w:rFonts w:eastAsia="Calibri" w:cs="Calibri"/>
              </w:rPr>
              <w:t>centers</w:t>
            </w:r>
            <w:proofErr w:type="spellEnd"/>
            <w:r w:rsidR="00125FE2" w:rsidRPr="58BAADD2">
              <w:rPr>
                <w:rFonts w:eastAsia="Calibri" w:cs="Calibri"/>
              </w:rPr>
              <w:t xml:space="preserve"> in operation;</w:t>
            </w:r>
          </w:p>
          <w:p w14:paraId="0FA56D89" w14:textId="13389698" w:rsidR="00125FE2" w:rsidRPr="00D27063" w:rsidRDefault="00D27063" w:rsidP="00ED69D8">
            <w:pPr>
              <w:tabs>
                <w:tab w:val="clear" w:pos="567"/>
                <w:tab w:val="clear" w:pos="1134"/>
                <w:tab w:val="clear" w:pos="1701"/>
                <w:tab w:val="clear" w:pos="2268"/>
                <w:tab w:val="clear" w:pos="2835"/>
              </w:tabs>
              <w:overflowPunct/>
              <w:autoSpaceDE/>
              <w:autoSpaceDN/>
              <w:adjustRightInd/>
              <w:spacing w:after="120" w:line="259" w:lineRule="auto"/>
              <w:ind w:left="608" w:hanging="450"/>
              <w:jc w:val="both"/>
              <w:textAlignment w:val="auto"/>
              <w:rPr>
                <w:rFonts w:asciiTheme="minorHAnsi" w:eastAsia="DengXian" w:hAnsiTheme="minorHAnsi" w:cstheme="minorHAnsi"/>
                <w:szCs w:val="24"/>
                <w:lang w:eastAsia="zh-CN"/>
              </w:rPr>
            </w:pPr>
            <w:r>
              <w:rPr>
                <w:rFonts w:eastAsia="SimSun" w:cs="Calibri"/>
                <w:szCs w:val="24"/>
                <w:lang w:eastAsia="zh-CN"/>
              </w:rPr>
              <w:t>–</w:t>
            </w:r>
            <w:r w:rsidR="0016155B" w:rsidRPr="00D27063">
              <w:rPr>
                <w:rFonts w:eastAsia="SimSun" w:cs="Calibri"/>
                <w:szCs w:val="24"/>
                <w:lang w:eastAsia="zh-CN"/>
              </w:rPr>
              <w:tab/>
            </w:r>
            <w:r w:rsidR="00125FE2" w:rsidRPr="00D27063">
              <w:rPr>
                <w:rFonts w:asciiTheme="minorHAnsi" w:eastAsia="DengXian" w:hAnsiTheme="minorHAnsi" w:cstheme="minorHAnsi"/>
                <w:szCs w:val="24"/>
                <w:lang w:eastAsia="zh-CN"/>
              </w:rPr>
              <w:t xml:space="preserve">ITU contributes to Target 6.3 through its </w:t>
            </w:r>
            <w:r w:rsidR="00125FE2" w:rsidRPr="00D27063">
              <w:rPr>
                <w:rFonts w:eastAsia="Calibri" w:cs="Calibri"/>
                <w:szCs w:val="24"/>
              </w:rPr>
              <w:t>circular economy programme, collaborating in projects with international funding partners that include UN Environment Programme and UN Institute for Training and Research, GIZ, Government of the Kingdom of Saudi Arabia, Government of Australia and Government of Colombia to provide technical assistance to the governments of Rwanda, Dominican Republic, Indonesia, Malawi, Botswana, Niger, Burundi, Thailand, Mongolia, Seychelles, Paraguay, Namibia, Zambia and Uganda. These countries have been assisted with developing and implementing their e-waste management systems, namely through having more effective policy and regulation in place. The support has advanced the legal, financial and administrative aspects of e-waste management in these countries, predominately under the extended producer responsibility (EPR) principle. These</w:t>
            </w:r>
            <w:r w:rsidR="00125FE2" w:rsidRPr="00D27063">
              <w:rPr>
                <w:rFonts w:eastAsia="DengXian" w:cs="Calibri"/>
                <w:szCs w:val="24"/>
                <w:lang w:eastAsia="zh-CN"/>
              </w:rPr>
              <w:t xml:space="preserve"> efforts help to reduce pollution, eliminate dumping, and minimize release of hazardous chemicals and materials contained within e-waste which can make their way into water bodies and the environment.</w:t>
            </w:r>
          </w:p>
          <w:p w14:paraId="5867E57A" w14:textId="03C8880A" w:rsidR="00125FE2" w:rsidRPr="00D27063" w:rsidRDefault="00D27063" w:rsidP="00ED69D8">
            <w:pPr>
              <w:tabs>
                <w:tab w:val="clear" w:pos="567"/>
                <w:tab w:val="clear" w:pos="1134"/>
                <w:tab w:val="clear" w:pos="1701"/>
                <w:tab w:val="clear" w:pos="2268"/>
                <w:tab w:val="clear" w:pos="2835"/>
              </w:tabs>
              <w:overflowPunct/>
              <w:autoSpaceDE/>
              <w:autoSpaceDN/>
              <w:adjustRightInd/>
              <w:spacing w:after="120" w:line="259" w:lineRule="auto"/>
              <w:ind w:left="608" w:hanging="450"/>
              <w:jc w:val="both"/>
              <w:textAlignment w:val="auto"/>
              <w:rPr>
                <w:rFonts w:asciiTheme="minorHAnsi" w:eastAsia="DengXian" w:hAnsiTheme="minorHAnsi" w:cstheme="minorHAnsi"/>
                <w:szCs w:val="24"/>
                <w:lang w:eastAsia="zh-CN"/>
              </w:rPr>
            </w:pPr>
            <w:r>
              <w:rPr>
                <w:rFonts w:eastAsia="SimSun" w:cs="Calibri"/>
                <w:szCs w:val="24"/>
                <w:lang w:eastAsia="zh-CN"/>
              </w:rPr>
              <w:t>–</w:t>
            </w:r>
            <w:r w:rsidR="0016155B" w:rsidRPr="00D27063">
              <w:rPr>
                <w:rFonts w:eastAsia="SimSun" w:cs="Calibri"/>
                <w:szCs w:val="24"/>
                <w:lang w:eastAsia="zh-CN"/>
              </w:rPr>
              <w:tab/>
            </w:r>
            <w:r w:rsidR="00125FE2" w:rsidRPr="00D27063">
              <w:rPr>
                <w:rFonts w:asciiTheme="minorHAnsi" w:eastAsia="DengXian" w:hAnsiTheme="minorHAnsi" w:cstheme="minorHAnsi"/>
                <w:szCs w:val="24"/>
                <w:lang w:eastAsia="zh-CN"/>
              </w:rPr>
              <w:t>Through its standardization work, ITU also contributes to Target 6.4 by developing international standards and methodologies that promote the efficient use and management of water in information and communication technologies (ICTs), including data centres and other ICT infrastructures. These standards also support the deployment of low-cost and sustainable ICT solutions for climate change adaptation in rural areas and communities, helping to enhance water resource management and resilience. It also supports Target 6.6 through work on frameworks assessing how ICT-based subsea infrastructure can aid climate, environmental, and biodiversity monitoring in oceans.</w:t>
            </w:r>
          </w:p>
        </w:tc>
      </w:tr>
      <w:tr w:rsidR="00125FE2" w:rsidRPr="00D27063" w14:paraId="0BB65C60" w14:textId="77777777" w:rsidTr="58BAADD2">
        <w:tc>
          <w:tcPr>
            <w:tcW w:w="9016" w:type="dxa"/>
          </w:tcPr>
          <w:p w14:paraId="1050D832" w14:textId="77777777" w:rsidR="00125FE2" w:rsidRPr="00D27063" w:rsidRDefault="00125FE2" w:rsidP="00783C5A">
            <w:pPr>
              <w:tabs>
                <w:tab w:val="clear" w:pos="567"/>
                <w:tab w:val="clear" w:pos="1134"/>
                <w:tab w:val="clear" w:pos="1701"/>
                <w:tab w:val="clear" w:pos="2268"/>
                <w:tab w:val="clear" w:pos="2835"/>
              </w:tabs>
              <w:overflowPunct/>
              <w:spacing w:before="0" w:line="259" w:lineRule="auto"/>
              <w:ind w:left="693" w:hanging="693"/>
              <w:jc w:val="both"/>
              <w:textAlignment w:val="auto"/>
              <w:rPr>
                <w:rFonts w:asciiTheme="minorHAnsi" w:eastAsia="DengXian" w:hAnsiTheme="minorHAnsi" w:cstheme="minorHAnsi"/>
                <w:b/>
                <w:bCs/>
                <w:color w:val="000000"/>
                <w:szCs w:val="24"/>
                <w:lang w:eastAsia="zh-CN"/>
              </w:rPr>
            </w:pPr>
            <w:r w:rsidRPr="00D27063">
              <w:rPr>
                <w:rFonts w:asciiTheme="minorHAnsi" w:eastAsia="DengXian" w:hAnsiTheme="minorHAnsi" w:cstheme="minorHAnsi"/>
                <w:b/>
                <w:bCs/>
                <w:color w:val="000000"/>
                <w:szCs w:val="24"/>
                <w:lang w:eastAsia="zh-CN"/>
              </w:rPr>
              <w:lastRenderedPageBreak/>
              <w:t xml:space="preserve">Goal 7. Ensure access to affordable, reliable, sustainable and modern energy for all </w:t>
            </w:r>
          </w:p>
          <w:p w14:paraId="0882A778" w14:textId="77777777" w:rsidR="00125FE2" w:rsidRPr="00D27063" w:rsidRDefault="00125FE2" w:rsidP="00783C5A">
            <w:pPr>
              <w:tabs>
                <w:tab w:val="clear" w:pos="567"/>
                <w:tab w:val="clear" w:pos="1134"/>
                <w:tab w:val="clear" w:pos="1701"/>
                <w:tab w:val="clear" w:pos="2268"/>
                <w:tab w:val="clear" w:pos="2835"/>
              </w:tabs>
              <w:overflowPunct/>
              <w:spacing w:before="0" w:line="259" w:lineRule="auto"/>
              <w:ind w:left="161"/>
              <w:jc w:val="both"/>
              <w:textAlignment w:val="auto"/>
              <w:rPr>
                <w:rFonts w:asciiTheme="minorHAnsi" w:eastAsia="DengXian" w:hAnsiTheme="minorHAnsi" w:cstheme="minorHAnsi"/>
                <w:i/>
                <w:iCs/>
                <w:color w:val="000000"/>
                <w:szCs w:val="24"/>
                <w:lang w:eastAsia="zh-CN"/>
              </w:rPr>
            </w:pPr>
            <w:r w:rsidRPr="00D27063">
              <w:rPr>
                <w:rFonts w:asciiTheme="minorHAnsi" w:eastAsia="DengXian" w:hAnsiTheme="minorHAnsi" w:cstheme="minorHAnsi"/>
                <w:i/>
                <w:iCs/>
                <w:color w:val="000000"/>
                <w:szCs w:val="24"/>
                <w:lang w:eastAsia="zh-CN"/>
              </w:rPr>
              <w:t xml:space="preserve">ICTs and energy efficiency can be connected in two ways: ‘Greening of ICTs’ and ‘Greening through </w:t>
            </w:r>
            <w:proofErr w:type="gramStart"/>
            <w:r w:rsidRPr="00D27063">
              <w:rPr>
                <w:rFonts w:asciiTheme="minorHAnsi" w:eastAsia="DengXian" w:hAnsiTheme="minorHAnsi" w:cstheme="minorHAnsi"/>
                <w:i/>
                <w:iCs/>
                <w:color w:val="000000"/>
                <w:szCs w:val="24"/>
                <w:lang w:eastAsia="zh-CN"/>
              </w:rPr>
              <w:t>ICTs’</w:t>
            </w:r>
            <w:proofErr w:type="gramEnd"/>
            <w:r w:rsidRPr="00D27063">
              <w:rPr>
                <w:rFonts w:asciiTheme="minorHAnsi" w:eastAsia="DengXian" w:hAnsiTheme="minorHAnsi" w:cstheme="minorHAnsi"/>
                <w:i/>
                <w:iCs/>
                <w:color w:val="000000"/>
                <w:szCs w:val="24"/>
                <w:lang w:eastAsia="zh-CN"/>
              </w:rPr>
              <w:t xml:space="preserve">. In the first case, ICTs are being transformed and developed to be more environmentally sound and less carbon-intensive. In the second case, ICT-enabled solutions (for example smart grids, smart buildings, smart logistics and industrial processes) are helping to transform the world towards a more sustainable and energy efficient future. These green technologies and processes have the potential to play a significant role in significantly reducing global greenhouse gas emissions. </w:t>
            </w:r>
          </w:p>
          <w:p w14:paraId="430BD3CF" w14:textId="77777777" w:rsidR="00125FE2" w:rsidRPr="00D27063" w:rsidRDefault="00125FE2" w:rsidP="00783C5A">
            <w:pPr>
              <w:tabs>
                <w:tab w:val="clear" w:pos="567"/>
                <w:tab w:val="clear" w:pos="1134"/>
                <w:tab w:val="clear" w:pos="1701"/>
                <w:tab w:val="clear" w:pos="2268"/>
                <w:tab w:val="clear" w:pos="2835"/>
              </w:tabs>
              <w:overflowPunct/>
              <w:spacing w:line="259" w:lineRule="auto"/>
              <w:ind w:left="693" w:hanging="693"/>
              <w:jc w:val="both"/>
              <w:textAlignment w:val="auto"/>
              <w:rPr>
                <w:rFonts w:asciiTheme="minorHAnsi" w:eastAsia="DengXian" w:hAnsiTheme="minorHAnsi" w:cstheme="minorHAnsi"/>
                <w:b/>
                <w:bCs/>
                <w:color w:val="000000"/>
                <w:szCs w:val="24"/>
                <w:lang w:eastAsia="zh-CN"/>
              </w:rPr>
            </w:pPr>
            <w:r w:rsidRPr="00D27063">
              <w:rPr>
                <w:rFonts w:asciiTheme="minorHAnsi" w:eastAsia="DengXian" w:hAnsiTheme="minorHAnsi" w:cstheme="minorHAnsi"/>
                <w:b/>
                <w:bCs/>
                <w:color w:val="000000"/>
                <w:szCs w:val="24"/>
                <w:lang w:eastAsia="zh-CN"/>
              </w:rPr>
              <w:t xml:space="preserve">ITU contributes to </w:t>
            </w:r>
            <w:proofErr w:type="spellStart"/>
            <w:r w:rsidRPr="00D27063">
              <w:rPr>
                <w:rFonts w:asciiTheme="minorHAnsi" w:eastAsia="DengXian" w:hAnsiTheme="minorHAnsi" w:cstheme="minorHAnsi"/>
                <w:b/>
                <w:bCs/>
                <w:color w:val="000000"/>
                <w:szCs w:val="24"/>
                <w:lang w:eastAsia="zh-CN"/>
              </w:rPr>
              <w:t>SDG7</w:t>
            </w:r>
            <w:proofErr w:type="spellEnd"/>
            <w:r w:rsidRPr="00D27063">
              <w:rPr>
                <w:rFonts w:asciiTheme="minorHAnsi" w:eastAsia="DengXian" w:hAnsiTheme="minorHAnsi" w:cstheme="minorHAnsi"/>
                <w:b/>
                <w:bCs/>
                <w:color w:val="000000"/>
                <w:szCs w:val="24"/>
                <w:lang w:eastAsia="zh-CN"/>
              </w:rPr>
              <w:t>:</w:t>
            </w:r>
          </w:p>
          <w:p w14:paraId="37C995ED" w14:textId="3BCF7563" w:rsidR="00125FE2" w:rsidRPr="00D27063" w:rsidRDefault="00D27063" w:rsidP="00783C5A">
            <w:pPr>
              <w:tabs>
                <w:tab w:val="clear" w:pos="567"/>
                <w:tab w:val="clear" w:pos="1134"/>
                <w:tab w:val="clear" w:pos="1701"/>
                <w:tab w:val="clear" w:pos="2268"/>
                <w:tab w:val="clear" w:pos="2835"/>
              </w:tabs>
              <w:overflowPunct/>
              <w:autoSpaceDE/>
              <w:autoSpaceDN/>
              <w:adjustRightInd/>
              <w:spacing w:after="120" w:line="259" w:lineRule="auto"/>
              <w:ind w:left="611" w:hanging="450"/>
              <w:jc w:val="both"/>
              <w:textAlignment w:val="auto"/>
              <w:rPr>
                <w:rFonts w:asciiTheme="minorHAnsi" w:eastAsia="DengXian" w:hAnsiTheme="minorHAnsi" w:cstheme="minorHAnsi"/>
                <w:color w:val="000000"/>
                <w:szCs w:val="24"/>
                <w:lang w:eastAsia="zh-CN"/>
              </w:rPr>
            </w:pPr>
            <w:r>
              <w:rPr>
                <w:rFonts w:eastAsia="SimSun" w:cs="Calibri"/>
                <w:color w:val="000000"/>
                <w:szCs w:val="24"/>
                <w:lang w:eastAsia="zh-CN"/>
              </w:rPr>
              <w:t>–</w:t>
            </w:r>
            <w:r w:rsidR="0016155B" w:rsidRPr="00D27063">
              <w:rPr>
                <w:rFonts w:eastAsia="SimSun" w:cs="Calibri"/>
                <w:color w:val="000000"/>
                <w:szCs w:val="24"/>
                <w:lang w:eastAsia="zh-CN"/>
              </w:rPr>
              <w:tab/>
            </w:r>
            <w:r w:rsidR="00125FE2" w:rsidRPr="00D27063">
              <w:rPr>
                <w:rFonts w:asciiTheme="minorHAnsi" w:eastAsia="DengXian" w:hAnsiTheme="minorHAnsi" w:cstheme="minorHAnsi"/>
                <w:color w:val="000000"/>
                <w:szCs w:val="24"/>
                <w:lang w:eastAsia="zh-CN"/>
              </w:rPr>
              <w:t xml:space="preserve">ITU contributes to targets 7.1, 7.2 and 7.3 through the work of the study groups on creating the Smart Society, which raises awareness and examines best practices for fostering and enabling the deployment and use of smart devices, including mobile devices, that can contribute to saving electrical energy; measuring the effects of environmental pollution; and solving the challenges facing cities and rural areas, among others. ITU contributes to target </w:t>
            </w:r>
            <w:proofErr w:type="spellStart"/>
            <w:r w:rsidR="00125FE2" w:rsidRPr="00D27063">
              <w:rPr>
                <w:rFonts w:asciiTheme="minorHAnsi" w:eastAsia="DengXian" w:hAnsiTheme="minorHAnsi" w:cstheme="minorHAnsi"/>
                <w:color w:val="000000"/>
                <w:szCs w:val="24"/>
                <w:lang w:eastAsia="zh-CN"/>
              </w:rPr>
              <w:t>7b</w:t>
            </w:r>
            <w:proofErr w:type="spellEnd"/>
            <w:r w:rsidR="00125FE2" w:rsidRPr="00D27063">
              <w:rPr>
                <w:rFonts w:asciiTheme="minorHAnsi" w:eastAsia="DengXian" w:hAnsiTheme="minorHAnsi" w:cstheme="minorHAnsi"/>
                <w:color w:val="000000"/>
                <w:szCs w:val="24"/>
                <w:lang w:eastAsia="zh-CN"/>
              </w:rPr>
              <w:t xml:space="preserve"> through helping countries develop and establish green telecentres that will provide connectivity to </w:t>
            </w:r>
            <w:proofErr w:type="spellStart"/>
            <w:r w:rsidR="00125FE2" w:rsidRPr="00D27063">
              <w:rPr>
                <w:rFonts w:asciiTheme="minorHAnsi" w:eastAsia="DengXian" w:hAnsiTheme="minorHAnsi" w:cstheme="minorHAnsi"/>
                <w:color w:val="000000"/>
                <w:szCs w:val="24"/>
                <w:lang w:eastAsia="zh-CN"/>
              </w:rPr>
              <w:t>LDCs</w:t>
            </w:r>
            <w:proofErr w:type="spellEnd"/>
            <w:r w:rsidR="00125FE2" w:rsidRPr="00D27063">
              <w:rPr>
                <w:rFonts w:asciiTheme="minorHAnsi" w:eastAsia="DengXian" w:hAnsiTheme="minorHAnsi" w:cstheme="minorHAnsi"/>
                <w:color w:val="000000"/>
                <w:szCs w:val="24"/>
                <w:lang w:eastAsia="zh-CN"/>
              </w:rPr>
              <w:t xml:space="preserve">, SIDS and </w:t>
            </w:r>
            <w:proofErr w:type="spellStart"/>
            <w:r w:rsidR="00125FE2" w:rsidRPr="00D27063">
              <w:rPr>
                <w:rFonts w:asciiTheme="minorHAnsi" w:eastAsia="DengXian" w:hAnsiTheme="minorHAnsi" w:cstheme="minorHAnsi"/>
                <w:color w:val="000000"/>
                <w:szCs w:val="24"/>
                <w:lang w:eastAsia="zh-CN"/>
              </w:rPr>
              <w:t>LLDCs</w:t>
            </w:r>
            <w:proofErr w:type="spellEnd"/>
            <w:r w:rsidR="00125FE2" w:rsidRPr="00D27063">
              <w:rPr>
                <w:rFonts w:asciiTheme="minorHAnsi" w:eastAsia="DengXian" w:hAnsiTheme="minorHAnsi" w:cstheme="minorHAnsi"/>
                <w:color w:val="000000"/>
                <w:szCs w:val="24"/>
                <w:lang w:eastAsia="zh-CN"/>
              </w:rPr>
              <w:t xml:space="preserve">; </w:t>
            </w:r>
          </w:p>
          <w:p w14:paraId="4B8963E3" w14:textId="780B3C70" w:rsidR="00125FE2" w:rsidRPr="00D27063" w:rsidRDefault="00D27063" w:rsidP="00783C5A">
            <w:pPr>
              <w:tabs>
                <w:tab w:val="clear" w:pos="567"/>
                <w:tab w:val="clear" w:pos="1134"/>
                <w:tab w:val="clear" w:pos="1701"/>
                <w:tab w:val="clear" w:pos="2268"/>
                <w:tab w:val="clear" w:pos="2835"/>
              </w:tabs>
              <w:overflowPunct/>
              <w:autoSpaceDE/>
              <w:autoSpaceDN/>
              <w:adjustRightInd/>
              <w:spacing w:after="120" w:line="259" w:lineRule="auto"/>
              <w:ind w:left="611" w:hanging="450"/>
              <w:jc w:val="both"/>
              <w:textAlignment w:val="auto"/>
              <w:rPr>
                <w:rFonts w:asciiTheme="minorHAnsi" w:eastAsia="DengXian" w:hAnsiTheme="minorHAnsi" w:cstheme="minorHAnsi"/>
                <w:color w:val="000000"/>
                <w:szCs w:val="24"/>
                <w:lang w:eastAsia="zh-CN"/>
              </w:rPr>
            </w:pPr>
            <w:r>
              <w:rPr>
                <w:rFonts w:eastAsia="SimSun" w:cs="Calibri"/>
                <w:color w:val="000000"/>
                <w:szCs w:val="24"/>
                <w:lang w:eastAsia="zh-CN"/>
              </w:rPr>
              <w:lastRenderedPageBreak/>
              <w:t>–</w:t>
            </w:r>
            <w:r w:rsidR="0016155B" w:rsidRPr="00D27063">
              <w:rPr>
                <w:rFonts w:eastAsia="SimSun" w:cs="Calibri"/>
                <w:color w:val="000000"/>
                <w:szCs w:val="24"/>
                <w:lang w:eastAsia="zh-CN"/>
              </w:rPr>
              <w:tab/>
            </w:r>
            <w:r w:rsidR="00125FE2" w:rsidRPr="00D27063">
              <w:rPr>
                <w:rFonts w:asciiTheme="minorHAnsi" w:eastAsia="DengXian" w:hAnsiTheme="minorHAnsi" w:cstheme="minorHAnsi"/>
                <w:color w:val="000000"/>
                <w:szCs w:val="24"/>
                <w:lang w:eastAsia="zh-CN"/>
              </w:rPr>
              <w:t xml:space="preserve">ITU studies methodologies for assessing the environmental impact of ICT, publishes guidelines for using ICTs in an eco-friendly way, and addresses e-waste, and energy efficiency in power feeding systems. Under SDG </w:t>
            </w:r>
            <w:proofErr w:type="spellStart"/>
            <w:r w:rsidR="00125FE2" w:rsidRPr="00D27063">
              <w:rPr>
                <w:rFonts w:asciiTheme="minorHAnsi" w:eastAsia="DengXian" w:hAnsiTheme="minorHAnsi" w:cstheme="minorHAnsi"/>
                <w:color w:val="000000"/>
                <w:szCs w:val="24"/>
                <w:lang w:eastAsia="zh-CN"/>
              </w:rPr>
              <w:t>Targe7.a</w:t>
            </w:r>
            <w:proofErr w:type="spellEnd"/>
            <w:r w:rsidR="00125FE2" w:rsidRPr="00D27063">
              <w:rPr>
                <w:rFonts w:asciiTheme="minorHAnsi" w:eastAsia="DengXian" w:hAnsiTheme="minorHAnsi" w:cstheme="minorHAnsi"/>
                <w:color w:val="000000"/>
                <w:szCs w:val="24"/>
                <w:lang w:eastAsia="zh-CN"/>
              </w:rPr>
              <w:t xml:space="preserve">, several ITU standards (also known as Recommendations) advance energy efficiency across ICT networks, data centres and equipment, including methodologies for measuring and improving network and data centre performance, smart energy management and sustainable power solutions. These standards promote the optimization of ICT infrastructure, integration of renewable energy sources, and deployment of energy-efficient technologies to reduce greenhouse gas emissions. ITU collected and documented information and concepts that would be helpful for developing Recommendations to support smart grids and smart energy systems from a telecommunication/ICT perspective (SDG targets </w:t>
            </w:r>
            <w:proofErr w:type="spellStart"/>
            <w:r w:rsidR="00125FE2" w:rsidRPr="00D27063">
              <w:rPr>
                <w:rFonts w:asciiTheme="minorHAnsi" w:eastAsia="DengXian" w:hAnsiTheme="minorHAnsi" w:cstheme="minorHAnsi"/>
                <w:color w:val="000000"/>
                <w:szCs w:val="24"/>
                <w:lang w:eastAsia="zh-CN"/>
              </w:rPr>
              <w:t>7a</w:t>
            </w:r>
            <w:proofErr w:type="spellEnd"/>
            <w:r w:rsidR="00125FE2" w:rsidRPr="00D27063">
              <w:rPr>
                <w:rFonts w:asciiTheme="minorHAnsi" w:eastAsia="DengXian" w:hAnsiTheme="minorHAnsi" w:cstheme="minorHAnsi"/>
                <w:color w:val="000000"/>
                <w:szCs w:val="24"/>
                <w:lang w:eastAsia="zh-CN"/>
              </w:rPr>
              <w:t xml:space="preserve"> and 17.6); </w:t>
            </w:r>
          </w:p>
          <w:p w14:paraId="70C9DD8B" w14:textId="31E873E7" w:rsidR="00125FE2" w:rsidRPr="00D27063" w:rsidRDefault="00D27063" w:rsidP="00783C5A">
            <w:pPr>
              <w:tabs>
                <w:tab w:val="clear" w:pos="567"/>
                <w:tab w:val="clear" w:pos="1134"/>
                <w:tab w:val="clear" w:pos="1701"/>
                <w:tab w:val="clear" w:pos="2268"/>
                <w:tab w:val="clear" w:pos="2835"/>
              </w:tabs>
              <w:overflowPunct/>
              <w:autoSpaceDE/>
              <w:autoSpaceDN/>
              <w:adjustRightInd/>
              <w:spacing w:after="120" w:line="259" w:lineRule="auto"/>
              <w:ind w:left="611" w:hanging="450"/>
              <w:jc w:val="both"/>
              <w:textAlignment w:val="auto"/>
              <w:rPr>
                <w:rFonts w:asciiTheme="minorHAnsi" w:eastAsia="DengXian" w:hAnsiTheme="minorHAnsi" w:cstheme="minorHAnsi"/>
                <w:color w:val="000000"/>
                <w:szCs w:val="24"/>
                <w:lang w:eastAsia="zh-CN"/>
              </w:rPr>
            </w:pPr>
            <w:r>
              <w:rPr>
                <w:rFonts w:eastAsia="SimSun" w:cs="Calibri"/>
                <w:color w:val="000000"/>
                <w:szCs w:val="24"/>
                <w:lang w:eastAsia="zh-CN"/>
              </w:rPr>
              <w:t>–</w:t>
            </w:r>
            <w:r w:rsidR="0016155B" w:rsidRPr="00D27063">
              <w:rPr>
                <w:rFonts w:eastAsia="SimSun" w:cs="Calibri"/>
                <w:color w:val="000000"/>
                <w:szCs w:val="24"/>
                <w:lang w:eastAsia="zh-CN"/>
              </w:rPr>
              <w:tab/>
            </w:r>
            <w:r w:rsidR="00125FE2" w:rsidRPr="00D27063">
              <w:rPr>
                <w:rFonts w:asciiTheme="minorHAnsi" w:eastAsia="DengXian" w:hAnsiTheme="minorHAnsi" w:cstheme="minorHAnsi"/>
                <w:color w:val="000000"/>
                <w:szCs w:val="24"/>
                <w:lang w:eastAsia="zh-CN"/>
              </w:rPr>
              <w:t xml:space="preserve">ITU contributed to SDG target </w:t>
            </w:r>
            <w:proofErr w:type="spellStart"/>
            <w:r w:rsidR="00125FE2" w:rsidRPr="00D27063">
              <w:rPr>
                <w:rFonts w:asciiTheme="minorHAnsi" w:eastAsia="DengXian" w:hAnsiTheme="minorHAnsi" w:cstheme="minorHAnsi"/>
                <w:color w:val="000000"/>
                <w:szCs w:val="24"/>
                <w:lang w:eastAsia="zh-CN"/>
              </w:rPr>
              <w:t>7a</w:t>
            </w:r>
            <w:proofErr w:type="spellEnd"/>
            <w:r w:rsidR="00125FE2" w:rsidRPr="00D27063">
              <w:rPr>
                <w:rFonts w:asciiTheme="minorHAnsi" w:eastAsia="DengXian" w:hAnsiTheme="minorHAnsi" w:cstheme="minorHAnsi"/>
                <w:color w:val="000000"/>
                <w:szCs w:val="24"/>
                <w:lang w:eastAsia="zh-CN"/>
              </w:rPr>
              <w:t xml:space="preserve"> having developed several Recommendations on home energy management systems, and a framework of energy saving for future networks, on requirements, scenarios and functional architecture for user-side energy Management Service, and on requirements and architecture of the home energy management system and home network services; </w:t>
            </w:r>
          </w:p>
          <w:p w14:paraId="0B4514C9" w14:textId="1E6D61D1" w:rsidR="00125FE2" w:rsidRPr="00D27063" w:rsidRDefault="00D27063" w:rsidP="00783C5A">
            <w:pPr>
              <w:tabs>
                <w:tab w:val="clear" w:pos="567"/>
                <w:tab w:val="clear" w:pos="1134"/>
                <w:tab w:val="clear" w:pos="1701"/>
                <w:tab w:val="clear" w:pos="2268"/>
                <w:tab w:val="clear" w:pos="2835"/>
              </w:tabs>
              <w:overflowPunct/>
              <w:autoSpaceDE/>
              <w:autoSpaceDN/>
              <w:adjustRightInd/>
              <w:spacing w:after="120" w:line="259" w:lineRule="auto"/>
              <w:ind w:left="611" w:hanging="450"/>
              <w:jc w:val="both"/>
              <w:textAlignment w:val="auto"/>
              <w:rPr>
                <w:rFonts w:asciiTheme="minorHAnsi" w:eastAsia="DengXian" w:hAnsiTheme="minorHAnsi" w:cstheme="minorHAnsi"/>
                <w:szCs w:val="24"/>
                <w:lang w:eastAsia="zh-CN"/>
              </w:rPr>
            </w:pPr>
            <w:r>
              <w:rPr>
                <w:rFonts w:eastAsia="SimSun" w:cs="Calibri"/>
                <w:szCs w:val="24"/>
                <w:lang w:eastAsia="zh-CN"/>
              </w:rPr>
              <w:t>–</w:t>
            </w:r>
            <w:r w:rsidR="0016155B" w:rsidRPr="00D27063">
              <w:rPr>
                <w:rFonts w:eastAsia="SimSun" w:cs="Calibri"/>
                <w:szCs w:val="24"/>
                <w:lang w:eastAsia="zh-CN"/>
              </w:rPr>
              <w:tab/>
            </w:r>
            <w:r w:rsidR="00125FE2" w:rsidRPr="00D27063">
              <w:rPr>
                <w:rFonts w:asciiTheme="minorHAnsi" w:eastAsia="DengXian" w:hAnsiTheme="minorHAnsi" w:cstheme="minorHAnsi"/>
                <w:szCs w:val="24"/>
                <w:lang w:eastAsia="zh-CN"/>
              </w:rPr>
              <w:t xml:space="preserve">Radio systems such as Wireless avionics, smart grids, and Internet of Things- IoT, enabled by ITU activities, help ensure reliable and modern energy services, improve energy efficiency, and decrease energy consumption; </w:t>
            </w:r>
          </w:p>
          <w:p w14:paraId="743B1D16" w14:textId="0A0DB049" w:rsidR="00125FE2" w:rsidRPr="00D27063" w:rsidRDefault="00D27063" w:rsidP="00783C5A">
            <w:pPr>
              <w:tabs>
                <w:tab w:val="clear" w:pos="567"/>
                <w:tab w:val="clear" w:pos="1134"/>
                <w:tab w:val="clear" w:pos="1701"/>
                <w:tab w:val="clear" w:pos="2268"/>
                <w:tab w:val="clear" w:pos="2835"/>
              </w:tabs>
              <w:overflowPunct/>
              <w:autoSpaceDE/>
              <w:autoSpaceDN/>
              <w:adjustRightInd/>
              <w:spacing w:after="120" w:line="259" w:lineRule="auto"/>
              <w:ind w:left="611" w:hanging="450"/>
              <w:jc w:val="both"/>
              <w:textAlignment w:val="auto"/>
              <w:rPr>
                <w:rFonts w:asciiTheme="minorHAnsi" w:eastAsia="DengXian" w:hAnsiTheme="minorHAnsi" w:cstheme="minorHAnsi"/>
                <w:szCs w:val="24"/>
                <w:lang w:eastAsia="zh-CN"/>
              </w:rPr>
            </w:pPr>
            <w:r>
              <w:rPr>
                <w:rFonts w:eastAsia="SimSun" w:cs="Calibri"/>
                <w:szCs w:val="24"/>
                <w:lang w:eastAsia="zh-CN"/>
              </w:rPr>
              <w:t>–</w:t>
            </w:r>
            <w:r w:rsidR="0016155B" w:rsidRPr="00D27063">
              <w:rPr>
                <w:rFonts w:eastAsia="SimSun" w:cs="Calibri"/>
                <w:szCs w:val="24"/>
                <w:lang w:eastAsia="zh-CN"/>
              </w:rPr>
              <w:tab/>
            </w:r>
            <w:r w:rsidR="00125FE2" w:rsidRPr="00D27063">
              <w:rPr>
                <w:rFonts w:asciiTheme="minorHAnsi" w:eastAsia="DengXian" w:hAnsiTheme="minorHAnsi" w:cstheme="minorHAnsi"/>
                <w:szCs w:val="24"/>
                <w:lang w:eastAsia="zh-CN"/>
              </w:rPr>
              <w:t>ITU-R Study Group 6 continues to carry out research that contributes to the reduction of the environmental impact of terrestrial broadcasting systems. Like all industries, the broadcasting community has a responsibility to improve its environmental performance. The transition from analogue to digital television has led to a dramatic reduction in energy consumption needed for the terrestrial television service. Recently, a Webinar on Energy Aware Broadcasting, organised by ITU in March 2022, reunited experts from major broadcasting companies to discuss the current work being undertaken by broadcasting organisations and partners to minimise the environmental impact of content creation, exchange and delivery;</w:t>
            </w:r>
          </w:p>
          <w:p w14:paraId="1AD7CC6E" w14:textId="4725B2BA" w:rsidR="00125FE2" w:rsidRPr="00D27063" w:rsidRDefault="00D27063" w:rsidP="00783C5A">
            <w:pPr>
              <w:tabs>
                <w:tab w:val="clear" w:pos="567"/>
                <w:tab w:val="clear" w:pos="1134"/>
                <w:tab w:val="clear" w:pos="1701"/>
                <w:tab w:val="clear" w:pos="2268"/>
                <w:tab w:val="clear" w:pos="2835"/>
              </w:tabs>
              <w:overflowPunct/>
              <w:autoSpaceDE/>
              <w:autoSpaceDN/>
              <w:adjustRightInd/>
              <w:spacing w:after="120" w:line="259" w:lineRule="auto"/>
              <w:ind w:left="611" w:hanging="450"/>
              <w:jc w:val="both"/>
              <w:textAlignment w:val="auto"/>
              <w:rPr>
                <w:rFonts w:asciiTheme="minorHAnsi" w:eastAsia="DengXian" w:hAnsiTheme="minorHAnsi" w:cstheme="minorHAnsi"/>
                <w:szCs w:val="24"/>
                <w:lang w:eastAsia="zh-CN"/>
              </w:rPr>
            </w:pPr>
            <w:r>
              <w:rPr>
                <w:rFonts w:eastAsia="SimSun" w:cs="Calibri"/>
                <w:szCs w:val="24"/>
                <w:lang w:eastAsia="zh-CN"/>
              </w:rPr>
              <w:t>–</w:t>
            </w:r>
            <w:r w:rsidR="0016155B" w:rsidRPr="00D27063">
              <w:rPr>
                <w:rFonts w:eastAsia="SimSun" w:cs="Calibri"/>
                <w:szCs w:val="24"/>
                <w:lang w:eastAsia="zh-CN"/>
              </w:rPr>
              <w:tab/>
            </w:r>
            <w:r w:rsidR="00125FE2" w:rsidRPr="00D27063">
              <w:rPr>
                <w:rFonts w:asciiTheme="minorHAnsi" w:eastAsia="DengXian" w:hAnsiTheme="minorHAnsi" w:cstheme="minorHAnsi"/>
                <w:color w:val="000000"/>
                <w:szCs w:val="24"/>
                <w:lang w:eastAsia="zh-CN"/>
              </w:rPr>
              <w:t>ITU’s</w:t>
            </w:r>
            <w:r w:rsidR="00125FE2" w:rsidRPr="00D27063">
              <w:rPr>
                <w:rFonts w:asciiTheme="minorHAnsi" w:eastAsia="DengXian" w:hAnsiTheme="minorHAnsi" w:cstheme="minorHAnsi"/>
                <w:szCs w:val="24"/>
                <w:lang w:eastAsia="zh-CN"/>
              </w:rPr>
              <w:t xml:space="preserve"> </w:t>
            </w:r>
            <w:r w:rsidR="00125FE2" w:rsidRPr="00D27063">
              <w:rPr>
                <w:rFonts w:eastAsia="Calibri" w:cs="Calibri"/>
                <w:szCs w:val="24"/>
              </w:rPr>
              <w:t xml:space="preserve">climate change programme has collaborated in projects with international funding partners that include the Government of the Republic of South Korea, the World Benchmarking Alliance (WBA), the World Bank and GIZ to provide technical assistance to countries in the areas of data and policy for greenhouse gas (GHG) emissions and energy use from the ICT sector. The programme has also been the driving force behind establishing a global monitoring framework for GHG emissions and energy use from the ICT sector. </w:t>
            </w:r>
          </w:p>
          <w:p w14:paraId="63CA601D" w14:textId="5DC2A76E" w:rsidR="00125FE2" w:rsidRPr="00D27063" w:rsidRDefault="00D27063" w:rsidP="00783C5A">
            <w:pPr>
              <w:tabs>
                <w:tab w:val="clear" w:pos="567"/>
                <w:tab w:val="clear" w:pos="1134"/>
                <w:tab w:val="clear" w:pos="1701"/>
                <w:tab w:val="clear" w:pos="2268"/>
                <w:tab w:val="clear" w:pos="2835"/>
              </w:tabs>
              <w:overflowPunct/>
              <w:autoSpaceDE/>
              <w:autoSpaceDN/>
              <w:adjustRightInd/>
              <w:spacing w:after="120" w:line="259" w:lineRule="auto"/>
              <w:ind w:left="611" w:hanging="450"/>
              <w:jc w:val="both"/>
              <w:textAlignment w:val="auto"/>
              <w:rPr>
                <w:rFonts w:asciiTheme="minorHAnsi" w:eastAsia="DengXian" w:hAnsiTheme="minorHAnsi" w:cstheme="minorHAnsi"/>
                <w:szCs w:val="24"/>
                <w:lang w:eastAsia="zh-CN"/>
              </w:rPr>
            </w:pPr>
            <w:r>
              <w:rPr>
                <w:rFonts w:eastAsia="SimSun" w:cs="Calibri"/>
                <w:szCs w:val="24"/>
                <w:lang w:eastAsia="zh-CN"/>
              </w:rPr>
              <w:t>–</w:t>
            </w:r>
            <w:r w:rsidR="0016155B" w:rsidRPr="00D27063">
              <w:rPr>
                <w:rFonts w:eastAsia="SimSun" w:cs="Calibri"/>
                <w:szCs w:val="24"/>
                <w:lang w:eastAsia="zh-CN"/>
              </w:rPr>
              <w:tab/>
            </w:r>
            <w:r w:rsidR="00125FE2" w:rsidRPr="00D27063">
              <w:rPr>
                <w:rFonts w:eastAsia="Calibri" w:cs="Calibri"/>
                <w:szCs w:val="24"/>
              </w:rPr>
              <w:t>ITU and WBA publish the Greening Digital Companies report, an annual industry assessment now in its 4</w:t>
            </w:r>
            <w:r w:rsidR="00125FE2" w:rsidRPr="00D27063">
              <w:rPr>
                <w:rFonts w:eastAsia="Calibri" w:cs="Calibri"/>
                <w:szCs w:val="24"/>
                <w:vertAlign w:val="superscript"/>
              </w:rPr>
              <w:t>th</w:t>
            </w:r>
            <w:r w:rsidR="00125FE2" w:rsidRPr="00D27063">
              <w:rPr>
                <w:rFonts w:eastAsia="Calibri" w:cs="Calibri"/>
                <w:szCs w:val="24"/>
              </w:rPr>
              <w:t xml:space="preserve"> edition, to strengthen the monitoring of GHG emissions, energy use and climate commitments of 200 tech companies. </w:t>
            </w:r>
            <w:r w:rsidR="00125FE2" w:rsidRPr="00D27063">
              <w:rPr>
                <w:rFonts w:eastAsia="DengXian" w:cs="Calibri"/>
                <w:szCs w:val="24"/>
                <w:lang w:eastAsia="zh-CN"/>
              </w:rPr>
              <w:t xml:space="preserve">AI growth is causing an increase in emissions and electricity consumption: The report found that AI-driven companies saw a 150 per cent rise in operational emissions since 2020, driven by expanding data infrastructure and energy use. Out of the 200 companies assessed, </w:t>
            </w:r>
            <w:r w:rsidR="00125FE2" w:rsidRPr="00D27063">
              <w:rPr>
                <w:rFonts w:eastAsia="DengXian" w:cs="Calibri"/>
                <w:szCs w:val="24"/>
                <w:lang w:eastAsia="zh-CN"/>
              </w:rPr>
              <w:lastRenderedPageBreak/>
              <w:t>164 digital companies reported electricity consumption data, accounting for 581 TWh of electricity in 2023 (2.1 per cent of the global total). This is a 12.2 per cent increase from the previous year.</w:t>
            </w:r>
            <w:r w:rsidR="00125FE2" w:rsidRPr="00D27063" w:rsidDel="005F3DA4">
              <w:rPr>
                <w:rFonts w:eastAsia="DengXian" w:cs="Calibri"/>
                <w:szCs w:val="24"/>
                <w:lang w:eastAsia="zh-CN"/>
              </w:rPr>
              <w:t xml:space="preserve"> </w:t>
            </w:r>
            <w:r w:rsidR="00125FE2" w:rsidRPr="00D27063">
              <w:rPr>
                <w:rFonts w:eastAsia="Calibri" w:cs="Calibri"/>
                <w:szCs w:val="24"/>
              </w:rPr>
              <w:t xml:space="preserve">Intrinsically linked to the Greening Digital Companies report is the Greening Digital Dashboard, that was launched at climate </w:t>
            </w:r>
            <w:proofErr w:type="spellStart"/>
            <w:r w:rsidR="00125FE2" w:rsidRPr="00D27063">
              <w:rPr>
                <w:rFonts w:eastAsia="Calibri" w:cs="Calibri"/>
                <w:szCs w:val="24"/>
              </w:rPr>
              <w:t>COP29</w:t>
            </w:r>
            <w:proofErr w:type="spellEnd"/>
            <w:r w:rsidR="00125FE2" w:rsidRPr="00D27063">
              <w:rPr>
                <w:rFonts w:eastAsia="Calibri" w:cs="Calibri"/>
                <w:szCs w:val="24"/>
              </w:rPr>
              <w:t>. The dashboard enables ITU and partners to track the ICT sector’s climate impact and set science-backed targets. Users of the dashboard can explore and compare emissions, energy use and climate targets data among companies and download the open data;</w:t>
            </w:r>
          </w:p>
          <w:p w14:paraId="65D635AA" w14:textId="3B358E49" w:rsidR="00125FE2" w:rsidRPr="00D27063" w:rsidRDefault="00D27063" w:rsidP="00783C5A">
            <w:pPr>
              <w:tabs>
                <w:tab w:val="clear" w:pos="567"/>
                <w:tab w:val="clear" w:pos="1134"/>
                <w:tab w:val="clear" w:pos="1701"/>
                <w:tab w:val="clear" w:pos="2268"/>
                <w:tab w:val="clear" w:pos="2835"/>
              </w:tabs>
              <w:overflowPunct/>
              <w:autoSpaceDE/>
              <w:autoSpaceDN/>
              <w:adjustRightInd/>
              <w:spacing w:after="120" w:line="259" w:lineRule="auto"/>
              <w:ind w:left="611" w:hanging="450"/>
              <w:jc w:val="both"/>
              <w:textAlignment w:val="auto"/>
              <w:rPr>
                <w:rFonts w:eastAsia="Calibri" w:cs="Calibri"/>
                <w:szCs w:val="24"/>
              </w:rPr>
            </w:pPr>
            <w:r>
              <w:rPr>
                <w:rFonts w:eastAsia="SimSun" w:cs="Calibri"/>
                <w:szCs w:val="24"/>
              </w:rPr>
              <w:t>–</w:t>
            </w:r>
            <w:r w:rsidR="0016155B" w:rsidRPr="00D27063">
              <w:rPr>
                <w:rFonts w:eastAsia="SimSun" w:cs="Calibri"/>
                <w:szCs w:val="24"/>
              </w:rPr>
              <w:tab/>
            </w:r>
            <w:r w:rsidR="00125FE2" w:rsidRPr="00D27063">
              <w:rPr>
                <w:rFonts w:eastAsia="Calibri" w:cs="Calibri"/>
                <w:szCs w:val="24"/>
              </w:rPr>
              <w:t xml:space="preserve">ITU has been developing its capabilities to track data from countries and to capacitate stakeholders. ITU and the World Bank have collected emissions and energy data from ICT companies globally to enable countries to monitor and track their ICT sector GHG emissions and energy use. The results of this comprehensive work are available in the Measuring the Emissions and Energy Footprint of the ICT Sector: Implications for Climate Action. The report collates GHG emissions and electricity consumption from the ICT sector in the 30 highest emitting countries. The report also presents case studies from several countries which report on ICT emissions and energy use, in order to delve into regulatory approaches and policy implications inferred from the data. To support countries through technical assistance, ITU-D launched the Advancing Green Digital Transformation in the Philippines and Tanzania project, aims to harmonize GHG emissions and energy data collection in the digital sector, supporting the ICT regulators in both countries through capacity building and the development of strategies for decarbonization; </w:t>
            </w:r>
          </w:p>
          <w:p w14:paraId="65D5A1A2" w14:textId="7050611D" w:rsidR="00125FE2" w:rsidRPr="00D27063" w:rsidRDefault="00D27063" w:rsidP="00783C5A">
            <w:pPr>
              <w:tabs>
                <w:tab w:val="clear" w:pos="567"/>
                <w:tab w:val="clear" w:pos="1134"/>
                <w:tab w:val="clear" w:pos="1701"/>
                <w:tab w:val="clear" w:pos="2268"/>
                <w:tab w:val="clear" w:pos="2835"/>
              </w:tabs>
              <w:overflowPunct/>
              <w:autoSpaceDE/>
              <w:autoSpaceDN/>
              <w:adjustRightInd/>
              <w:spacing w:after="120" w:line="259" w:lineRule="auto"/>
              <w:ind w:left="611" w:hanging="450"/>
              <w:jc w:val="both"/>
              <w:textAlignment w:val="auto"/>
              <w:rPr>
                <w:rFonts w:eastAsia="Calibri" w:cs="Calibri"/>
                <w:szCs w:val="24"/>
              </w:rPr>
            </w:pPr>
            <w:r>
              <w:rPr>
                <w:rFonts w:eastAsia="SimSun" w:cs="Calibri"/>
                <w:szCs w:val="24"/>
              </w:rPr>
              <w:t>–</w:t>
            </w:r>
            <w:r w:rsidR="0016155B" w:rsidRPr="00D27063">
              <w:rPr>
                <w:rFonts w:eastAsia="SimSun" w:cs="Calibri"/>
                <w:szCs w:val="24"/>
              </w:rPr>
              <w:tab/>
            </w:r>
            <w:r w:rsidR="00125FE2" w:rsidRPr="00D27063">
              <w:rPr>
                <w:rFonts w:eastAsia="Calibri" w:cs="Calibri"/>
                <w:szCs w:val="24"/>
              </w:rPr>
              <w:t xml:space="preserve">ITU through the </w:t>
            </w:r>
            <w:proofErr w:type="spellStart"/>
            <w:r w:rsidR="00125FE2" w:rsidRPr="00D27063">
              <w:rPr>
                <w:rFonts w:eastAsia="Calibri" w:cs="Calibri"/>
                <w:szCs w:val="24"/>
              </w:rPr>
              <w:t>EGTI</w:t>
            </w:r>
            <w:proofErr w:type="spellEnd"/>
            <w:r w:rsidR="00125FE2" w:rsidRPr="00D27063">
              <w:rPr>
                <w:rFonts w:eastAsia="Calibri" w:cs="Calibri"/>
                <w:szCs w:val="24"/>
              </w:rPr>
              <w:t xml:space="preserve"> Subgroup on National Greenhouse Gas Emission Monitoring Indicators has developed a set of harmonized environmental indicators to support national-level monitoring of the ICT sector’s environmental impact. These indicators aim to strengthen countries’ capacity to measure and monitor these impacts, enabling them to develop more informed policies. They also contribute to a broader effort by supporting the ITU’s work in collecting harmonized country-level data and facilitating meaningful international comparisons. Several energy related indicators are included related to renewable/low carbon energy consumption and electricity consumption;</w:t>
            </w:r>
          </w:p>
          <w:p w14:paraId="4FA6ACC0" w14:textId="185683F8" w:rsidR="00125FE2" w:rsidRPr="00D27063" w:rsidRDefault="00D27063" w:rsidP="00783C5A">
            <w:pPr>
              <w:tabs>
                <w:tab w:val="clear" w:pos="567"/>
                <w:tab w:val="clear" w:pos="1134"/>
                <w:tab w:val="clear" w:pos="1701"/>
                <w:tab w:val="clear" w:pos="2268"/>
                <w:tab w:val="clear" w:pos="2835"/>
              </w:tabs>
              <w:overflowPunct/>
              <w:autoSpaceDE/>
              <w:autoSpaceDN/>
              <w:adjustRightInd/>
              <w:spacing w:after="120" w:line="259" w:lineRule="auto"/>
              <w:ind w:left="611" w:hanging="450"/>
              <w:jc w:val="both"/>
              <w:textAlignment w:val="auto"/>
              <w:rPr>
                <w:rFonts w:asciiTheme="minorHAnsi" w:eastAsia="DengXian" w:hAnsiTheme="minorHAnsi" w:cstheme="minorHAnsi"/>
                <w:szCs w:val="24"/>
                <w:lang w:eastAsia="zh-CN"/>
              </w:rPr>
            </w:pPr>
            <w:r>
              <w:rPr>
                <w:rFonts w:eastAsia="SimSun" w:cs="Calibri"/>
                <w:szCs w:val="24"/>
                <w:lang w:eastAsia="zh-CN"/>
              </w:rPr>
              <w:t>–</w:t>
            </w:r>
            <w:r w:rsidR="0016155B" w:rsidRPr="00D27063">
              <w:rPr>
                <w:rFonts w:eastAsia="SimSun" w:cs="Calibri"/>
                <w:szCs w:val="24"/>
                <w:lang w:eastAsia="zh-CN"/>
              </w:rPr>
              <w:tab/>
            </w:r>
            <w:r w:rsidR="00125FE2" w:rsidRPr="00D27063">
              <w:rPr>
                <w:rFonts w:eastAsia="DengXian" w:cs="Arial"/>
                <w:szCs w:val="24"/>
                <w:lang w:eastAsia="zh-CN"/>
              </w:rPr>
              <w:t xml:space="preserve">ITU, </w:t>
            </w:r>
            <w:r w:rsidR="00125FE2" w:rsidRPr="00D27063">
              <w:rPr>
                <w:rFonts w:eastAsia="Calibri" w:cs="Calibri"/>
                <w:szCs w:val="24"/>
              </w:rPr>
              <w:t xml:space="preserve">World Bank, Federal Ministry for Economic Cooperation and Development of Germany and GIZ collaborated to develop the Green Data </w:t>
            </w:r>
            <w:proofErr w:type="spellStart"/>
            <w:r w:rsidR="00125FE2" w:rsidRPr="00D27063">
              <w:rPr>
                <w:rFonts w:eastAsia="Calibri" w:cs="Calibri"/>
                <w:szCs w:val="24"/>
              </w:rPr>
              <w:t>Centers</w:t>
            </w:r>
            <w:proofErr w:type="spellEnd"/>
            <w:r w:rsidR="00125FE2" w:rsidRPr="00D27063">
              <w:rPr>
                <w:rFonts w:eastAsia="Calibri" w:cs="Calibri"/>
                <w:szCs w:val="24"/>
              </w:rPr>
              <w:t xml:space="preserve">: Towards a Sustainable Digital Transformation – A </w:t>
            </w:r>
            <w:proofErr w:type="spellStart"/>
            <w:r w:rsidR="00125FE2" w:rsidRPr="00D27063">
              <w:rPr>
                <w:rFonts w:eastAsia="Calibri" w:cs="Calibri"/>
                <w:szCs w:val="24"/>
              </w:rPr>
              <w:t>Practioner’s</w:t>
            </w:r>
            <w:proofErr w:type="spellEnd"/>
            <w:r w:rsidR="00125FE2" w:rsidRPr="00D27063">
              <w:rPr>
                <w:rFonts w:eastAsia="Calibri" w:cs="Calibri"/>
                <w:szCs w:val="24"/>
              </w:rPr>
              <w:t xml:space="preserve"> Guide. The guide is accompanied by a self-paced online course on the ITU Academy</w:t>
            </w:r>
            <w:r>
              <w:rPr>
                <w:rFonts w:eastAsia="Calibri" w:cs="Calibri"/>
                <w:szCs w:val="24"/>
              </w:rPr>
              <w:t xml:space="preserve">. </w:t>
            </w:r>
            <w:r w:rsidR="00125FE2" w:rsidRPr="00D27063">
              <w:rPr>
                <w:rFonts w:eastAsia="Calibri" w:cs="Calibri"/>
                <w:szCs w:val="24"/>
              </w:rPr>
              <w:t xml:space="preserve">The guide outlines 6 </w:t>
            </w:r>
            <w:proofErr w:type="gramStart"/>
            <w:r w:rsidR="00125FE2" w:rsidRPr="00D27063">
              <w:rPr>
                <w:rFonts w:eastAsia="Calibri" w:cs="Calibri"/>
                <w:szCs w:val="24"/>
              </w:rPr>
              <w:t>principle</w:t>
            </w:r>
            <w:proofErr w:type="gramEnd"/>
            <w:r w:rsidR="00125FE2" w:rsidRPr="00D27063">
              <w:rPr>
                <w:rFonts w:eastAsia="Calibri" w:cs="Calibri"/>
                <w:szCs w:val="24"/>
              </w:rPr>
              <w:t xml:space="preserve"> areas for practitioners to strengthen in order to support the greening of data </w:t>
            </w:r>
            <w:proofErr w:type="spellStart"/>
            <w:r w:rsidR="00125FE2" w:rsidRPr="00D27063">
              <w:rPr>
                <w:rFonts w:eastAsia="Calibri" w:cs="Calibri"/>
                <w:szCs w:val="24"/>
              </w:rPr>
              <w:t>centers</w:t>
            </w:r>
            <w:proofErr w:type="spellEnd"/>
            <w:r w:rsidR="00125FE2" w:rsidRPr="00D27063">
              <w:rPr>
                <w:rFonts w:eastAsia="Calibri" w:cs="Calibri"/>
                <w:szCs w:val="24"/>
              </w:rPr>
              <w:t xml:space="preserve">. These are: climate-resilient data </w:t>
            </w:r>
            <w:proofErr w:type="spellStart"/>
            <w:r w:rsidR="00125FE2" w:rsidRPr="00D27063">
              <w:rPr>
                <w:rFonts w:eastAsia="Calibri" w:cs="Calibri"/>
                <w:szCs w:val="24"/>
              </w:rPr>
              <w:t>centers</w:t>
            </w:r>
            <w:proofErr w:type="spellEnd"/>
            <w:r w:rsidR="00125FE2" w:rsidRPr="00D27063">
              <w:rPr>
                <w:rFonts w:eastAsia="Calibri" w:cs="Calibri"/>
                <w:szCs w:val="24"/>
              </w:rPr>
              <w:t>; sustainable design and buildings; sustainable ICT; sustainable energy; sustainable cooling; and e-waste management;</w:t>
            </w:r>
          </w:p>
          <w:p w14:paraId="483E26FA" w14:textId="2BF64D93" w:rsidR="00125FE2" w:rsidRPr="00D27063" w:rsidRDefault="00D27063" w:rsidP="00783C5A">
            <w:pPr>
              <w:tabs>
                <w:tab w:val="clear" w:pos="567"/>
                <w:tab w:val="clear" w:pos="1134"/>
                <w:tab w:val="clear" w:pos="1701"/>
                <w:tab w:val="clear" w:pos="2268"/>
                <w:tab w:val="clear" w:pos="2835"/>
              </w:tabs>
              <w:overflowPunct/>
              <w:autoSpaceDE/>
              <w:autoSpaceDN/>
              <w:adjustRightInd/>
              <w:spacing w:after="120" w:line="259" w:lineRule="auto"/>
              <w:ind w:left="611" w:hanging="450"/>
              <w:jc w:val="both"/>
              <w:textAlignment w:val="auto"/>
              <w:rPr>
                <w:rFonts w:asciiTheme="minorHAnsi" w:eastAsia="DengXian" w:hAnsiTheme="minorHAnsi" w:cstheme="minorHAnsi"/>
                <w:szCs w:val="24"/>
                <w:lang w:eastAsia="zh-CN"/>
              </w:rPr>
            </w:pPr>
            <w:r>
              <w:rPr>
                <w:rFonts w:eastAsia="SimSun" w:cs="Calibri"/>
                <w:szCs w:val="24"/>
                <w:lang w:eastAsia="zh-CN"/>
              </w:rPr>
              <w:t>–</w:t>
            </w:r>
            <w:r w:rsidR="0016155B" w:rsidRPr="00D27063">
              <w:rPr>
                <w:rFonts w:eastAsia="SimSun" w:cs="Calibri"/>
                <w:szCs w:val="24"/>
                <w:lang w:eastAsia="zh-CN"/>
              </w:rPr>
              <w:tab/>
            </w:r>
            <w:r w:rsidR="00125FE2" w:rsidRPr="00D27063">
              <w:rPr>
                <w:rFonts w:asciiTheme="minorHAnsi" w:eastAsia="DengXian" w:hAnsiTheme="minorHAnsi" w:cstheme="minorHAnsi"/>
                <w:szCs w:val="24"/>
                <w:lang w:eastAsia="zh-CN"/>
              </w:rPr>
              <w:t xml:space="preserve">ITU has been developing international standards to enable consistent and comparable reporting of ICT sector GHG emissions and energy consumption. One such standard defines the requirements for establishing a database to collect, organize, and share environmental performance data from ICT companies and </w:t>
            </w:r>
            <w:r w:rsidR="00125FE2" w:rsidRPr="00D27063">
              <w:rPr>
                <w:rFonts w:asciiTheme="minorHAnsi" w:eastAsia="DengXian" w:hAnsiTheme="minorHAnsi" w:cstheme="minorHAnsi"/>
                <w:szCs w:val="24"/>
                <w:lang w:eastAsia="zh-CN"/>
              </w:rPr>
              <w:lastRenderedPageBreak/>
              <w:t>operators. To support its implementation, a pilot project is underway in which companies are submitting data and reviewing the data entry points to assess what information can be feasibly collected. This practical exercise is helping to refine the database structure and indicators, while also laying the foundation for national-level data collection, as the company-level inputs can serve as a key source for future national inventories and global assessments of the ICT sector’s environmental footprint.</w:t>
            </w:r>
          </w:p>
          <w:p w14:paraId="136A2DDF" w14:textId="717798CC" w:rsidR="00125FE2" w:rsidRPr="00D27063" w:rsidRDefault="00D27063" w:rsidP="00783C5A">
            <w:pPr>
              <w:tabs>
                <w:tab w:val="clear" w:pos="567"/>
                <w:tab w:val="clear" w:pos="1134"/>
                <w:tab w:val="clear" w:pos="1701"/>
                <w:tab w:val="clear" w:pos="2268"/>
                <w:tab w:val="clear" w:pos="2835"/>
              </w:tabs>
              <w:overflowPunct/>
              <w:autoSpaceDE/>
              <w:autoSpaceDN/>
              <w:adjustRightInd/>
              <w:spacing w:after="120" w:line="259" w:lineRule="auto"/>
              <w:ind w:left="611" w:hanging="450"/>
              <w:jc w:val="both"/>
              <w:textAlignment w:val="auto"/>
              <w:rPr>
                <w:rFonts w:asciiTheme="minorHAnsi" w:eastAsia="DengXian" w:hAnsiTheme="minorHAnsi" w:cstheme="minorHAnsi"/>
                <w:szCs w:val="24"/>
                <w:lang w:eastAsia="zh-CN"/>
              </w:rPr>
            </w:pPr>
            <w:r>
              <w:rPr>
                <w:rFonts w:eastAsia="SimSun" w:cs="Calibri"/>
                <w:szCs w:val="24"/>
                <w:lang w:eastAsia="zh-CN"/>
              </w:rPr>
              <w:t>–</w:t>
            </w:r>
            <w:r w:rsidR="0016155B" w:rsidRPr="00D27063">
              <w:rPr>
                <w:rFonts w:eastAsia="SimSun" w:cs="Calibri"/>
                <w:szCs w:val="24"/>
                <w:lang w:eastAsia="zh-CN"/>
              </w:rPr>
              <w:tab/>
            </w:r>
            <w:r w:rsidR="00125FE2" w:rsidRPr="00D27063">
              <w:rPr>
                <w:rFonts w:asciiTheme="minorHAnsi" w:eastAsia="DengXian" w:hAnsiTheme="minorHAnsi" w:cstheme="minorHAnsi"/>
                <w:szCs w:val="24"/>
                <w:lang w:eastAsia="zh-CN"/>
              </w:rPr>
              <w:t>Taking into consideration the rapid advancement of artificial intelligence (AI), ITU is also developing standards to improve the environmental efficiency of AI systems and to measure their environmental impact. A recently finalized ITU-T Recommendation provides a methodology to assess the environmental footprint of AI systems across their entire life cycle, enabling comparisons between different AI models and applications while also accounting for the positive enablement effects of AI in supporting sustainability goals. This work integrates considerations related to data centres, energy-efficient networks, and supporting digital infrastructure, recognizing their essential role in AI deployment and their contribution to overall energy demand. Through these efforts, ITU aims to ensure that the growth of AI technologies is aligned with global energy efficiency and climate action objectives.</w:t>
            </w:r>
          </w:p>
          <w:p w14:paraId="6B6E90D0" w14:textId="3A8C3E43" w:rsidR="00125FE2" w:rsidRPr="00D27063" w:rsidRDefault="00D27063" w:rsidP="00783C5A">
            <w:pPr>
              <w:tabs>
                <w:tab w:val="clear" w:pos="567"/>
                <w:tab w:val="clear" w:pos="1134"/>
                <w:tab w:val="clear" w:pos="1701"/>
                <w:tab w:val="clear" w:pos="2268"/>
                <w:tab w:val="clear" w:pos="2835"/>
              </w:tabs>
              <w:overflowPunct/>
              <w:autoSpaceDE/>
              <w:autoSpaceDN/>
              <w:adjustRightInd/>
              <w:spacing w:after="120" w:line="259" w:lineRule="auto"/>
              <w:ind w:left="611" w:hanging="450"/>
              <w:jc w:val="both"/>
              <w:textAlignment w:val="auto"/>
              <w:rPr>
                <w:rFonts w:asciiTheme="minorHAnsi" w:eastAsia="DengXian" w:hAnsiTheme="minorHAnsi" w:cstheme="minorHAnsi"/>
                <w:szCs w:val="24"/>
                <w:lang w:eastAsia="zh-CN"/>
              </w:rPr>
            </w:pPr>
            <w:r>
              <w:rPr>
                <w:rFonts w:eastAsia="SimSun" w:cs="Calibri"/>
                <w:szCs w:val="24"/>
                <w:lang w:eastAsia="zh-CN"/>
              </w:rPr>
              <w:t>–</w:t>
            </w:r>
            <w:r w:rsidR="0016155B" w:rsidRPr="00D27063">
              <w:rPr>
                <w:rFonts w:eastAsia="SimSun" w:cs="Calibri"/>
                <w:szCs w:val="24"/>
                <w:lang w:eastAsia="zh-CN"/>
              </w:rPr>
              <w:tab/>
            </w:r>
            <w:r w:rsidR="00125FE2" w:rsidRPr="00D27063">
              <w:rPr>
                <w:rFonts w:asciiTheme="minorHAnsi" w:eastAsia="DengXian" w:hAnsiTheme="minorHAnsi" w:cstheme="minorHAnsi"/>
                <w:szCs w:val="24"/>
                <w:lang w:eastAsia="zh-CN"/>
              </w:rPr>
              <w:t>ITU is developing a ‘Greening Government Data Centre Guide’ which aims to showcase the best international sustainability practices and assist data centre practitioners in identifying and implementing measures to improve the energy efficiency and environmental performance of their data centres.</w:t>
            </w:r>
          </w:p>
        </w:tc>
      </w:tr>
      <w:tr w:rsidR="00125FE2" w:rsidRPr="00D27063" w14:paraId="2205E5E1" w14:textId="77777777" w:rsidTr="58BAADD2">
        <w:tc>
          <w:tcPr>
            <w:tcW w:w="9016" w:type="dxa"/>
          </w:tcPr>
          <w:p w14:paraId="6E02760F" w14:textId="77777777" w:rsidR="00125FE2" w:rsidRPr="00D27063" w:rsidRDefault="00125FE2" w:rsidP="00783C5A">
            <w:pPr>
              <w:tabs>
                <w:tab w:val="clear" w:pos="567"/>
                <w:tab w:val="clear" w:pos="1134"/>
                <w:tab w:val="clear" w:pos="1701"/>
                <w:tab w:val="clear" w:pos="2268"/>
                <w:tab w:val="clear" w:pos="2835"/>
                <w:tab w:val="left" w:pos="693"/>
              </w:tabs>
              <w:overflowPunct/>
              <w:spacing w:before="0" w:line="259" w:lineRule="auto"/>
              <w:ind w:left="692" w:hanging="692"/>
              <w:jc w:val="both"/>
              <w:textAlignment w:val="auto"/>
              <w:rPr>
                <w:rFonts w:asciiTheme="minorHAnsi" w:eastAsia="DengXian" w:hAnsiTheme="minorHAnsi" w:cstheme="minorHAnsi"/>
                <w:b/>
                <w:bCs/>
                <w:color w:val="000000"/>
                <w:szCs w:val="24"/>
                <w:lang w:eastAsia="zh-CN"/>
              </w:rPr>
            </w:pPr>
            <w:r w:rsidRPr="00D27063">
              <w:rPr>
                <w:rFonts w:asciiTheme="minorHAnsi" w:eastAsia="DengXian" w:hAnsiTheme="minorHAnsi" w:cstheme="minorHAnsi"/>
                <w:b/>
                <w:bCs/>
                <w:color w:val="000000"/>
                <w:szCs w:val="24"/>
                <w:lang w:eastAsia="zh-CN"/>
              </w:rPr>
              <w:lastRenderedPageBreak/>
              <w:t xml:space="preserve">Goal 9. Build resilient infrastructure, promote inclusive and sustainable industrialization and foster innovation </w:t>
            </w:r>
          </w:p>
          <w:p w14:paraId="6F781D93" w14:textId="77777777" w:rsidR="00125FE2" w:rsidRPr="00D27063" w:rsidRDefault="00125FE2" w:rsidP="00ED69D8">
            <w:pPr>
              <w:tabs>
                <w:tab w:val="clear" w:pos="567"/>
                <w:tab w:val="clear" w:pos="1134"/>
                <w:tab w:val="clear" w:pos="1701"/>
                <w:tab w:val="clear" w:pos="2268"/>
                <w:tab w:val="clear" w:pos="2835"/>
                <w:tab w:val="left" w:pos="161"/>
              </w:tabs>
              <w:overflowPunct/>
              <w:spacing w:after="120" w:line="259" w:lineRule="auto"/>
              <w:ind w:left="161"/>
              <w:jc w:val="both"/>
              <w:textAlignment w:val="auto"/>
              <w:rPr>
                <w:rFonts w:asciiTheme="minorHAnsi" w:eastAsia="DengXian" w:hAnsiTheme="minorHAnsi" w:cstheme="minorHAnsi"/>
                <w:i/>
                <w:iCs/>
                <w:color w:val="000000"/>
                <w:szCs w:val="24"/>
                <w:lang w:eastAsia="zh-CN"/>
              </w:rPr>
            </w:pPr>
            <w:r w:rsidRPr="00D27063">
              <w:rPr>
                <w:rFonts w:asciiTheme="minorHAnsi" w:eastAsia="DengXian" w:hAnsiTheme="minorHAnsi" w:cstheme="minorHAnsi"/>
                <w:i/>
                <w:iCs/>
                <w:color w:val="000000"/>
                <w:szCs w:val="24"/>
                <w:lang w:eastAsia="zh-CN"/>
              </w:rPr>
              <w:t xml:space="preserve">Global and local infrastructure in the 21st century is controlled, managed and optimized by ICTs – whether power networks, water supplies, transportation systems, or indeed communications networks themselves.  Industrialization – and notably the increases in productivity it enables – is highly-dependent on the effective use of ICTs. And nowhere has innovation been more clearly fostered than in the emerging information and knowledge societies, which depend on open access to academic research and the power of online collaboration. </w:t>
            </w:r>
          </w:p>
          <w:p w14:paraId="6E13819E" w14:textId="77777777" w:rsidR="00125FE2" w:rsidRPr="00D27063" w:rsidRDefault="00125FE2" w:rsidP="00ED69D8">
            <w:pPr>
              <w:tabs>
                <w:tab w:val="clear" w:pos="567"/>
                <w:tab w:val="clear" w:pos="1134"/>
                <w:tab w:val="clear" w:pos="1701"/>
                <w:tab w:val="clear" w:pos="2268"/>
                <w:tab w:val="clear" w:pos="2835"/>
                <w:tab w:val="left" w:pos="693"/>
              </w:tabs>
              <w:overflowPunct/>
              <w:spacing w:after="120" w:line="259" w:lineRule="auto"/>
              <w:jc w:val="both"/>
              <w:textAlignment w:val="auto"/>
              <w:rPr>
                <w:rFonts w:asciiTheme="minorHAnsi" w:eastAsia="DengXian" w:hAnsiTheme="minorHAnsi" w:cstheme="minorHAnsi"/>
                <w:b/>
                <w:bCs/>
                <w:color w:val="000000"/>
                <w:szCs w:val="24"/>
                <w:lang w:eastAsia="zh-CN"/>
              </w:rPr>
            </w:pPr>
            <w:r w:rsidRPr="00D27063">
              <w:rPr>
                <w:rFonts w:asciiTheme="minorHAnsi" w:eastAsia="DengXian" w:hAnsiTheme="minorHAnsi" w:cstheme="minorHAnsi"/>
                <w:b/>
                <w:bCs/>
                <w:color w:val="000000"/>
                <w:szCs w:val="24"/>
                <w:lang w:eastAsia="zh-CN"/>
              </w:rPr>
              <w:t xml:space="preserve">ITU contributes to </w:t>
            </w:r>
            <w:proofErr w:type="spellStart"/>
            <w:r w:rsidRPr="00D27063">
              <w:rPr>
                <w:rFonts w:asciiTheme="minorHAnsi" w:eastAsia="DengXian" w:hAnsiTheme="minorHAnsi" w:cstheme="minorHAnsi"/>
                <w:b/>
                <w:bCs/>
                <w:color w:val="000000"/>
                <w:szCs w:val="24"/>
                <w:lang w:eastAsia="zh-CN"/>
              </w:rPr>
              <w:t>SDG9</w:t>
            </w:r>
            <w:proofErr w:type="spellEnd"/>
            <w:r w:rsidRPr="00D27063">
              <w:rPr>
                <w:rFonts w:asciiTheme="minorHAnsi" w:eastAsia="DengXian" w:hAnsiTheme="minorHAnsi" w:cstheme="minorHAnsi"/>
                <w:b/>
                <w:bCs/>
                <w:color w:val="000000"/>
                <w:szCs w:val="24"/>
                <w:lang w:eastAsia="zh-CN"/>
              </w:rPr>
              <w:t>:</w:t>
            </w:r>
          </w:p>
          <w:p w14:paraId="7D6075EB" w14:textId="0C93C699" w:rsidR="00125FE2" w:rsidRPr="00D27063" w:rsidRDefault="00D27063" w:rsidP="00ED69D8">
            <w:pPr>
              <w:tabs>
                <w:tab w:val="clear" w:pos="567"/>
                <w:tab w:val="clear" w:pos="1134"/>
                <w:tab w:val="clear" w:pos="1701"/>
                <w:tab w:val="clear" w:pos="2268"/>
                <w:tab w:val="clear" w:pos="2835"/>
                <w:tab w:val="left" w:pos="611"/>
              </w:tabs>
              <w:overflowPunct/>
              <w:autoSpaceDE/>
              <w:autoSpaceDN/>
              <w:adjustRightInd/>
              <w:spacing w:after="120" w:line="259" w:lineRule="auto"/>
              <w:ind w:left="611" w:hanging="450"/>
              <w:jc w:val="both"/>
              <w:textAlignment w:val="auto"/>
              <w:rPr>
                <w:rFonts w:asciiTheme="minorHAnsi" w:eastAsia="DengXian" w:hAnsiTheme="minorHAnsi" w:cstheme="minorHAnsi"/>
                <w:color w:val="000000"/>
                <w:szCs w:val="24"/>
                <w:lang w:eastAsia="zh-CN"/>
              </w:rPr>
            </w:pPr>
            <w:r>
              <w:rPr>
                <w:rFonts w:eastAsia="SimSun" w:cs="Calibri"/>
                <w:color w:val="000000"/>
                <w:szCs w:val="24"/>
                <w:lang w:eastAsia="zh-CN"/>
              </w:rPr>
              <w:t>–</w:t>
            </w:r>
            <w:r w:rsidR="0016155B" w:rsidRPr="00D27063">
              <w:rPr>
                <w:rFonts w:eastAsia="SimSun" w:cs="Calibri"/>
                <w:color w:val="000000"/>
                <w:szCs w:val="24"/>
                <w:lang w:eastAsia="zh-CN"/>
              </w:rPr>
              <w:tab/>
            </w:r>
            <w:r w:rsidR="00125FE2" w:rsidRPr="00D27063">
              <w:rPr>
                <w:rFonts w:asciiTheme="minorHAnsi" w:eastAsia="DengXian" w:hAnsiTheme="minorHAnsi" w:cstheme="minorHAnsi"/>
                <w:color w:val="000000"/>
                <w:szCs w:val="24"/>
                <w:lang w:eastAsia="zh-CN"/>
              </w:rPr>
              <w:t xml:space="preserve">The ITU Members States have unanimously adopted the Connect 2030 Agenda, setting out the shared vision, goals and targets that Member States have committed to achieve in collaboration with all stakeholders across the ICT ecosystem. The Connect 2030 goals and targets aim to bridge the digital divide and provide </w:t>
            </w:r>
            <w:proofErr w:type="gramStart"/>
            <w:r w:rsidR="00125FE2" w:rsidRPr="00D27063">
              <w:rPr>
                <w:rFonts w:asciiTheme="minorHAnsi" w:eastAsia="DengXian" w:hAnsiTheme="minorHAnsi" w:cstheme="minorHAnsi"/>
                <w:color w:val="000000"/>
                <w:szCs w:val="24"/>
                <w:lang w:eastAsia="zh-CN"/>
              </w:rPr>
              <w:t>broadband</w:t>
            </w:r>
            <w:proofErr w:type="gramEnd"/>
            <w:r w:rsidR="00125FE2" w:rsidRPr="00D27063">
              <w:rPr>
                <w:rFonts w:asciiTheme="minorHAnsi" w:eastAsia="DengXian" w:hAnsiTheme="minorHAnsi" w:cstheme="minorHAnsi"/>
                <w:color w:val="000000"/>
                <w:szCs w:val="24"/>
                <w:lang w:eastAsia="zh-CN"/>
              </w:rPr>
              <w:t xml:space="preserve"> for all, enabling and fostering access to and increased use of ICTs worldwide, and in particular in the </w:t>
            </w:r>
            <w:proofErr w:type="spellStart"/>
            <w:r w:rsidR="00125FE2" w:rsidRPr="00D27063">
              <w:rPr>
                <w:rFonts w:asciiTheme="minorHAnsi" w:eastAsia="DengXian" w:hAnsiTheme="minorHAnsi" w:cstheme="minorHAnsi"/>
                <w:color w:val="000000"/>
                <w:szCs w:val="24"/>
                <w:lang w:eastAsia="zh-CN"/>
              </w:rPr>
              <w:t>LDCs</w:t>
            </w:r>
            <w:proofErr w:type="spellEnd"/>
            <w:r w:rsidR="00125FE2" w:rsidRPr="00D27063">
              <w:rPr>
                <w:rFonts w:asciiTheme="minorHAnsi" w:eastAsia="DengXian" w:hAnsiTheme="minorHAnsi" w:cstheme="minorHAnsi"/>
                <w:color w:val="000000"/>
                <w:szCs w:val="24"/>
                <w:lang w:eastAsia="zh-CN"/>
              </w:rPr>
              <w:t xml:space="preserve"> –as well as ensuring that telecommunication/ICTs are a key enabler and a mean to accelerate the implementation of the 2030 Agenda for Sustainable Development; </w:t>
            </w:r>
          </w:p>
          <w:p w14:paraId="7898AB62" w14:textId="526C0E89" w:rsidR="00125FE2" w:rsidRPr="00D27063" w:rsidRDefault="00D27063" w:rsidP="00ED69D8">
            <w:pPr>
              <w:tabs>
                <w:tab w:val="clear" w:pos="567"/>
                <w:tab w:val="clear" w:pos="1134"/>
                <w:tab w:val="clear" w:pos="1701"/>
                <w:tab w:val="clear" w:pos="2268"/>
                <w:tab w:val="clear" w:pos="2835"/>
                <w:tab w:val="left" w:pos="611"/>
              </w:tabs>
              <w:overflowPunct/>
              <w:autoSpaceDE/>
              <w:autoSpaceDN/>
              <w:adjustRightInd/>
              <w:spacing w:after="120" w:line="259" w:lineRule="auto"/>
              <w:ind w:left="611" w:hanging="450"/>
              <w:jc w:val="both"/>
              <w:textAlignment w:val="auto"/>
              <w:rPr>
                <w:rFonts w:asciiTheme="minorHAnsi" w:eastAsia="DengXian" w:hAnsiTheme="minorHAnsi" w:cstheme="minorHAnsi"/>
                <w:color w:val="000000"/>
                <w:szCs w:val="24"/>
                <w:lang w:eastAsia="zh-CN"/>
              </w:rPr>
            </w:pPr>
            <w:r>
              <w:rPr>
                <w:rFonts w:eastAsia="SimSun" w:cs="Calibri"/>
                <w:color w:val="000000"/>
                <w:szCs w:val="24"/>
                <w:lang w:eastAsia="zh-CN"/>
              </w:rPr>
              <w:lastRenderedPageBreak/>
              <w:t>–</w:t>
            </w:r>
            <w:r w:rsidR="0016155B" w:rsidRPr="00D27063">
              <w:rPr>
                <w:rFonts w:eastAsia="SimSun" w:cs="Calibri"/>
                <w:color w:val="000000"/>
                <w:szCs w:val="24"/>
                <w:lang w:eastAsia="zh-CN"/>
              </w:rPr>
              <w:tab/>
            </w:r>
            <w:r w:rsidR="00125FE2" w:rsidRPr="00D27063">
              <w:rPr>
                <w:rFonts w:asciiTheme="minorHAnsi" w:eastAsia="DengXian" w:hAnsiTheme="minorHAnsi" w:cstheme="minorHAnsi"/>
                <w:color w:val="000000"/>
                <w:szCs w:val="24"/>
                <w:lang w:eastAsia="zh-CN"/>
              </w:rPr>
              <w:t>Target</w:t>
            </w:r>
            <w:r>
              <w:rPr>
                <w:rFonts w:asciiTheme="minorHAnsi" w:eastAsia="DengXian" w:hAnsiTheme="minorHAnsi" w:cstheme="minorHAnsi"/>
                <w:color w:val="000000"/>
                <w:szCs w:val="24"/>
                <w:lang w:eastAsia="zh-CN"/>
              </w:rPr>
              <w:t>s</w:t>
            </w:r>
            <w:r w:rsidR="00125FE2" w:rsidRPr="00D27063">
              <w:rPr>
                <w:rFonts w:asciiTheme="minorHAnsi" w:eastAsia="DengXian" w:hAnsiTheme="minorHAnsi" w:cstheme="minorHAnsi"/>
                <w:color w:val="000000"/>
                <w:szCs w:val="24"/>
                <w:lang w:eastAsia="zh-CN"/>
              </w:rPr>
              <w:t xml:space="preserve"> 9.1 and 9.3 - By providing globally harmonized spectrum and technical standards, ITU enables the development of high quality, reliable, sustainable and resilient infrastructures accessible to all under affordable and equitable conditions; </w:t>
            </w:r>
          </w:p>
          <w:p w14:paraId="13F3C7EA" w14:textId="149926A4" w:rsidR="00125FE2" w:rsidRPr="00D27063" w:rsidRDefault="00D27063" w:rsidP="00ED69D8">
            <w:pPr>
              <w:tabs>
                <w:tab w:val="clear" w:pos="567"/>
                <w:tab w:val="clear" w:pos="1134"/>
                <w:tab w:val="clear" w:pos="1701"/>
                <w:tab w:val="clear" w:pos="2268"/>
                <w:tab w:val="clear" w:pos="2835"/>
                <w:tab w:val="left" w:pos="611"/>
              </w:tabs>
              <w:overflowPunct/>
              <w:autoSpaceDE/>
              <w:autoSpaceDN/>
              <w:adjustRightInd/>
              <w:spacing w:after="120" w:line="259" w:lineRule="auto"/>
              <w:ind w:left="611" w:hanging="450"/>
              <w:jc w:val="both"/>
              <w:textAlignment w:val="auto"/>
              <w:rPr>
                <w:rFonts w:asciiTheme="minorHAnsi" w:eastAsia="DengXian" w:hAnsiTheme="minorHAnsi" w:cstheme="minorHAnsi"/>
                <w:szCs w:val="24"/>
                <w:lang w:eastAsia="zh-CN"/>
              </w:rPr>
            </w:pPr>
            <w:r>
              <w:rPr>
                <w:rFonts w:eastAsia="SimSun" w:cs="Calibri"/>
                <w:szCs w:val="24"/>
                <w:lang w:eastAsia="zh-CN"/>
              </w:rPr>
              <w:t>–</w:t>
            </w:r>
            <w:r w:rsidR="0016155B" w:rsidRPr="00D27063">
              <w:rPr>
                <w:rFonts w:eastAsia="SimSun" w:cs="Calibri"/>
                <w:szCs w:val="24"/>
                <w:lang w:eastAsia="zh-CN"/>
              </w:rPr>
              <w:tab/>
            </w:r>
            <w:r w:rsidR="00125FE2" w:rsidRPr="00D27063">
              <w:rPr>
                <w:rFonts w:asciiTheme="minorHAnsi" w:eastAsia="DengXian" w:hAnsiTheme="minorHAnsi" w:cstheme="minorHAnsi"/>
                <w:szCs w:val="24"/>
                <w:lang w:eastAsia="zh-CN"/>
              </w:rPr>
              <w:t>In 2024, ten Small Island Developing States (SIDS) received training in Vanuatu, enhancing their ability to manage scarce spectrum resources efficiently. In Africa, the Harmonized Calculation Method for Africa (</w:t>
            </w:r>
            <w:proofErr w:type="spellStart"/>
            <w:r w:rsidR="00125FE2" w:rsidRPr="00D27063">
              <w:rPr>
                <w:rFonts w:asciiTheme="minorHAnsi" w:eastAsia="DengXian" w:hAnsiTheme="minorHAnsi" w:cstheme="minorHAnsi"/>
                <w:szCs w:val="24"/>
                <w:lang w:eastAsia="zh-CN"/>
              </w:rPr>
              <w:t>HCM4A</w:t>
            </w:r>
            <w:proofErr w:type="spellEnd"/>
            <w:r w:rsidR="00125FE2" w:rsidRPr="00D27063">
              <w:rPr>
                <w:rFonts w:asciiTheme="minorHAnsi" w:eastAsia="DengXian" w:hAnsiTheme="minorHAnsi" w:cstheme="minorHAnsi"/>
                <w:szCs w:val="24"/>
                <w:lang w:eastAsia="zh-CN"/>
              </w:rPr>
              <w:t xml:space="preserve">) software was rolled out in 2025, providing harmonized methodologies for spectrum coordination. Across the Asia-Pacific region, support to Nauru and Vanuatu resulted in a new National Table of Frequency Allocations, and in Timor-Leste, assistance was provided to update the Table of Frequency Allocations. A 2024 Shanghai workshop advanced frequency harmonization for the region, setting the stage for over 500 million users to benefit from more efficient frequency management by 2030. These advances confirmed the role of spectrum as a technical resource, and as a strategic enabler of digital growth; </w:t>
            </w:r>
          </w:p>
          <w:p w14:paraId="0A49127C" w14:textId="59C06E61" w:rsidR="00125FE2" w:rsidRPr="00D27063" w:rsidRDefault="00D27063" w:rsidP="00ED69D8">
            <w:pPr>
              <w:tabs>
                <w:tab w:val="clear" w:pos="567"/>
                <w:tab w:val="clear" w:pos="1134"/>
                <w:tab w:val="clear" w:pos="1701"/>
                <w:tab w:val="clear" w:pos="2268"/>
                <w:tab w:val="clear" w:pos="2835"/>
                <w:tab w:val="left" w:pos="611"/>
              </w:tabs>
              <w:overflowPunct/>
              <w:autoSpaceDE/>
              <w:autoSpaceDN/>
              <w:adjustRightInd/>
              <w:spacing w:after="120" w:line="259" w:lineRule="auto"/>
              <w:ind w:left="611" w:hanging="450"/>
              <w:jc w:val="both"/>
              <w:textAlignment w:val="auto"/>
              <w:rPr>
                <w:rFonts w:asciiTheme="minorHAnsi" w:eastAsia="DengXian" w:hAnsiTheme="minorHAnsi" w:cstheme="minorHAnsi"/>
                <w:color w:val="000000"/>
                <w:szCs w:val="24"/>
                <w:lang w:eastAsia="zh-CN"/>
              </w:rPr>
            </w:pPr>
            <w:r>
              <w:rPr>
                <w:rFonts w:eastAsia="SimSun" w:cs="Calibri"/>
                <w:color w:val="000000"/>
                <w:szCs w:val="24"/>
                <w:lang w:eastAsia="zh-CN"/>
              </w:rPr>
              <w:t>–</w:t>
            </w:r>
            <w:r w:rsidR="0016155B" w:rsidRPr="00D27063">
              <w:rPr>
                <w:rFonts w:eastAsia="SimSun" w:cs="Calibri"/>
                <w:color w:val="000000"/>
                <w:szCs w:val="24"/>
                <w:lang w:eastAsia="zh-CN"/>
              </w:rPr>
              <w:tab/>
            </w:r>
            <w:r w:rsidR="00125FE2" w:rsidRPr="00D27063">
              <w:rPr>
                <w:rFonts w:asciiTheme="minorHAnsi" w:eastAsia="DengXian" w:hAnsiTheme="minorHAnsi" w:cstheme="minorHAnsi"/>
                <w:color w:val="000000"/>
                <w:szCs w:val="24"/>
                <w:lang w:eastAsia="zh-CN"/>
              </w:rPr>
              <w:t xml:space="preserve">ITU contributes to building resilient ICT infrastructure by assisting Member States in elaborating both holistic and targeted ICT policies and regulations that can contribute to reducing barriers to broadband deployment, actively facilitating build-out of national fibre-optic networks and international connectivity links, including across sectors. ITU also promotes the deployment of ICT services in unserved and underserved areas, including emergency and accessibility-enhanced </w:t>
            </w:r>
            <w:proofErr w:type="gramStart"/>
            <w:r w:rsidR="00125FE2" w:rsidRPr="00D27063">
              <w:rPr>
                <w:rFonts w:asciiTheme="minorHAnsi" w:eastAsia="DengXian" w:hAnsiTheme="minorHAnsi" w:cstheme="minorHAnsi"/>
                <w:color w:val="000000"/>
                <w:szCs w:val="24"/>
                <w:lang w:eastAsia="zh-CN"/>
              </w:rPr>
              <w:t>services;.</w:t>
            </w:r>
            <w:proofErr w:type="gramEnd"/>
            <w:r w:rsidR="00125FE2" w:rsidRPr="00D27063">
              <w:rPr>
                <w:rFonts w:asciiTheme="minorHAnsi" w:eastAsia="DengXian" w:hAnsiTheme="minorHAnsi" w:cstheme="minorHAnsi"/>
                <w:color w:val="000000"/>
                <w:szCs w:val="24"/>
                <w:lang w:eastAsia="zh-CN"/>
              </w:rPr>
              <w:t xml:space="preserve"> </w:t>
            </w:r>
          </w:p>
          <w:p w14:paraId="3056D48C" w14:textId="1F20F007" w:rsidR="00125FE2" w:rsidRPr="00D27063" w:rsidRDefault="00D27063" w:rsidP="00ED69D8">
            <w:pPr>
              <w:tabs>
                <w:tab w:val="clear" w:pos="567"/>
                <w:tab w:val="clear" w:pos="1134"/>
                <w:tab w:val="clear" w:pos="1701"/>
                <w:tab w:val="clear" w:pos="2268"/>
                <w:tab w:val="clear" w:pos="2835"/>
                <w:tab w:val="left" w:pos="611"/>
              </w:tabs>
              <w:overflowPunct/>
              <w:autoSpaceDE/>
              <w:autoSpaceDN/>
              <w:adjustRightInd/>
              <w:spacing w:after="120" w:line="259" w:lineRule="auto"/>
              <w:ind w:left="611" w:hanging="450"/>
              <w:jc w:val="both"/>
              <w:textAlignment w:val="auto"/>
              <w:rPr>
                <w:rFonts w:asciiTheme="minorHAnsi" w:eastAsia="DengXian" w:hAnsiTheme="minorHAnsi" w:cstheme="minorHAnsi"/>
                <w:color w:val="000000"/>
                <w:szCs w:val="24"/>
                <w:lang w:eastAsia="zh-CN"/>
              </w:rPr>
            </w:pPr>
            <w:r>
              <w:rPr>
                <w:rFonts w:eastAsia="SimSun" w:cs="Calibri"/>
                <w:color w:val="000000"/>
                <w:szCs w:val="24"/>
                <w:lang w:eastAsia="zh-CN"/>
              </w:rPr>
              <w:t>–</w:t>
            </w:r>
            <w:r w:rsidR="0016155B" w:rsidRPr="00D27063">
              <w:rPr>
                <w:rFonts w:eastAsia="SimSun" w:cs="Calibri"/>
                <w:color w:val="000000"/>
                <w:szCs w:val="24"/>
                <w:lang w:eastAsia="zh-CN"/>
              </w:rPr>
              <w:tab/>
            </w:r>
            <w:r w:rsidR="00125FE2" w:rsidRPr="00D27063">
              <w:rPr>
                <w:szCs w:val="24"/>
              </w:rPr>
              <w:t>ITU has supported more than 25 countries in developing and implementing National Emergency Telecommunication Plans (NETPs), which include policy and regulatory frameworks, clear stakeholder action points, and implementation roadmaps. ITU also delivered emergency response equipment and training to support countries affected by disasters. This included the deployment of products and services, including connectivity maps and satellite equipment and delivery of simulation exercises to provide assistance to Member States to enhance confidence and security in the use of telecommunications/ICTs</w:t>
            </w:r>
          </w:p>
          <w:p w14:paraId="0E24CCDD" w14:textId="4DB5292D" w:rsidR="00125FE2" w:rsidRPr="00D27063" w:rsidRDefault="00D27063" w:rsidP="00ED69D8">
            <w:pPr>
              <w:tabs>
                <w:tab w:val="clear" w:pos="567"/>
                <w:tab w:val="clear" w:pos="1134"/>
                <w:tab w:val="clear" w:pos="1701"/>
                <w:tab w:val="clear" w:pos="2268"/>
                <w:tab w:val="clear" w:pos="2835"/>
                <w:tab w:val="left" w:pos="611"/>
              </w:tabs>
              <w:overflowPunct/>
              <w:autoSpaceDE/>
              <w:autoSpaceDN/>
              <w:adjustRightInd/>
              <w:spacing w:after="120" w:line="259" w:lineRule="auto"/>
              <w:ind w:left="611" w:hanging="450"/>
              <w:jc w:val="both"/>
              <w:textAlignment w:val="auto"/>
              <w:rPr>
                <w:rFonts w:asciiTheme="minorHAnsi" w:eastAsia="DengXian" w:hAnsiTheme="minorHAnsi" w:cstheme="minorHAnsi"/>
                <w:color w:val="000000"/>
                <w:szCs w:val="24"/>
                <w:lang w:eastAsia="zh-CN"/>
              </w:rPr>
            </w:pPr>
            <w:r>
              <w:rPr>
                <w:rFonts w:eastAsia="SimSun" w:cs="Calibri"/>
                <w:color w:val="000000"/>
                <w:szCs w:val="24"/>
                <w:lang w:eastAsia="zh-CN"/>
              </w:rPr>
              <w:t>–</w:t>
            </w:r>
            <w:r w:rsidR="0016155B" w:rsidRPr="00D27063">
              <w:rPr>
                <w:rFonts w:eastAsia="SimSun" w:cs="Calibri"/>
                <w:color w:val="000000"/>
                <w:szCs w:val="24"/>
                <w:lang w:eastAsia="zh-CN"/>
              </w:rPr>
              <w:tab/>
            </w:r>
            <w:r w:rsidR="00125FE2" w:rsidRPr="00D27063">
              <w:rPr>
                <w:rFonts w:eastAsia="Calibri" w:cs="Calibri"/>
                <w:szCs w:val="24"/>
              </w:rPr>
              <w:t>Under the UN Early Warnings for All (</w:t>
            </w:r>
            <w:proofErr w:type="spellStart"/>
            <w:r w:rsidR="00125FE2" w:rsidRPr="00D27063">
              <w:rPr>
                <w:rFonts w:eastAsia="Calibri" w:cs="Calibri"/>
                <w:szCs w:val="24"/>
              </w:rPr>
              <w:t>EW4All</w:t>
            </w:r>
            <w:proofErr w:type="spellEnd"/>
            <w:r w:rsidR="00125FE2" w:rsidRPr="00D27063">
              <w:rPr>
                <w:rFonts w:eastAsia="Calibri" w:cs="Calibri"/>
                <w:szCs w:val="24"/>
              </w:rPr>
              <w:t xml:space="preserve">) initiative, ITU leads Pillar 3 on Warning Dissemination and Communication. ITU has provided support to Member States in their efforts to strengthen the capacity to use ICTs to build effective early warning systems and save lives. In particular, ITU continued to advance the work on the implementation of the </w:t>
            </w:r>
            <w:proofErr w:type="spellStart"/>
            <w:r w:rsidR="00125FE2" w:rsidRPr="00D27063">
              <w:rPr>
                <w:rFonts w:eastAsia="Calibri" w:cs="Calibri"/>
                <w:szCs w:val="24"/>
              </w:rPr>
              <w:t>EW4All</w:t>
            </w:r>
            <w:proofErr w:type="spellEnd"/>
            <w:r w:rsidR="00125FE2" w:rsidRPr="00D27063">
              <w:rPr>
                <w:rFonts w:eastAsia="Calibri" w:cs="Calibri"/>
                <w:szCs w:val="24"/>
              </w:rPr>
              <w:t xml:space="preserve"> initiative through facilitation of technical, economic, and regulatory assessments for the implementation of Early Warning Systems (</w:t>
            </w:r>
            <w:proofErr w:type="spellStart"/>
            <w:r w:rsidR="00125FE2" w:rsidRPr="00D27063">
              <w:rPr>
                <w:rFonts w:eastAsia="Calibri" w:cs="Calibri"/>
                <w:szCs w:val="24"/>
              </w:rPr>
              <w:t>EWS</w:t>
            </w:r>
            <w:proofErr w:type="spellEnd"/>
            <w:r w:rsidR="00125FE2" w:rsidRPr="00D27063">
              <w:rPr>
                <w:rFonts w:eastAsia="Calibri" w:cs="Calibri"/>
                <w:szCs w:val="24"/>
              </w:rPr>
              <w:t xml:space="preserve">) focused the implementation of the Common Alerting Protocol (CAP), Cell Broadcast (CB) and Location Based SMS (LB-SMS) which continue to be key technologies to take advantage of digital networks, services and mobile phones to disseminate alerts and to save lives and livelihoods. In addition, ITU as the </w:t>
            </w:r>
            <w:proofErr w:type="spellStart"/>
            <w:r w:rsidR="00125FE2" w:rsidRPr="00D27063">
              <w:rPr>
                <w:rFonts w:eastAsia="Calibri" w:cs="Calibri"/>
                <w:szCs w:val="24"/>
              </w:rPr>
              <w:t>EW4All</w:t>
            </w:r>
            <w:proofErr w:type="spellEnd"/>
            <w:r w:rsidR="00125FE2" w:rsidRPr="00D27063">
              <w:rPr>
                <w:rFonts w:eastAsia="Calibri" w:cs="Calibri"/>
                <w:szCs w:val="24"/>
              </w:rPr>
              <w:t xml:space="preserve">-Technical Export Group (TEG) on Mobile Early Warning Systems. This online-based group, which brings together early warning system experts from national governments, fosters experience-sharing and expertise-building in setting up and enhancing public </w:t>
            </w:r>
            <w:proofErr w:type="spellStart"/>
            <w:r w:rsidR="00125FE2" w:rsidRPr="00D27063">
              <w:rPr>
                <w:rFonts w:eastAsia="Calibri" w:cs="Calibri"/>
                <w:szCs w:val="24"/>
              </w:rPr>
              <w:t>EWS</w:t>
            </w:r>
            <w:proofErr w:type="spellEnd"/>
            <w:r w:rsidR="00125FE2" w:rsidRPr="00D27063">
              <w:rPr>
                <w:rFonts w:eastAsia="Calibri" w:cs="Calibri"/>
                <w:szCs w:val="24"/>
              </w:rPr>
              <w:t xml:space="preserve"> and last-mile communication and improving resilience. As part the deliverables of the </w:t>
            </w:r>
            <w:proofErr w:type="spellStart"/>
            <w:r w:rsidR="00125FE2" w:rsidRPr="00D27063">
              <w:rPr>
                <w:rFonts w:eastAsia="Calibri" w:cs="Calibri"/>
                <w:szCs w:val="24"/>
              </w:rPr>
              <w:t>G20</w:t>
            </w:r>
            <w:proofErr w:type="spellEnd"/>
            <w:r w:rsidR="00125FE2" w:rsidRPr="00D27063">
              <w:rPr>
                <w:rFonts w:eastAsia="Calibri" w:cs="Calibri"/>
                <w:szCs w:val="24"/>
              </w:rPr>
              <w:t xml:space="preserve"> Disaster Risk Reduction Working Group (where ITU is a member of this </w:t>
            </w:r>
            <w:r w:rsidR="00125FE2" w:rsidRPr="00D27063">
              <w:rPr>
                <w:rFonts w:eastAsia="Calibri" w:cs="Calibri"/>
                <w:szCs w:val="24"/>
              </w:rPr>
              <w:lastRenderedPageBreak/>
              <w:t>working group), the 'Scaling Up Cell Broadcast for Last-mile Early Warning Delivery: Progress, barriers, and enabling mechanisms' was launched which focused on showcasing the potential of cell broadcast in enhancing early warning systems;</w:t>
            </w:r>
          </w:p>
          <w:p w14:paraId="34D3F122" w14:textId="106E89FC" w:rsidR="00125FE2" w:rsidRPr="00D27063" w:rsidRDefault="00D27063" w:rsidP="00ED69D8">
            <w:pPr>
              <w:tabs>
                <w:tab w:val="clear" w:pos="567"/>
                <w:tab w:val="clear" w:pos="1134"/>
                <w:tab w:val="clear" w:pos="1701"/>
                <w:tab w:val="clear" w:pos="2268"/>
                <w:tab w:val="clear" w:pos="2835"/>
                <w:tab w:val="left" w:pos="611"/>
              </w:tabs>
              <w:overflowPunct/>
              <w:autoSpaceDE/>
              <w:autoSpaceDN/>
              <w:adjustRightInd/>
              <w:spacing w:after="120" w:line="259" w:lineRule="auto"/>
              <w:ind w:left="611" w:hanging="450"/>
              <w:jc w:val="both"/>
              <w:textAlignment w:val="auto"/>
              <w:rPr>
                <w:rFonts w:asciiTheme="minorHAnsi" w:eastAsia="DengXian" w:hAnsiTheme="minorHAnsi" w:cstheme="minorHAnsi"/>
                <w:color w:val="000000"/>
                <w:szCs w:val="24"/>
                <w:lang w:eastAsia="zh-CN"/>
              </w:rPr>
            </w:pPr>
            <w:r>
              <w:rPr>
                <w:rFonts w:eastAsia="SimSun" w:cs="Calibri"/>
                <w:color w:val="000000"/>
                <w:szCs w:val="24"/>
                <w:lang w:eastAsia="zh-CN"/>
              </w:rPr>
              <w:t>–</w:t>
            </w:r>
            <w:r w:rsidR="0016155B" w:rsidRPr="00D27063">
              <w:rPr>
                <w:rFonts w:eastAsia="SimSun" w:cs="Calibri"/>
                <w:color w:val="000000"/>
                <w:szCs w:val="24"/>
                <w:lang w:eastAsia="zh-CN"/>
              </w:rPr>
              <w:tab/>
            </w:r>
            <w:r w:rsidR="00125FE2" w:rsidRPr="00D27063">
              <w:rPr>
                <w:rFonts w:eastAsia="Calibri" w:cs="Calibri"/>
                <w:szCs w:val="24"/>
              </w:rPr>
              <w:t xml:space="preserve">ITU leads coordination efforts for the Artificial Intelligence (AI) for Early Warnings for All Sub-group, working with partners including </w:t>
            </w:r>
            <w:proofErr w:type="spellStart"/>
            <w:r w:rsidR="00125FE2" w:rsidRPr="00D27063">
              <w:rPr>
                <w:rFonts w:eastAsia="Calibri" w:cs="Calibri"/>
                <w:szCs w:val="24"/>
              </w:rPr>
              <w:t>UNDRR</w:t>
            </w:r>
            <w:proofErr w:type="spellEnd"/>
            <w:r w:rsidR="00125FE2" w:rsidRPr="00D27063">
              <w:rPr>
                <w:rFonts w:eastAsia="Calibri" w:cs="Calibri"/>
                <w:szCs w:val="24"/>
              </w:rPr>
              <w:t xml:space="preserve">, WMO, IFRC, Google, Microsoft AI for Good Lab, Planet, IHME, GSMA, DISHA, and GEO to scale AI applications that strengthen early warning systems. The sub-group is launching pilot initiatives in several countries and forming dedicated working groups, alongside local stakeholders, to ensure effective implementation. One of the pilots of is the development of a tool to help countries monitor and map the number of people who are not covered by digital networks. Produced in collaboration with ITU, Microsoft, Planet and the Institute for Health Metrics and Evaluation, the technology uses AI to </w:t>
            </w:r>
            <w:proofErr w:type="spellStart"/>
            <w:r w:rsidR="00125FE2" w:rsidRPr="00D27063">
              <w:rPr>
                <w:rFonts w:eastAsia="Calibri" w:cs="Calibri"/>
                <w:szCs w:val="24"/>
              </w:rPr>
              <w:t>analyze</w:t>
            </w:r>
            <w:proofErr w:type="spellEnd"/>
            <w:r w:rsidR="00125FE2" w:rsidRPr="00D27063">
              <w:rPr>
                <w:rFonts w:eastAsia="Calibri" w:cs="Calibri"/>
                <w:szCs w:val="24"/>
              </w:rPr>
              <w:t xml:space="preserve"> satellite imagery and produce high-resolution population density maps to visualize connectivity based on the ITU Disaster Connectivity Map. As part of the AI group, ITU is developing an AI Solutions Catalogue which is an online repository of AI tools, models, and applications pertinent to early warning systems;</w:t>
            </w:r>
          </w:p>
          <w:p w14:paraId="41D67DB1" w14:textId="382C2380" w:rsidR="00125FE2" w:rsidRPr="00D27063" w:rsidRDefault="00D27063" w:rsidP="00ED69D8">
            <w:pPr>
              <w:tabs>
                <w:tab w:val="clear" w:pos="567"/>
                <w:tab w:val="clear" w:pos="1134"/>
                <w:tab w:val="clear" w:pos="1701"/>
                <w:tab w:val="clear" w:pos="2268"/>
                <w:tab w:val="clear" w:pos="2835"/>
                <w:tab w:val="left" w:pos="611"/>
              </w:tabs>
              <w:overflowPunct/>
              <w:autoSpaceDE/>
              <w:autoSpaceDN/>
              <w:adjustRightInd/>
              <w:spacing w:after="120" w:line="259" w:lineRule="auto"/>
              <w:ind w:left="611" w:hanging="450"/>
              <w:jc w:val="both"/>
              <w:textAlignment w:val="auto"/>
              <w:rPr>
                <w:rFonts w:asciiTheme="minorHAnsi" w:eastAsia="DengXian" w:hAnsiTheme="minorHAnsi" w:cstheme="minorHAnsi"/>
                <w:color w:val="000000"/>
                <w:szCs w:val="24"/>
                <w:lang w:eastAsia="zh-CN"/>
              </w:rPr>
            </w:pPr>
            <w:r>
              <w:rPr>
                <w:rFonts w:eastAsia="SimSun" w:cs="Calibri"/>
                <w:color w:val="000000"/>
                <w:szCs w:val="24"/>
                <w:lang w:eastAsia="zh-CN"/>
              </w:rPr>
              <w:t>–</w:t>
            </w:r>
            <w:r w:rsidR="0016155B" w:rsidRPr="00D27063">
              <w:rPr>
                <w:rFonts w:eastAsia="SimSun" w:cs="Calibri"/>
                <w:color w:val="000000"/>
                <w:szCs w:val="24"/>
                <w:lang w:eastAsia="zh-CN"/>
              </w:rPr>
              <w:tab/>
            </w:r>
            <w:r w:rsidR="00125FE2" w:rsidRPr="00D27063">
              <w:rPr>
                <w:rFonts w:eastAsia="Calibri" w:cs="Calibri"/>
                <w:szCs w:val="24"/>
              </w:rPr>
              <w:t>In times of emergencies, ITU provides support for monitoring connectivity gaps and outages. Launched by ITU, in collaboration with the Emergency Telecommunications Cluster (ETC) and the GSMA in 2019, the DCM is a live map that provides information on the type, level, and quality of connectivity available on the ground during times of disasters. ITU hosts this tool, which monitors connectivity gaps to inform first responders and support their policy decisions. It also shows areas that need support in restoring telecommunications links, which are vital for the efficient coordination of the response activities at the ground level;</w:t>
            </w:r>
          </w:p>
          <w:p w14:paraId="5CA0CF0F" w14:textId="60B5DAE6" w:rsidR="00125FE2" w:rsidRPr="00D27063" w:rsidRDefault="00D27063" w:rsidP="00ED69D8">
            <w:pPr>
              <w:tabs>
                <w:tab w:val="clear" w:pos="567"/>
                <w:tab w:val="clear" w:pos="1134"/>
                <w:tab w:val="clear" w:pos="1701"/>
                <w:tab w:val="clear" w:pos="2268"/>
                <w:tab w:val="clear" w:pos="2835"/>
                <w:tab w:val="left" w:pos="611"/>
              </w:tabs>
              <w:overflowPunct/>
              <w:autoSpaceDE/>
              <w:autoSpaceDN/>
              <w:adjustRightInd/>
              <w:spacing w:after="120" w:line="259" w:lineRule="auto"/>
              <w:ind w:left="611" w:hanging="450"/>
              <w:jc w:val="both"/>
              <w:textAlignment w:val="auto"/>
              <w:rPr>
                <w:rFonts w:asciiTheme="minorHAnsi" w:eastAsia="DengXian" w:hAnsiTheme="minorHAnsi" w:cstheme="minorHAnsi"/>
                <w:color w:val="000000"/>
                <w:szCs w:val="24"/>
                <w:lang w:eastAsia="zh-CN"/>
              </w:rPr>
            </w:pPr>
            <w:r>
              <w:rPr>
                <w:rFonts w:eastAsia="SimSun" w:cs="Calibri"/>
                <w:color w:val="000000"/>
                <w:szCs w:val="24"/>
                <w:lang w:eastAsia="zh-CN"/>
              </w:rPr>
              <w:t>–</w:t>
            </w:r>
            <w:r w:rsidR="0016155B" w:rsidRPr="00D27063">
              <w:rPr>
                <w:rFonts w:eastAsia="SimSun" w:cs="Calibri"/>
                <w:color w:val="000000"/>
                <w:szCs w:val="24"/>
                <w:lang w:eastAsia="zh-CN"/>
              </w:rPr>
              <w:tab/>
            </w:r>
            <w:r w:rsidR="00125FE2" w:rsidRPr="00D27063">
              <w:rPr>
                <w:rFonts w:asciiTheme="minorHAnsi" w:eastAsia="DengXian" w:hAnsiTheme="minorHAnsi" w:cstheme="minorHAnsi"/>
                <w:color w:val="000000"/>
                <w:szCs w:val="24"/>
                <w:lang w:eastAsia="zh-CN"/>
              </w:rPr>
              <w:t xml:space="preserve">ITU is leading efforts to secure telephone networks in order to stop fraudulent communications (e.g. scam calls, robocalls, etc.). ITU has standardized a solution that embeds and validates digital public-key certificates within signalling, significantly enhancing security and trust across global communication networks. This work establishes a comprehensive framework for secure telecom signalling, including authentication of Calling Line Identification (CLI) in both modern and legacy networks such as Signalling System </w:t>
            </w:r>
            <w:proofErr w:type="spellStart"/>
            <w:r w:rsidR="00125FE2" w:rsidRPr="00D27063">
              <w:rPr>
                <w:rFonts w:asciiTheme="minorHAnsi" w:eastAsia="DengXian" w:hAnsiTheme="minorHAnsi" w:cstheme="minorHAnsi"/>
                <w:color w:val="000000"/>
                <w:szCs w:val="24"/>
                <w:lang w:eastAsia="zh-CN"/>
              </w:rPr>
              <w:t>No.7</w:t>
            </w:r>
            <w:proofErr w:type="spellEnd"/>
            <w:r w:rsidR="00125FE2" w:rsidRPr="00D27063">
              <w:rPr>
                <w:rFonts w:asciiTheme="minorHAnsi" w:eastAsia="DengXian" w:hAnsiTheme="minorHAnsi" w:cstheme="minorHAnsi"/>
                <w:color w:val="000000"/>
                <w:szCs w:val="24"/>
                <w:lang w:eastAsia="zh-CN"/>
              </w:rPr>
              <w:t>. By embedding certificate-based authentication into signalling processes, ITU’s approach helps prevent fraud and enhances the trustworthiness of voice and SMS communications worldwide, ensuring a secure and interoperable environment for future networks.</w:t>
            </w:r>
          </w:p>
          <w:p w14:paraId="20345189" w14:textId="58F28104" w:rsidR="00125FE2" w:rsidRPr="00D27063" w:rsidRDefault="00D27063" w:rsidP="00ED69D8">
            <w:pPr>
              <w:tabs>
                <w:tab w:val="clear" w:pos="567"/>
                <w:tab w:val="clear" w:pos="1134"/>
                <w:tab w:val="clear" w:pos="1701"/>
                <w:tab w:val="clear" w:pos="2268"/>
                <w:tab w:val="clear" w:pos="2835"/>
                <w:tab w:val="left" w:pos="611"/>
              </w:tabs>
              <w:overflowPunct/>
              <w:autoSpaceDE/>
              <w:autoSpaceDN/>
              <w:adjustRightInd/>
              <w:spacing w:after="120" w:line="259" w:lineRule="auto"/>
              <w:ind w:left="611" w:hanging="450"/>
              <w:jc w:val="both"/>
              <w:textAlignment w:val="auto"/>
              <w:rPr>
                <w:rFonts w:asciiTheme="minorHAnsi" w:eastAsia="DengXian" w:hAnsiTheme="minorHAnsi" w:cstheme="minorHAnsi"/>
                <w:color w:val="000000"/>
                <w:szCs w:val="24"/>
                <w:lang w:eastAsia="zh-CN"/>
              </w:rPr>
            </w:pPr>
            <w:r>
              <w:rPr>
                <w:rFonts w:eastAsia="SimSun" w:cs="Calibri"/>
                <w:color w:val="000000"/>
                <w:szCs w:val="24"/>
                <w:lang w:eastAsia="zh-CN"/>
              </w:rPr>
              <w:t>–</w:t>
            </w:r>
            <w:r w:rsidR="0016155B" w:rsidRPr="00D27063">
              <w:rPr>
                <w:rFonts w:eastAsia="SimSun" w:cs="Calibri"/>
                <w:color w:val="000000"/>
                <w:szCs w:val="24"/>
                <w:lang w:eastAsia="zh-CN"/>
              </w:rPr>
              <w:tab/>
            </w:r>
            <w:r w:rsidR="00125FE2" w:rsidRPr="00D27063">
              <w:rPr>
                <w:rFonts w:asciiTheme="minorHAnsi" w:eastAsia="DengXian" w:hAnsiTheme="minorHAnsi" w:cstheme="minorHAnsi"/>
                <w:color w:val="000000"/>
                <w:szCs w:val="24"/>
                <w:lang w:eastAsia="zh-CN"/>
              </w:rPr>
              <w:t xml:space="preserve">By developing guidelines and recommendations for the elaboration, implementation and enforcement of a wide array of ICT regulatory policies and other legal instruments to stimulate the deployment of broadband networks, particularly in developing countries; </w:t>
            </w:r>
          </w:p>
          <w:p w14:paraId="1228BB81" w14:textId="0EF5C4CC" w:rsidR="00125FE2" w:rsidRPr="00D27063" w:rsidRDefault="00D27063" w:rsidP="00ED69D8">
            <w:pPr>
              <w:tabs>
                <w:tab w:val="clear" w:pos="567"/>
                <w:tab w:val="clear" w:pos="1134"/>
                <w:tab w:val="clear" w:pos="1701"/>
                <w:tab w:val="clear" w:pos="2268"/>
                <w:tab w:val="clear" w:pos="2835"/>
                <w:tab w:val="left" w:pos="611"/>
              </w:tabs>
              <w:overflowPunct/>
              <w:autoSpaceDE/>
              <w:autoSpaceDN/>
              <w:adjustRightInd/>
              <w:spacing w:after="120" w:line="259" w:lineRule="auto"/>
              <w:ind w:left="611" w:hanging="450"/>
              <w:jc w:val="both"/>
              <w:textAlignment w:val="auto"/>
              <w:rPr>
                <w:rFonts w:asciiTheme="minorHAnsi" w:eastAsia="DengXian" w:hAnsiTheme="minorHAnsi" w:cstheme="minorHAnsi"/>
                <w:color w:val="000000"/>
                <w:szCs w:val="24"/>
                <w:lang w:eastAsia="zh-CN"/>
              </w:rPr>
            </w:pPr>
            <w:r>
              <w:rPr>
                <w:rFonts w:eastAsia="SimSun" w:cs="Calibri"/>
                <w:color w:val="000000"/>
                <w:szCs w:val="24"/>
                <w:lang w:eastAsia="zh-CN"/>
              </w:rPr>
              <w:t>–</w:t>
            </w:r>
            <w:r w:rsidR="0016155B" w:rsidRPr="00D27063">
              <w:rPr>
                <w:rFonts w:eastAsia="SimSun" w:cs="Calibri"/>
                <w:color w:val="000000"/>
                <w:szCs w:val="24"/>
                <w:lang w:eastAsia="zh-CN"/>
              </w:rPr>
              <w:tab/>
            </w:r>
            <w:r w:rsidR="00125FE2" w:rsidRPr="00D27063">
              <w:rPr>
                <w:rFonts w:asciiTheme="minorHAnsi" w:eastAsia="DengXian" w:hAnsiTheme="minorHAnsi" w:cstheme="minorHAnsi"/>
                <w:color w:val="000000"/>
                <w:szCs w:val="24"/>
                <w:lang w:eastAsia="zh-CN"/>
              </w:rPr>
              <w:t xml:space="preserve">By fostering the development of telecommunication/ICT network through enhanced understanding of ICT Infrastructure, such as the “ITU Broadband Map". This project provides a perspective of broadband connectivity, geospatial capabilities, and </w:t>
            </w:r>
            <w:r w:rsidR="00125FE2" w:rsidRPr="00D27063">
              <w:rPr>
                <w:rFonts w:asciiTheme="minorHAnsi" w:eastAsia="DengXian" w:hAnsiTheme="minorHAnsi" w:cstheme="minorHAnsi"/>
                <w:color w:val="000000"/>
                <w:szCs w:val="24"/>
                <w:lang w:eastAsia="zh-CN"/>
              </w:rPr>
              <w:lastRenderedPageBreak/>
              <w:t xml:space="preserve">training event to support capacity of ITU Members to identify broadband investment opportunities; </w:t>
            </w:r>
          </w:p>
          <w:p w14:paraId="3FAE0952" w14:textId="0EB9F978" w:rsidR="00125FE2" w:rsidRPr="00D27063" w:rsidRDefault="00D27063" w:rsidP="00ED69D8">
            <w:pPr>
              <w:tabs>
                <w:tab w:val="clear" w:pos="567"/>
                <w:tab w:val="clear" w:pos="1134"/>
                <w:tab w:val="clear" w:pos="1701"/>
                <w:tab w:val="clear" w:pos="2268"/>
                <w:tab w:val="clear" w:pos="2835"/>
                <w:tab w:val="left" w:pos="611"/>
              </w:tabs>
              <w:spacing w:after="120" w:line="259" w:lineRule="auto"/>
              <w:ind w:left="611" w:hanging="450"/>
              <w:jc w:val="both"/>
              <w:rPr>
                <w:rFonts w:asciiTheme="minorHAnsi" w:eastAsia="Arial" w:hAnsiTheme="minorHAnsi" w:cstheme="minorHAnsi"/>
                <w:color w:val="444444"/>
                <w:szCs w:val="24"/>
              </w:rPr>
            </w:pPr>
            <w:r>
              <w:rPr>
                <w:rFonts w:eastAsia="SimSun" w:cs="Calibri"/>
                <w:color w:val="444444"/>
                <w:szCs w:val="24"/>
              </w:rPr>
              <w:t>–</w:t>
            </w:r>
            <w:r w:rsidR="0016155B" w:rsidRPr="00D27063">
              <w:rPr>
                <w:rFonts w:eastAsia="SimSun" w:cs="Calibri"/>
                <w:color w:val="444444"/>
                <w:szCs w:val="24"/>
              </w:rPr>
              <w:tab/>
            </w:r>
            <w:r w:rsidR="00125FE2" w:rsidRPr="00D27063">
              <w:rPr>
                <w:rFonts w:asciiTheme="minorHAnsi" w:eastAsia="DengXian" w:hAnsiTheme="minorHAnsi" w:cstheme="minorHAnsi"/>
                <w:color w:val="000000" w:themeColor="text1"/>
                <w:szCs w:val="24"/>
                <w:lang w:eastAsia="zh-CN"/>
              </w:rPr>
              <w:t>Target</w:t>
            </w:r>
            <w:r>
              <w:rPr>
                <w:rFonts w:asciiTheme="minorHAnsi" w:eastAsia="DengXian" w:hAnsiTheme="minorHAnsi" w:cstheme="minorHAnsi"/>
                <w:color w:val="000000" w:themeColor="text1"/>
                <w:szCs w:val="24"/>
                <w:lang w:eastAsia="zh-CN"/>
              </w:rPr>
              <w:t>s</w:t>
            </w:r>
            <w:r w:rsidR="00125FE2" w:rsidRPr="00D27063">
              <w:rPr>
                <w:rFonts w:asciiTheme="minorHAnsi" w:eastAsia="DengXian" w:hAnsiTheme="minorHAnsi" w:cstheme="minorHAnsi"/>
                <w:color w:val="000000" w:themeColor="text1"/>
                <w:szCs w:val="24"/>
                <w:lang w:eastAsia="zh-CN"/>
              </w:rPr>
              <w:t xml:space="preserve"> 9.5. and </w:t>
            </w:r>
            <w:proofErr w:type="spellStart"/>
            <w:r w:rsidR="00125FE2" w:rsidRPr="00D27063">
              <w:rPr>
                <w:rFonts w:asciiTheme="minorHAnsi" w:eastAsia="DengXian" w:hAnsiTheme="minorHAnsi" w:cstheme="minorHAnsi"/>
                <w:color w:val="000000" w:themeColor="text1"/>
                <w:szCs w:val="24"/>
                <w:lang w:eastAsia="zh-CN"/>
              </w:rPr>
              <w:t>9.c</w:t>
            </w:r>
            <w:proofErr w:type="spellEnd"/>
            <w:r w:rsidR="00125FE2" w:rsidRPr="00D27063">
              <w:rPr>
                <w:rFonts w:asciiTheme="minorHAnsi" w:eastAsia="DengXian" w:hAnsiTheme="minorHAnsi" w:cstheme="minorHAnsi"/>
                <w:color w:val="000000" w:themeColor="text1"/>
                <w:szCs w:val="24"/>
                <w:lang w:eastAsia="zh-CN"/>
              </w:rPr>
              <w:t xml:space="preserve"> - Space, mobile, transport industries benefit from ITU activities, which encourage investments by maintaining a stable and predictable regulatory environment, and promoting an efficient and sustainable use of spectrum resources; </w:t>
            </w:r>
          </w:p>
          <w:p w14:paraId="12A8773E" w14:textId="27DA6EC6" w:rsidR="00125FE2" w:rsidRPr="00D27063" w:rsidRDefault="00D27063" w:rsidP="00ED69D8">
            <w:pPr>
              <w:tabs>
                <w:tab w:val="clear" w:pos="567"/>
                <w:tab w:val="clear" w:pos="1134"/>
                <w:tab w:val="clear" w:pos="1701"/>
                <w:tab w:val="clear" w:pos="2268"/>
                <w:tab w:val="clear" w:pos="2835"/>
                <w:tab w:val="left" w:pos="693"/>
              </w:tabs>
              <w:overflowPunct/>
              <w:autoSpaceDE/>
              <w:autoSpaceDN/>
              <w:adjustRightInd/>
              <w:spacing w:after="120" w:line="259" w:lineRule="auto"/>
              <w:ind w:left="693" w:hanging="450"/>
              <w:jc w:val="both"/>
              <w:textAlignment w:val="auto"/>
              <w:rPr>
                <w:rFonts w:asciiTheme="minorHAnsi" w:eastAsia="DengXian" w:hAnsiTheme="minorHAnsi" w:cstheme="minorHAnsi"/>
                <w:color w:val="000000"/>
                <w:szCs w:val="24"/>
                <w:lang w:eastAsia="zh-CN"/>
              </w:rPr>
            </w:pPr>
            <w:r>
              <w:rPr>
                <w:rFonts w:eastAsia="SimSun" w:cs="Calibri"/>
                <w:color w:val="000000"/>
                <w:szCs w:val="24"/>
                <w:lang w:eastAsia="zh-CN"/>
              </w:rPr>
              <w:t>–</w:t>
            </w:r>
            <w:r w:rsidR="0016155B" w:rsidRPr="00D27063">
              <w:rPr>
                <w:rFonts w:eastAsia="SimSun" w:cs="Calibri"/>
                <w:color w:val="000000"/>
                <w:szCs w:val="24"/>
                <w:lang w:eastAsia="zh-CN"/>
              </w:rPr>
              <w:tab/>
            </w:r>
            <w:r w:rsidR="00125FE2" w:rsidRPr="00D27063">
              <w:rPr>
                <w:rFonts w:asciiTheme="minorHAnsi" w:eastAsia="DengXian" w:hAnsiTheme="minorHAnsi" w:cstheme="minorHAnsi"/>
                <w:color w:val="000000"/>
                <w:szCs w:val="24"/>
                <w:lang w:eastAsia="zh-CN"/>
              </w:rPr>
              <w:t xml:space="preserve">ITU is constantly promoting affordable access to ICT and Internet, through the development of standards and also within the following contexts: </w:t>
            </w:r>
          </w:p>
          <w:p w14:paraId="63F340F1" w14:textId="4B7C38B9" w:rsidR="00125FE2" w:rsidRPr="00D27063" w:rsidRDefault="00D27063" w:rsidP="00ED69D8">
            <w:pPr>
              <w:tabs>
                <w:tab w:val="clear" w:pos="567"/>
                <w:tab w:val="clear" w:pos="1134"/>
                <w:tab w:val="clear" w:pos="1701"/>
                <w:tab w:val="clear" w:pos="2268"/>
                <w:tab w:val="clear" w:pos="2835"/>
                <w:tab w:val="left" w:pos="693"/>
              </w:tabs>
              <w:overflowPunct/>
              <w:autoSpaceDE/>
              <w:autoSpaceDN/>
              <w:adjustRightInd/>
              <w:spacing w:after="120" w:line="259" w:lineRule="auto"/>
              <w:ind w:left="1053" w:hanging="360"/>
              <w:contextualSpacing/>
              <w:jc w:val="both"/>
              <w:textAlignment w:val="auto"/>
              <w:rPr>
                <w:rFonts w:asciiTheme="minorHAnsi" w:eastAsia="DengXian" w:hAnsiTheme="minorHAnsi" w:cstheme="minorBidi"/>
                <w:color w:val="000000"/>
                <w:lang w:eastAsia="zh-CN"/>
              </w:rPr>
            </w:pPr>
            <w:r w:rsidRPr="58BAADD2">
              <w:rPr>
                <w:rFonts w:asciiTheme="minorHAnsi" w:eastAsia="DengXian" w:hAnsiTheme="minorHAnsi" w:cstheme="minorBidi"/>
                <w:lang w:eastAsia="zh-CN"/>
              </w:rPr>
              <w:t>•</w:t>
            </w:r>
            <w:r>
              <w:tab/>
            </w:r>
            <w:r w:rsidR="00125FE2" w:rsidRPr="58BAADD2">
              <w:rPr>
                <w:rFonts w:asciiTheme="minorHAnsi" w:eastAsia="DengXian" w:hAnsiTheme="minorHAnsi" w:cstheme="minorBidi"/>
                <w:color w:val="000000" w:themeColor="text1"/>
                <w:lang w:eastAsia="zh-CN"/>
              </w:rPr>
              <w:t>IMT 2020/</w:t>
            </w:r>
            <w:proofErr w:type="spellStart"/>
            <w:r w:rsidR="00125FE2" w:rsidRPr="58BAADD2">
              <w:rPr>
                <w:rFonts w:asciiTheme="minorHAnsi" w:eastAsia="DengXian" w:hAnsiTheme="minorHAnsi" w:cstheme="minorBidi"/>
                <w:color w:val="000000" w:themeColor="text1"/>
                <w:lang w:eastAsia="zh-CN"/>
              </w:rPr>
              <w:t>5G</w:t>
            </w:r>
            <w:proofErr w:type="spellEnd"/>
            <w:r w:rsidR="00125FE2" w:rsidRPr="58BAADD2">
              <w:rPr>
                <w:rFonts w:asciiTheme="minorHAnsi" w:eastAsia="DengXian" w:hAnsiTheme="minorHAnsi" w:cstheme="minorBidi"/>
                <w:color w:val="000000" w:themeColor="text1"/>
                <w:lang w:eastAsia="zh-CN"/>
              </w:rPr>
              <w:t xml:space="preserve">, smart and future networks </w:t>
            </w:r>
          </w:p>
          <w:p w14:paraId="060F38F8" w14:textId="7798E546" w:rsidR="00125FE2" w:rsidRPr="00D27063" w:rsidRDefault="00D27063" w:rsidP="00ED69D8">
            <w:pPr>
              <w:tabs>
                <w:tab w:val="clear" w:pos="567"/>
                <w:tab w:val="clear" w:pos="1134"/>
                <w:tab w:val="clear" w:pos="1701"/>
                <w:tab w:val="clear" w:pos="2268"/>
                <w:tab w:val="clear" w:pos="2835"/>
                <w:tab w:val="left" w:pos="693"/>
              </w:tabs>
              <w:overflowPunct/>
              <w:autoSpaceDE/>
              <w:autoSpaceDN/>
              <w:adjustRightInd/>
              <w:spacing w:after="120" w:line="259" w:lineRule="auto"/>
              <w:ind w:left="1053" w:hanging="360"/>
              <w:contextualSpacing/>
              <w:jc w:val="both"/>
              <w:textAlignment w:val="auto"/>
              <w:rPr>
                <w:rFonts w:asciiTheme="minorHAnsi" w:eastAsia="DengXian" w:hAnsiTheme="minorHAnsi" w:cstheme="minorBidi"/>
                <w:color w:val="000000"/>
                <w:lang w:eastAsia="zh-CN"/>
              </w:rPr>
            </w:pPr>
            <w:r w:rsidRPr="58BAADD2">
              <w:rPr>
                <w:rFonts w:asciiTheme="minorHAnsi" w:eastAsia="DengXian" w:hAnsiTheme="minorHAnsi" w:cstheme="minorBidi"/>
                <w:lang w:eastAsia="zh-CN"/>
              </w:rPr>
              <w:t>•</w:t>
            </w:r>
            <w:r>
              <w:tab/>
            </w:r>
            <w:r w:rsidR="00125FE2" w:rsidRPr="58BAADD2">
              <w:rPr>
                <w:rFonts w:asciiTheme="minorHAnsi" w:eastAsia="DengXian" w:hAnsiTheme="minorHAnsi" w:cstheme="minorBidi"/>
                <w:color w:val="000000" w:themeColor="text1"/>
                <w:lang w:eastAsia="zh-CN"/>
              </w:rPr>
              <w:t>Broadband access and affordable optical networks, deployment of Internet exchange points (</w:t>
            </w:r>
            <w:proofErr w:type="spellStart"/>
            <w:r w:rsidR="00125FE2" w:rsidRPr="58BAADD2">
              <w:rPr>
                <w:rFonts w:asciiTheme="minorHAnsi" w:eastAsia="DengXian" w:hAnsiTheme="minorHAnsi" w:cstheme="minorBidi"/>
                <w:color w:val="000000" w:themeColor="text1"/>
                <w:lang w:eastAsia="zh-CN"/>
              </w:rPr>
              <w:t>IXPs</w:t>
            </w:r>
            <w:proofErr w:type="spellEnd"/>
            <w:r w:rsidR="00125FE2" w:rsidRPr="58BAADD2">
              <w:rPr>
                <w:rFonts w:asciiTheme="minorHAnsi" w:eastAsia="DengXian" w:hAnsiTheme="minorHAnsi" w:cstheme="minorBidi"/>
                <w:color w:val="000000" w:themeColor="text1"/>
                <w:lang w:eastAsia="zh-CN"/>
              </w:rPr>
              <w:t xml:space="preserve">) </w:t>
            </w:r>
          </w:p>
          <w:p w14:paraId="1109264A" w14:textId="11331BCB" w:rsidR="00125FE2" w:rsidRPr="00D27063" w:rsidRDefault="00D27063" w:rsidP="00ED69D8">
            <w:pPr>
              <w:tabs>
                <w:tab w:val="clear" w:pos="567"/>
                <w:tab w:val="clear" w:pos="1134"/>
                <w:tab w:val="clear" w:pos="1701"/>
                <w:tab w:val="clear" w:pos="2268"/>
                <w:tab w:val="clear" w:pos="2835"/>
                <w:tab w:val="left" w:pos="693"/>
              </w:tabs>
              <w:overflowPunct/>
              <w:autoSpaceDE/>
              <w:autoSpaceDN/>
              <w:adjustRightInd/>
              <w:spacing w:after="120" w:line="259" w:lineRule="auto"/>
              <w:ind w:left="1053" w:hanging="360"/>
              <w:contextualSpacing/>
              <w:jc w:val="both"/>
              <w:textAlignment w:val="auto"/>
              <w:rPr>
                <w:rFonts w:asciiTheme="minorHAnsi" w:eastAsia="DengXian" w:hAnsiTheme="minorHAnsi" w:cstheme="minorBidi"/>
                <w:color w:val="000000"/>
                <w:lang w:eastAsia="zh-CN"/>
              </w:rPr>
            </w:pPr>
            <w:r w:rsidRPr="58BAADD2">
              <w:rPr>
                <w:rFonts w:asciiTheme="minorHAnsi" w:eastAsia="DengXian" w:hAnsiTheme="minorHAnsi" w:cstheme="minorBidi"/>
                <w:lang w:eastAsia="zh-CN"/>
              </w:rPr>
              <w:t>•</w:t>
            </w:r>
            <w:r>
              <w:tab/>
            </w:r>
            <w:r w:rsidR="00125FE2" w:rsidRPr="58BAADD2">
              <w:rPr>
                <w:rFonts w:asciiTheme="minorHAnsi" w:eastAsia="DengXian" w:hAnsiTheme="minorHAnsi" w:cstheme="minorBidi"/>
                <w:color w:val="000000" w:themeColor="text1"/>
                <w:lang w:eastAsia="zh-CN"/>
              </w:rPr>
              <w:t>Optical technologies</w:t>
            </w:r>
          </w:p>
          <w:p w14:paraId="270E8E18" w14:textId="4223A9F9" w:rsidR="00125FE2" w:rsidRPr="00D27063" w:rsidRDefault="00D27063" w:rsidP="00ED69D8">
            <w:pPr>
              <w:tabs>
                <w:tab w:val="clear" w:pos="567"/>
                <w:tab w:val="clear" w:pos="1134"/>
                <w:tab w:val="clear" w:pos="1701"/>
                <w:tab w:val="clear" w:pos="2268"/>
                <w:tab w:val="clear" w:pos="2835"/>
                <w:tab w:val="left" w:pos="693"/>
              </w:tabs>
              <w:overflowPunct/>
              <w:autoSpaceDE/>
              <w:autoSpaceDN/>
              <w:adjustRightInd/>
              <w:spacing w:after="120" w:line="259" w:lineRule="auto"/>
              <w:ind w:left="1053" w:hanging="360"/>
              <w:contextualSpacing/>
              <w:jc w:val="both"/>
              <w:textAlignment w:val="auto"/>
              <w:rPr>
                <w:rFonts w:asciiTheme="minorHAnsi" w:eastAsia="DengXian" w:hAnsiTheme="minorHAnsi" w:cstheme="minorBidi"/>
                <w:color w:val="000000"/>
                <w:lang w:eastAsia="zh-CN"/>
              </w:rPr>
            </w:pPr>
            <w:r w:rsidRPr="58BAADD2">
              <w:rPr>
                <w:rFonts w:asciiTheme="minorHAnsi" w:eastAsia="DengXian" w:hAnsiTheme="minorHAnsi" w:cstheme="minorBidi"/>
                <w:lang w:eastAsia="zh-CN"/>
              </w:rPr>
              <w:t>•</w:t>
            </w:r>
            <w:r>
              <w:tab/>
            </w:r>
            <w:r w:rsidR="00125FE2" w:rsidRPr="58BAADD2">
              <w:rPr>
                <w:rFonts w:asciiTheme="minorHAnsi" w:eastAsia="DengXian" w:hAnsiTheme="minorHAnsi" w:cstheme="minorBidi"/>
                <w:color w:val="000000" w:themeColor="text1"/>
                <w:lang w:eastAsia="zh-CN"/>
              </w:rPr>
              <w:t>All operational aspects of telecommunications/ICTs</w:t>
            </w:r>
          </w:p>
          <w:p w14:paraId="746E04CF" w14:textId="475DA7C4" w:rsidR="00125FE2" w:rsidRPr="00D27063" w:rsidRDefault="00D27063" w:rsidP="00ED69D8">
            <w:pPr>
              <w:tabs>
                <w:tab w:val="clear" w:pos="567"/>
                <w:tab w:val="clear" w:pos="1134"/>
                <w:tab w:val="clear" w:pos="1701"/>
                <w:tab w:val="clear" w:pos="2268"/>
                <w:tab w:val="clear" w:pos="2835"/>
                <w:tab w:val="left" w:pos="693"/>
              </w:tabs>
              <w:overflowPunct/>
              <w:autoSpaceDE/>
              <w:autoSpaceDN/>
              <w:adjustRightInd/>
              <w:spacing w:after="120" w:line="259" w:lineRule="auto"/>
              <w:ind w:left="1053" w:hanging="360"/>
              <w:contextualSpacing/>
              <w:jc w:val="both"/>
              <w:textAlignment w:val="auto"/>
              <w:rPr>
                <w:rFonts w:asciiTheme="minorHAnsi" w:eastAsia="DengXian" w:hAnsiTheme="minorHAnsi" w:cstheme="minorBidi"/>
                <w:color w:val="000000"/>
                <w:lang w:eastAsia="zh-CN"/>
              </w:rPr>
            </w:pPr>
            <w:r w:rsidRPr="58BAADD2">
              <w:rPr>
                <w:rFonts w:asciiTheme="minorHAnsi" w:eastAsia="DengXian" w:hAnsiTheme="minorHAnsi" w:cstheme="minorBidi"/>
                <w:lang w:eastAsia="zh-CN"/>
              </w:rPr>
              <w:t>•</w:t>
            </w:r>
            <w:r>
              <w:tab/>
            </w:r>
            <w:r w:rsidR="00125FE2" w:rsidRPr="58BAADD2">
              <w:rPr>
                <w:rFonts w:asciiTheme="minorHAnsi" w:eastAsia="DengXian" w:hAnsiTheme="minorHAnsi" w:cstheme="minorBidi"/>
                <w:color w:val="000000" w:themeColor="text1"/>
                <w:lang w:eastAsia="zh-CN"/>
              </w:rPr>
              <w:t>Environmental efficiency of telecommunications/ICTs</w:t>
            </w:r>
          </w:p>
          <w:p w14:paraId="3BBB6E17" w14:textId="012A68A4" w:rsidR="00125FE2" w:rsidRPr="00D27063" w:rsidRDefault="00D27063" w:rsidP="00ED69D8">
            <w:pPr>
              <w:tabs>
                <w:tab w:val="clear" w:pos="567"/>
                <w:tab w:val="clear" w:pos="1134"/>
                <w:tab w:val="clear" w:pos="1701"/>
                <w:tab w:val="clear" w:pos="2268"/>
                <w:tab w:val="clear" w:pos="2835"/>
                <w:tab w:val="left" w:pos="693"/>
              </w:tabs>
              <w:overflowPunct/>
              <w:autoSpaceDE/>
              <w:autoSpaceDN/>
              <w:adjustRightInd/>
              <w:spacing w:after="120" w:line="259" w:lineRule="auto"/>
              <w:ind w:left="1053" w:hanging="360"/>
              <w:contextualSpacing/>
              <w:jc w:val="both"/>
              <w:textAlignment w:val="auto"/>
              <w:rPr>
                <w:rFonts w:asciiTheme="minorHAnsi" w:eastAsia="DengXian" w:hAnsiTheme="minorHAnsi" w:cstheme="minorBidi"/>
                <w:color w:val="000000"/>
                <w:lang w:eastAsia="zh-CN"/>
              </w:rPr>
            </w:pPr>
            <w:r w:rsidRPr="58BAADD2">
              <w:rPr>
                <w:rFonts w:asciiTheme="minorHAnsi" w:eastAsia="DengXian" w:hAnsiTheme="minorHAnsi" w:cstheme="minorBidi"/>
                <w:lang w:eastAsia="zh-CN"/>
              </w:rPr>
              <w:t>•</w:t>
            </w:r>
            <w:r>
              <w:tab/>
            </w:r>
            <w:r w:rsidR="00125FE2" w:rsidRPr="58BAADD2">
              <w:rPr>
                <w:rFonts w:asciiTheme="minorHAnsi" w:eastAsia="DengXian" w:hAnsiTheme="minorHAnsi" w:cstheme="minorBidi"/>
                <w:color w:val="000000" w:themeColor="text1"/>
                <w:lang w:eastAsia="zh-CN"/>
              </w:rPr>
              <w:t>ICT services costs and tariffs methodologies</w:t>
            </w:r>
          </w:p>
          <w:p w14:paraId="207B299F" w14:textId="5187DA23" w:rsidR="00125FE2" w:rsidRPr="00D27063" w:rsidRDefault="00D27063" w:rsidP="00ED69D8">
            <w:pPr>
              <w:tabs>
                <w:tab w:val="clear" w:pos="567"/>
                <w:tab w:val="clear" w:pos="1134"/>
                <w:tab w:val="clear" w:pos="1701"/>
                <w:tab w:val="clear" w:pos="2268"/>
                <w:tab w:val="clear" w:pos="2835"/>
                <w:tab w:val="left" w:pos="693"/>
              </w:tabs>
              <w:overflowPunct/>
              <w:autoSpaceDE/>
              <w:autoSpaceDN/>
              <w:adjustRightInd/>
              <w:spacing w:after="120" w:line="259" w:lineRule="auto"/>
              <w:ind w:left="1053" w:hanging="360"/>
              <w:contextualSpacing/>
              <w:jc w:val="both"/>
              <w:textAlignment w:val="auto"/>
              <w:rPr>
                <w:rFonts w:asciiTheme="minorHAnsi" w:eastAsia="DengXian" w:hAnsiTheme="minorHAnsi" w:cstheme="minorBidi"/>
                <w:color w:val="000000"/>
                <w:lang w:eastAsia="zh-CN"/>
              </w:rPr>
            </w:pPr>
            <w:r w:rsidRPr="58BAADD2">
              <w:rPr>
                <w:rFonts w:asciiTheme="minorHAnsi" w:eastAsia="DengXian" w:hAnsiTheme="minorHAnsi" w:cstheme="minorBidi"/>
                <w:lang w:eastAsia="zh-CN"/>
              </w:rPr>
              <w:t>•</w:t>
            </w:r>
            <w:r>
              <w:tab/>
            </w:r>
            <w:r w:rsidR="00125FE2" w:rsidRPr="58BAADD2">
              <w:rPr>
                <w:rFonts w:asciiTheme="minorHAnsi" w:eastAsia="DengXian" w:hAnsiTheme="minorHAnsi" w:cstheme="minorBidi"/>
                <w:color w:val="000000" w:themeColor="text1"/>
                <w:lang w:eastAsia="zh-CN"/>
              </w:rPr>
              <w:t xml:space="preserve">Consideration of implementation/complexity cost during development of recommendations </w:t>
            </w:r>
          </w:p>
          <w:p w14:paraId="2FF87442" w14:textId="177C08C4" w:rsidR="00125FE2" w:rsidRPr="00D27063" w:rsidRDefault="00D27063" w:rsidP="00ED69D8">
            <w:pPr>
              <w:tabs>
                <w:tab w:val="clear" w:pos="567"/>
                <w:tab w:val="clear" w:pos="1134"/>
                <w:tab w:val="clear" w:pos="1701"/>
                <w:tab w:val="clear" w:pos="2268"/>
                <w:tab w:val="clear" w:pos="2835"/>
                <w:tab w:val="left" w:pos="693"/>
              </w:tabs>
              <w:overflowPunct/>
              <w:autoSpaceDE/>
              <w:autoSpaceDN/>
              <w:adjustRightInd/>
              <w:spacing w:after="120" w:line="259" w:lineRule="auto"/>
              <w:ind w:left="1053" w:hanging="360"/>
              <w:contextualSpacing/>
              <w:jc w:val="both"/>
              <w:textAlignment w:val="auto"/>
              <w:rPr>
                <w:rFonts w:asciiTheme="minorHAnsi" w:eastAsia="DengXian" w:hAnsiTheme="minorHAnsi" w:cstheme="minorBidi"/>
                <w:color w:val="000000"/>
                <w:lang w:eastAsia="zh-CN"/>
              </w:rPr>
            </w:pPr>
            <w:r w:rsidRPr="58BAADD2">
              <w:rPr>
                <w:rFonts w:asciiTheme="minorHAnsi" w:eastAsia="DengXian" w:hAnsiTheme="minorHAnsi" w:cstheme="minorBidi"/>
                <w:lang w:eastAsia="zh-CN"/>
              </w:rPr>
              <w:t>•</w:t>
            </w:r>
            <w:r>
              <w:tab/>
            </w:r>
            <w:r w:rsidR="00125FE2" w:rsidRPr="58BAADD2">
              <w:rPr>
                <w:rFonts w:asciiTheme="minorHAnsi" w:eastAsia="DengXian" w:hAnsiTheme="minorHAnsi" w:cstheme="minorBidi"/>
                <w:color w:val="000000" w:themeColor="text1"/>
                <w:lang w:eastAsia="zh-CN"/>
              </w:rPr>
              <w:t xml:space="preserve">Policy/governance: cooperation with WSIS process, ISOC, etc. </w:t>
            </w:r>
          </w:p>
          <w:p w14:paraId="6990C3FE" w14:textId="36006D5F" w:rsidR="00125FE2" w:rsidRPr="00D27063" w:rsidRDefault="00D27063" w:rsidP="00ED69D8">
            <w:pPr>
              <w:tabs>
                <w:tab w:val="clear" w:pos="567"/>
                <w:tab w:val="clear" w:pos="1134"/>
                <w:tab w:val="clear" w:pos="1701"/>
                <w:tab w:val="clear" w:pos="2268"/>
                <w:tab w:val="clear" w:pos="2835"/>
                <w:tab w:val="left" w:pos="693"/>
              </w:tabs>
              <w:overflowPunct/>
              <w:autoSpaceDE/>
              <w:autoSpaceDN/>
              <w:adjustRightInd/>
              <w:spacing w:after="120" w:line="259" w:lineRule="auto"/>
              <w:ind w:left="1053" w:hanging="360"/>
              <w:contextualSpacing/>
              <w:jc w:val="both"/>
              <w:textAlignment w:val="auto"/>
              <w:rPr>
                <w:rFonts w:asciiTheme="minorHAnsi" w:eastAsia="DengXian" w:hAnsiTheme="minorHAnsi" w:cstheme="minorBidi"/>
                <w:color w:val="000000"/>
                <w:lang w:eastAsia="zh-CN"/>
              </w:rPr>
            </w:pPr>
            <w:r w:rsidRPr="58BAADD2">
              <w:rPr>
                <w:rFonts w:asciiTheme="minorHAnsi" w:eastAsia="DengXian" w:hAnsiTheme="minorHAnsi" w:cstheme="minorBidi"/>
                <w:lang w:eastAsia="zh-CN"/>
              </w:rPr>
              <w:t>•</w:t>
            </w:r>
            <w:r>
              <w:tab/>
            </w:r>
            <w:r w:rsidR="00125FE2" w:rsidRPr="58BAADD2">
              <w:rPr>
                <w:rFonts w:asciiTheme="minorHAnsi" w:eastAsia="DengXian" w:hAnsiTheme="minorHAnsi" w:cstheme="minorBidi"/>
                <w:color w:val="000000" w:themeColor="text1"/>
                <w:lang w:eastAsia="zh-CN"/>
              </w:rPr>
              <w:t>Workshops and tutorials;</w:t>
            </w:r>
          </w:p>
          <w:p w14:paraId="4DC3867D" w14:textId="1F908A63" w:rsidR="00125FE2" w:rsidRPr="00D27063" w:rsidRDefault="00D27063" w:rsidP="00ED69D8">
            <w:pPr>
              <w:tabs>
                <w:tab w:val="clear" w:pos="567"/>
                <w:tab w:val="clear" w:pos="1134"/>
                <w:tab w:val="clear" w:pos="1701"/>
                <w:tab w:val="clear" w:pos="2268"/>
                <w:tab w:val="clear" w:pos="2835"/>
                <w:tab w:val="left" w:pos="611"/>
              </w:tabs>
              <w:spacing w:after="120" w:line="259" w:lineRule="auto"/>
              <w:ind w:left="611" w:hanging="450"/>
              <w:jc w:val="both"/>
              <w:rPr>
                <w:rFonts w:asciiTheme="minorHAnsi" w:eastAsia="DengXian" w:hAnsiTheme="minorHAnsi" w:cstheme="minorHAnsi"/>
                <w:szCs w:val="24"/>
                <w:lang w:eastAsia="zh-CN"/>
              </w:rPr>
            </w:pPr>
            <w:r>
              <w:rPr>
                <w:rFonts w:eastAsia="SimSun" w:cs="Calibri"/>
                <w:szCs w:val="24"/>
                <w:lang w:eastAsia="zh-CN"/>
              </w:rPr>
              <w:t>–</w:t>
            </w:r>
            <w:r w:rsidR="0016155B" w:rsidRPr="00D27063">
              <w:rPr>
                <w:rFonts w:eastAsia="SimSun" w:cs="Calibri"/>
                <w:szCs w:val="24"/>
                <w:lang w:eastAsia="zh-CN"/>
              </w:rPr>
              <w:tab/>
            </w:r>
            <w:r w:rsidR="00125FE2" w:rsidRPr="00D27063">
              <w:rPr>
                <w:rFonts w:asciiTheme="minorHAnsi" w:eastAsia="DengXian" w:hAnsiTheme="minorHAnsi" w:cstheme="minorHAnsi"/>
                <w:color w:val="000000" w:themeColor="text1"/>
                <w:szCs w:val="24"/>
                <w:lang w:eastAsia="zh-CN"/>
              </w:rPr>
              <w:t>The</w:t>
            </w:r>
            <w:r w:rsidR="00125FE2" w:rsidRPr="00D27063">
              <w:rPr>
                <w:rFonts w:asciiTheme="minorHAnsi" w:eastAsia="DengXian" w:hAnsiTheme="minorHAnsi" w:cstheme="minorHAnsi"/>
                <w:szCs w:val="24"/>
                <w:lang w:eastAsia="zh-CN"/>
              </w:rPr>
              <w:t xml:space="preserve"> implementation of the Conformity and Interoperability (C&amp;I) programme, including Testing Laboratories and Product Conformity Databases as well as a capacity development component in the form of trainings in C&amp;I, ITU helps to increase interoperable products and systems, contributing to the availability of universal and affordable ICT solutions;</w:t>
            </w:r>
          </w:p>
          <w:p w14:paraId="610B3C0E" w14:textId="00934B8D" w:rsidR="00125FE2" w:rsidRPr="00D27063" w:rsidRDefault="00D27063" w:rsidP="00ED69D8">
            <w:pPr>
              <w:tabs>
                <w:tab w:val="clear" w:pos="567"/>
                <w:tab w:val="clear" w:pos="1134"/>
                <w:tab w:val="clear" w:pos="1701"/>
                <w:tab w:val="clear" w:pos="2268"/>
                <w:tab w:val="clear" w:pos="2835"/>
                <w:tab w:val="left" w:pos="611"/>
              </w:tabs>
              <w:spacing w:after="120" w:line="259" w:lineRule="auto"/>
              <w:ind w:left="611" w:hanging="450"/>
              <w:jc w:val="both"/>
              <w:rPr>
                <w:rFonts w:asciiTheme="minorHAnsi" w:eastAsia="Aptos" w:hAnsiTheme="minorHAnsi" w:cstheme="minorHAnsi"/>
                <w:szCs w:val="24"/>
                <w:u w:val="single"/>
              </w:rPr>
            </w:pPr>
            <w:r>
              <w:rPr>
                <w:rFonts w:eastAsia="SimSun" w:cs="Calibri"/>
                <w:szCs w:val="24"/>
              </w:rPr>
              <w:t>–</w:t>
            </w:r>
            <w:r w:rsidR="0016155B" w:rsidRPr="00D27063">
              <w:rPr>
                <w:rFonts w:eastAsia="SimSun" w:cs="Calibri"/>
                <w:szCs w:val="24"/>
              </w:rPr>
              <w:tab/>
            </w:r>
            <w:r w:rsidR="00125FE2" w:rsidRPr="00D27063">
              <w:rPr>
                <w:rFonts w:asciiTheme="minorHAnsi" w:eastAsia="DengXian" w:hAnsiTheme="minorHAnsi" w:cstheme="minorHAnsi"/>
                <w:szCs w:val="24"/>
                <w:lang w:eastAsia="zh-CN"/>
              </w:rPr>
              <w:t xml:space="preserve">Under the joint Giga initiative, the Giga Learning Hub, delivering training through ITU Academy on school mapping, infrastructure </w:t>
            </w:r>
            <w:proofErr w:type="spellStart"/>
            <w:r w:rsidR="00125FE2" w:rsidRPr="00D27063">
              <w:rPr>
                <w:rFonts w:asciiTheme="minorHAnsi" w:eastAsia="DengXian" w:hAnsiTheme="minorHAnsi" w:cstheme="minorHAnsi"/>
                <w:szCs w:val="24"/>
                <w:lang w:eastAsia="zh-CN"/>
              </w:rPr>
              <w:t>modeling</w:t>
            </w:r>
            <w:proofErr w:type="spellEnd"/>
            <w:r w:rsidR="00125FE2" w:rsidRPr="00D27063">
              <w:rPr>
                <w:rFonts w:asciiTheme="minorHAnsi" w:eastAsia="DengXian" w:hAnsiTheme="minorHAnsi" w:cstheme="minorHAnsi"/>
                <w:szCs w:val="24"/>
                <w:lang w:eastAsia="zh-CN"/>
              </w:rPr>
              <w:t xml:space="preserve">, innovative financing, public procurement for connectivity and effective project management, together with the Giga digital repository, empower governments to realise effective school connectivity, in alignment with the Connect 2030 Agenda; </w:t>
            </w:r>
          </w:p>
          <w:p w14:paraId="070BCC57" w14:textId="2441BC71" w:rsidR="00125FE2" w:rsidRPr="00D27063" w:rsidRDefault="00D27063" w:rsidP="00ED69D8">
            <w:pPr>
              <w:tabs>
                <w:tab w:val="clear" w:pos="567"/>
                <w:tab w:val="clear" w:pos="1134"/>
                <w:tab w:val="clear" w:pos="1701"/>
                <w:tab w:val="clear" w:pos="2268"/>
                <w:tab w:val="clear" w:pos="2835"/>
                <w:tab w:val="left" w:pos="611"/>
              </w:tabs>
              <w:spacing w:after="120" w:line="259" w:lineRule="auto"/>
              <w:ind w:left="611" w:hanging="450"/>
              <w:jc w:val="both"/>
              <w:rPr>
                <w:rFonts w:asciiTheme="minorHAnsi" w:eastAsia="DengXian" w:hAnsiTheme="minorHAnsi" w:cstheme="minorHAnsi"/>
                <w:szCs w:val="24"/>
                <w:lang w:eastAsia="zh-CN"/>
              </w:rPr>
            </w:pPr>
            <w:r>
              <w:rPr>
                <w:rFonts w:eastAsia="SimSun" w:cs="Calibri"/>
                <w:szCs w:val="24"/>
                <w:lang w:eastAsia="zh-CN"/>
              </w:rPr>
              <w:t>–</w:t>
            </w:r>
            <w:r w:rsidR="0016155B" w:rsidRPr="00D27063">
              <w:rPr>
                <w:rFonts w:eastAsia="SimSun" w:cs="Calibri"/>
                <w:szCs w:val="24"/>
                <w:lang w:eastAsia="zh-CN"/>
              </w:rPr>
              <w:tab/>
            </w:r>
            <w:r w:rsidR="00125FE2" w:rsidRPr="00D27063">
              <w:rPr>
                <w:rFonts w:asciiTheme="minorHAnsi" w:eastAsia="DengXian" w:hAnsiTheme="minorHAnsi" w:cstheme="minorHAnsi"/>
                <w:szCs w:val="24"/>
                <w:lang w:eastAsia="zh-CN"/>
              </w:rPr>
              <w:t>The ITU</w:t>
            </w:r>
            <w:r w:rsidR="00125FE2" w:rsidRPr="00D27063">
              <w:rPr>
                <w:rFonts w:asciiTheme="minorHAnsi" w:eastAsia="DengXian" w:hAnsiTheme="minorHAnsi" w:cstheme="minorHAnsi"/>
                <w:spacing w:val="-1"/>
                <w:szCs w:val="24"/>
                <w:lang w:eastAsia="zh-CN"/>
              </w:rPr>
              <w:t xml:space="preserve"> </w:t>
            </w:r>
            <w:r w:rsidR="00125FE2" w:rsidRPr="00D27063">
              <w:rPr>
                <w:rFonts w:asciiTheme="minorHAnsi" w:eastAsia="DengXian" w:hAnsiTheme="minorHAnsi" w:cstheme="minorHAnsi"/>
                <w:szCs w:val="24"/>
                <w:lang w:eastAsia="zh-CN"/>
              </w:rPr>
              <w:t>and the Craig and</w:t>
            </w:r>
            <w:r w:rsidR="00125FE2" w:rsidRPr="00D27063">
              <w:rPr>
                <w:rFonts w:asciiTheme="minorHAnsi" w:eastAsia="DengXian" w:hAnsiTheme="minorHAnsi" w:cstheme="minorHAnsi"/>
                <w:spacing w:val="-1"/>
                <w:szCs w:val="24"/>
                <w:lang w:eastAsia="zh-CN"/>
              </w:rPr>
              <w:t xml:space="preserve"> </w:t>
            </w:r>
            <w:r w:rsidR="00125FE2" w:rsidRPr="00D27063">
              <w:rPr>
                <w:rFonts w:asciiTheme="minorHAnsi" w:eastAsia="DengXian" w:hAnsiTheme="minorHAnsi" w:cstheme="minorHAnsi"/>
                <w:szCs w:val="24"/>
                <w:lang w:eastAsia="zh-CN"/>
              </w:rPr>
              <w:t>Susan McCaw Broadband Wireless</w:t>
            </w:r>
            <w:r w:rsidR="00125FE2" w:rsidRPr="00D27063">
              <w:rPr>
                <w:rFonts w:asciiTheme="minorHAnsi" w:eastAsia="DengXian" w:hAnsiTheme="minorHAnsi" w:cstheme="minorHAnsi"/>
                <w:spacing w:val="-1"/>
                <w:szCs w:val="24"/>
                <w:lang w:eastAsia="zh-CN"/>
              </w:rPr>
              <w:t xml:space="preserve"> </w:t>
            </w:r>
            <w:r w:rsidR="00125FE2" w:rsidRPr="00D27063">
              <w:rPr>
                <w:rFonts w:asciiTheme="minorHAnsi" w:eastAsia="DengXian" w:hAnsiTheme="minorHAnsi" w:cstheme="minorHAnsi"/>
                <w:szCs w:val="24"/>
                <w:lang w:eastAsia="zh-CN"/>
              </w:rPr>
              <w:t>Network project is providing low-cost broadband connectivity and developing ICT applications</w:t>
            </w:r>
            <w:r w:rsidR="00125FE2" w:rsidRPr="00D27063">
              <w:rPr>
                <w:rFonts w:asciiTheme="minorHAnsi" w:eastAsia="DengXian" w:hAnsiTheme="minorHAnsi" w:cstheme="minorHAnsi"/>
                <w:spacing w:val="-1"/>
                <w:szCs w:val="24"/>
                <w:lang w:eastAsia="zh-CN"/>
              </w:rPr>
              <w:t xml:space="preserve"> </w:t>
            </w:r>
            <w:r w:rsidR="00125FE2" w:rsidRPr="00D27063">
              <w:rPr>
                <w:rFonts w:asciiTheme="minorHAnsi" w:eastAsia="DengXian" w:hAnsiTheme="minorHAnsi" w:cstheme="minorHAnsi"/>
                <w:szCs w:val="24"/>
                <w:lang w:eastAsia="zh-CN"/>
              </w:rPr>
              <w:t>for schools and hospitals with implementation in</w:t>
            </w:r>
            <w:r w:rsidR="00125FE2" w:rsidRPr="00D27063">
              <w:rPr>
                <w:rFonts w:asciiTheme="minorHAnsi" w:eastAsia="DengXian" w:hAnsiTheme="minorHAnsi" w:cstheme="minorHAnsi"/>
                <w:spacing w:val="-1"/>
                <w:szCs w:val="24"/>
                <w:lang w:eastAsia="zh-CN"/>
              </w:rPr>
              <w:t xml:space="preserve"> </w:t>
            </w:r>
            <w:r w:rsidR="00125FE2" w:rsidRPr="00D27063">
              <w:rPr>
                <w:rFonts w:asciiTheme="minorHAnsi" w:eastAsia="DengXian" w:hAnsiTheme="minorHAnsi" w:cstheme="minorHAnsi"/>
                <w:szCs w:val="24"/>
                <w:lang w:eastAsia="zh-CN"/>
              </w:rPr>
              <w:t>several African and Arab countries (including Burkina Faso, Mali, Rwanda, Swaziland, Lesotho and</w:t>
            </w:r>
            <w:r w:rsidR="00125FE2" w:rsidRPr="00D27063">
              <w:rPr>
                <w:rFonts w:asciiTheme="minorHAnsi" w:eastAsia="DengXian" w:hAnsiTheme="minorHAnsi" w:cstheme="minorHAnsi"/>
                <w:spacing w:val="-1"/>
                <w:szCs w:val="24"/>
                <w:lang w:eastAsia="zh-CN"/>
              </w:rPr>
              <w:t xml:space="preserve"> </w:t>
            </w:r>
            <w:r w:rsidR="00125FE2" w:rsidRPr="00D27063">
              <w:rPr>
                <w:rFonts w:asciiTheme="minorHAnsi" w:eastAsia="DengXian" w:hAnsiTheme="minorHAnsi" w:cstheme="minorHAnsi"/>
                <w:szCs w:val="24"/>
                <w:lang w:eastAsia="zh-CN"/>
              </w:rPr>
              <w:t>Djibouti);</w:t>
            </w:r>
          </w:p>
          <w:p w14:paraId="6AAAE49E" w14:textId="21DEAA2C" w:rsidR="00125FE2" w:rsidRPr="00D27063" w:rsidRDefault="00D27063" w:rsidP="00ED69D8">
            <w:pPr>
              <w:tabs>
                <w:tab w:val="clear" w:pos="567"/>
                <w:tab w:val="clear" w:pos="1134"/>
                <w:tab w:val="clear" w:pos="1701"/>
                <w:tab w:val="clear" w:pos="2268"/>
                <w:tab w:val="clear" w:pos="2835"/>
                <w:tab w:val="left" w:pos="611"/>
              </w:tabs>
              <w:spacing w:after="120" w:line="259" w:lineRule="auto"/>
              <w:ind w:left="611" w:hanging="450"/>
              <w:jc w:val="both"/>
              <w:rPr>
                <w:rFonts w:asciiTheme="minorHAnsi" w:eastAsia="DengXian" w:hAnsiTheme="minorHAnsi" w:cstheme="minorHAnsi"/>
                <w:szCs w:val="24"/>
                <w:lang w:eastAsia="zh-CN"/>
              </w:rPr>
            </w:pPr>
            <w:r>
              <w:rPr>
                <w:rFonts w:eastAsia="SimSun" w:cs="Calibri"/>
                <w:szCs w:val="24"/>
                <w:lang w:eastAsia="zh-CN"/>
              </w:rPr>
              <w:t>–</w:t>
            </w:r>
            <w:r w:rsidR="0016155B" w:rsidRPr="00D27063">
              <w:rPr>
                <w:rFonts w:eastAsia="SimSun" w:cs="Calibri"/>
                <w:szCs w:val="24"/>
                <w:lang w:eastAsia="zh-CN"/>
              </w:rPr>
              <w:tab/>
            </w:r>
            <w:r w:rsidR="00125FE2" w:rsidRPr="00D27063">
              <w:rPr>
                <w:rFonts w:asciiTheme="minorHAnsi" w:eastAsia="DengXian" w:hAnsiTheme="minorHAnsi" w:cstheme="minorHAnsi"/>
                <w:szCs w:val="24"/>
                <w:lang w:eastAsia="zh-CN"/>
              </w:rPr>
              <w:t>Through the establishment of telecentres that will provide connectivity to remote and rural areas, which will also serve to reduce vulnerability to disasters;</w:t>
            </w:r>
          </w:p>
          <w:p w14:paraId="39117863" w14:textId="244293CE" w:rsidR="00125FE2" w:rsidRPr="00D27063" w:rsidRDefault="00D27063" w:rsidP="00ED69D8">
            <w:pPr>
              <w:tabs>
                <w:tab w:val="clear" w:pos="567"/>
                <w:tab w:val="clear" w:pos="1134"/>
                <w:tab w:val="clear" w:pos="1701"/>
                <w:tab w:val="clear" w:pos="2268"/>
                <w:tab w:val="clear" w:pos="2835"/>
                <w:tab w:val="left" w:pos="611"/>
              </w:tabs>
              <w:spacing w:after="120" w:line="259" w:lineRule="auto"/>
              <w:ind w:left="611" w:hanging="450"/>
              <w:jc w:val="both"/>
              <w:rPr>
                <w:rFonts w:asciiTheme="minorHAnsi" w:eastAsia="DengXian" w:hAnsiTheme="minorHAnsi" w:cstheme="minorHAnsi"/>
                <w:szCs w:val="24"/>
                <w:lang w:eastAsia="zh-CN"/>
              </w:rPr>
            </w:pPr>
            <w:r>
              <w:rPr>
                <w:rFonts w:eastAsia="SimSun" w:cs="Calibri"/>
                <w:szCs w:val="24"/>
                <w:lang w:eastAsia="zh-CN"/>
              </w:rPr>
              <w:t>–</w:t>
            </w:r>
            <w:r w:rsidR="0016155B" w:rsidRPr="00D27063">
              <w:rPr>
                <w:rFonts w:eastAsia="SimSun" w:cs="Calibri"/>
                <w:szCs w:val="24"/>
                <w:lang w:eastAsia="zh-CN"/>
              </w:rPr>
              <w:tab/>
            </w:r>
            <w:r w:rsidR="00125FE2" w:rsidRPr="00D27063">
              <w:rPr>
                <w:rFonts w:asciiTheme="minorHAnsi" w:eastAsia="DengXian" w:hAnsiTheme="minorHAnsi" w:cstheme="minorHAnsi"/>
                <w:szCs w:val="24"/>
                <w:lang w:eastAsia="zh-CN"/>
              </w:rPr>
              <w:t xml:space="preserve">ITU is supporting the adaptation to new ICT infrastructures by developing guidelines for implementing regional </w:t>
            </w:r>
            <w:proofErr w:type="spellStart"/>
            <w:r w:rsidR="00125FE2" w:rsidRPr="00D27063">
              <w:rPr>
                <w:rFonts w:asciiTheme="minorHAnsi" w:eastAsia="DengXian" w:hAnsiTheme="minorHAnsi" w:cstheme="minorHAnsi"/>
                <w:szCs w:val="24"/>
                <w:lang w:eastAsia="zh-CN"/>
              </w:rPr>
              <w:t>IXPs</w:t>
            </w:r>
            <w:proofErr w:type="spellEnd"/>
            <w:r w:rsidR="00125FE2" w:rsidRPr="00D27063">
              <w:rPr>
                <w:rFonts w:asciiTheme="minorHAnsi" w:eastAsia="DengXian" w:hAnsiTheme="minorHAnsi" w:cstheme="minorHAnsi"/>
                <w:szCs w:val="24"/>
                <w:lang w:eastAsia="zh-CN"/>
              </w:rPr>
              <w:t xml:space="preserve">, taking into account the drop of Internet interconnection rates and the legal and regulatory framework of each country assisted. In the Americas Region, ITU in coordination with Regional Organizations, implemented three national </w:t>
            </w:r>
            <w:proofErr w:type="spellStart"/>
            <w:r w:rsidR="00125FE2" w:rsidRPr="00D27063">
              <w:rPr>
                <w:rFonts w:asciiTheme="minorHAnsi" w:eastAsia="DengXian" w:hAnsiTheme="minorHAnsi" w:cstheme="minorHAnsi"/>
                <w:szCs w:val="24"/>
                <w:lang w:eastAsia="zh-CN"/>
              </w:rPr>
              <w:t>IXPs</w:t>
            </w:r>
            <w:proofErr w:type="spellEnd"/>
            <w:r w:rsidR="00125FE2" w:rsidRPr="00D27063">
              <w:rPr>
                <w:rFonts w:asciiTheme="minorHAnsi" w:eastAsia="DengXian" w:hAnsiTheme="minorHAnsi" w:cstheme="minorHAnsi"/>
                <w:szCs w:val="24"/>
                <w:lang w:eastAsia="zh-CN"/>
              </w:rPr>
              <w:t>;</w:t>
            </w:r>
          </w:p>
          <w:p w14:paraId="6E443286" w14:textId="42504B17" w:rsidR="00125FE2" w:rsidRPr="00D27063" w:rsidRDefault="00D27063" w:rsidP="00ED69D8">
            <w:pPr>
              <w:tabs>
                <w:tab w:val="clear" w:pos="567"/>
                <w:tab w:val="clear" w:pos="1134"/>
                <w:tab w:val="clear" w:pos="1701"/>
                <w:tab w:val="clear" w:pos="2268"/>
                <w:tab w:val="clear" w:pos="2835"/>
                <w:tab w:val="left" w:pos="611"/>
              </w:tabs>
              <w:spacing w:after="120" w:line="259" w:lineRule="auto"/>
              <w:ind w:left="611" w:hanging="450"/>
              <w:jc w:val="both"/>
              <w:rPr>
                <w:rFonts w:asciiTheme="minorHAnsi" w:eastAsia="DengXian" w:hAnsiTheme="minorHAnsi" w:cstheme="minorHAnsi"/>
                <w:szCs w:val="24"/>
                <w:lang w:eastAsia="zh-CN"/>
              </w:rPr>
            </w:pPr>
            <w:r>
              <w:rPr>
                <w:rFonts w:eastAsia="SimSun" w:cs="Calibri"/>
                <w:szCs w:val="24"/>
                <w:lang w:eastAsia="zh-CN"/>
              </w:rPr>
              <w:t>–</w:t>
            </w:r>
            <w:r w:rsidR="0016155B" w:rsidRPr="00D27063">
              <w:rPr>
                <w:rFonts w:eastAsia="SimSun" w:cs="Calibri"/>
                <w:szCs w:val="24"/>
                <w:lang w:eastAsia="zh-CN"/>
              </w:rPr>
              <w:tab/>
            </w:r>
            <w:r w:rsidR="00125FE2" w:rsidRPr="00D27063">
              <w:rPr>
                <w:rFonts w:asciiTheme="minorHAnsi" w:eastAsia="DengXian" w:hAnsiTheme="minorHAnsi" w:cstheme="minorHAnsi"/>
                <w:szCs w:val="24"/>
                <w:lang w:eastAsia="zh-CN"/>
              </w:rPr>
              <w:t xml:space="preserve">ITU is contributing to bridging the standardization gap needed to ensure that countries experience the economic benefits associated with technological </w:t>
            </w:r>
            <w:r w:rsidR="00125FE2" w:rsidRPr="00D27063">
              <w:rPr>
                <w:rFonts w:asciiTheme="minorHAnsi" w:eastAsia="DengXian" w:hAnsiTheme="minorHAnsi" w:cstheme="minorHAnsi"/>
                <w:szCs w:val="24"/>
                <w:lang w:eastAsia="zh-CN"/>
              </w:rPr>
              <w:lastRenderedPageBreak/>
              <w:t>development, and to better reflect requirements related to universal and affordable access to the Internet;</w:t>
            </w:r>
          </w:p>
          <w:p w14:paraId="4953203C" w14:textId="2855D2FA" w:rsidR="00125FE2" w:rsidRPr="00D27063" w:rsidRDefault="00D27063" w:rsidP="00ED69D8">
            <w:pPr>
              <w:tabs>
                <w:tab w:val="clear" w:pos="567"/>
                <w:tab w:val="clear" w:pos="1134"/>
                <w:tab w:val="clear" w:pos="1701"/>
                <w:tab w:val="clear" w:pos="2268"/>
                <w:tab w:val="clear" w:pos="2835"/>
                <w:tab w:val="left" w:pos="693"/>
              </w:tabs>
              <w:overflowPunct/>
              <w:autoSpaceDE/>
              <w:autoSpaceDN/>
              <w:adjustRightInd/>
              <w:spacing w:after="120" w:line="259" w:lineRule="auto"/>
              <w:ind w:left="603" w:hanging="450"/>
              <w:jc w:val="both"/>
              <w:textAlignment w:val="auto"/>
              <w:rPr>
                <w:rFonts w:asciiTheme="minorHAnsi" w:eastAsia="DengXian" w:hAnsiTheme="minorHAnsi" w:cstheme="minorHAnsi"/>
                <w:szCs w:val="24"/>
                <w:lang w:eastAsia="zh-CN"/>
              </w:rPr>
            </w:pPr>
            <w:r>
              <w:rPr>
                <w:rFonts w:eastAsia="DengXian" w:cstheme="minorHAnsi"/>
                <w:szCs w:val="24"/>
                <w:lang w:eastAsia="zh-CN"/>
              </w:rPr>
              <w:t>–</w:t>
            </w:r>
            <w:r w:rsidR="0016155B" w:rsidRPr="00D27063">
              <w:rPr>
                <w:rFonts w:eastAsia="DengXian" w:cstheme="minorHAnsi"/>
                <w:szCs w:val="24"/>
                <w:lang w:eastAsia="zh-CN"/>
              </w:rPr>
              <w:tab/>
            </w:r>
            <w:r w:rsidR="00125FE2" w:rsidRPr="00D27063">
              <w:rPr>
                <w:rFonts w:asciiTheme="minorHAnsi" w:eastAsia="DengXian" w:hAnsiTheme="minorHAnsi" w:cstheme="minorHAnsi"/>
                <w:szCs w:val="24"/>
                <w:lang w:eastAsia="zh-CN"/>
              </w:rPr>
              <w:t>ITU along with co-chairs UN-</w:t>
            </w:r>
            <w:proofErr w:type="spellStart"/>
            <w:r w:rsidR="00125FE2" w:rsidRPr="00D27063">
              <w:rPr>
                <w:rFonts w:asciiTheme="minorHAnsi" w:eastAsia="DengXian" w:hAnsiTheme="minorHAnsi" w:cstheme="minorHAnsi"/>
                <w:szCs w:val="24"/>
                <w:lang w:eastAsia="zh-CN"/>
              </w:rPr>
              <w:t>OHRLLS</w:t>
            </w:r>
            <w:proofErr w:type="spellEnd"/>
            <w:r w:rsidR="00125FE2" w:rsidRPr="00D27063">
              <w:rPr>
                <w:rFonts w:asciiTheme="minorHAnsi" w:eastAsia="DengXian" w:hAnsiTheme="minorHAnsi" w:cstheme="minorHAnsi"/>
                <w:szCs w:val="24"/>
                <w:lang w:eastAsia="zh-CN"/>
              </w:rPr>
              <w:t xml:space="preserve"> and Vodafone led the Broadband Commission Working Group on Smartphone Access, which produced the final report on action plans to promote affordability and ownership of smartphone devices for economic growth and social development; </w:t>
            </w:r>
          </w:p>
          <w:p w14:paraId="15088AD2" w14:textId="4B21B50F" w:rsidR="00125FE2" w:rsidRPr="00D27063" w:rsidRDefault="00D27063" w:rsidP="00ED69D8">
            <w:pPr>
              <w:tabs>
                <w:tab w:val="clear" w:pos="567"/>
                <w:tab w:val="clear" w:pos="1134"/>
                <w:tab w:val="clear" w:pos="1701"/>
                <w:tab w:val="clear" w:pos="2268"/>
                <w:tab w:val="clear" w:pos="2835"/>
                <w:tab w:val="left" w:pos="594"/>
                <w:tab w:val="left" w:pos="693"/>
              </w:tabs>
              <w:kinsoku w:val="0"/>
              <w:overflowPunct/>
              <w:autoSpaceDE/>
              <w:autoSpaceDN/>
              <w:adjustRightInd/>
              <w:spacing w:after="120" w:line="259" w:lineRule="auto"/>
              <w:ind w:left="603" w:right="422" w:hanging="360"/>
              <w:jc w:val="both"/>
              <w:textAlignment w:val="auto"/>
              <w:rPr>
                <w:rFonts w:asciiTheme="minorHAnsi" w:eastAsia="DengXian" w:hAnsiTheme="minorHAnsi" w:cstheme="minorBidi"/>
                <w:lang w:eastAsia="zh-CN"/>
              </w:rPr>
            </w:pPr>
            <w:r w:rsidRPr="58BAADD2">
              <w:rPr>
                <w:rFonts w:eastAsia="DengXian" w:cstheme="minorBidi"/>
                <w:lang w:eastAsia="zh-CN"/>
              </w:rPr>
              <w:t>–</w:t>
            </w:r>
            <w:r>
              <w:tab/>
            </w:r>
            <w:r w:rsidR="00125FE2" w:rsidRPr="58BAADD2">
              <w:rPr>
                <w:rFonts w:asciiTheme="minorHAnsi" w:eastAsia="DengXian" w:hAnsiTheme="minorHAnsi" w:cstheme="minorBidi"/>
                <w:lang w:eastAsia="zh-CN"/>
              </w:rPr>
              <w:t xml:space="preserve">Target </w:t>
            </w:r>
            <w:proofErr w:type="spellStart"/>
            <w:r w:rsidR="00125FE2" w:rsidRPr="58BAADD2">
              <w:rPr>
                <w:rFonts w:asciiTheme="minorHAnsi" w:eastAsia="DengXian" w:hAnsiTheme="minorHAnsi" w:cstheme="minorBidi"/>
                <w:lang w:eastAsia="zh-CN"/>
              </w:rPr>
              <w:t>9.a</w:t>
            </w:r>
            <w:proofErr w:type="spellEnd"/>
            <w:r w:rsidR="00125FE2" w:rsidRPr="58BAADD2">
              <w:rPr>
                <w:rFonts w:asciiTheme="minorHAnsi" w:eastAsia="DengXian" w:hAnsiTheme="minorHAnsi" w:cstheme="minorBidi"/>
                <w:lang w:eastAsia="zh-CN"/>
              </w:rPr>
              <w:t xml:space="preserve"> </w:t>
            </w:r>
            <w:r w:rsidR="00E33861">
              <w:rPr>
                <w:rFonts w:asciiTheme="minorHAnsi" w:eastAsia="DengXian" w:hAnsiTheme="minorHAnsi" w:cstheme="minorBidi"/>
                <w:lang w:eastAsia="zh-CN"/>
              </w:rPr>
              <w:t>–</w:t>
            </w:r>
            <w:r w:rsidR="00125FE2" w:rsidRPr="58BAADD2">
              <w:rPr>
                <w:rFonts w:asciiTheme="minorHAnsi" w:eastAsia="DengXian" w:hAnsiTheme="minorHAnsi" w:cstheme="minorBidi"/>
                <w:lang w:eastAsia="zh-CN"/>
              </w:rPr>
              <w:t xml:space="preserve"> Through the project "National Broadband Policies and Applications", implemented by ITU and the Ministry of Science, ICT and Future Planning (MSIP) of the Republic of Korea, ITU is providing technical assistance to developing countries;</w:t>
            </w:r>
          </w:p>
          <w:p w14:paraId="03C258C9" w14:textId="19B82B2B" w:rsidR="00125FE2" w:rsidRPr="00D27063" w:rsidRDefault="00D27063" w:rsidP="00ED69D8">
            <w:pPr>
              <w:tabs>
                <w:tab w:val="clear" w:pos="567"/>
                <w:tab w:val="clear" w:pos="1134"/>
                <w:tab w:val="clear" w:pos="1701"/>
                <w:tab w:val="clear" w:pos="2268"/>
                <w:tab w:val="clear" w:pos="2835"/>
                <w:tab w:val="left" w:pos="594"/>
                <w:tab w:val="left" w:pos="693"/>
              </w:tabs>
              <w:kinsoku w:val="0"/>
              <w:overflowPunct/>
              <w:autoSpaceDE/>
              <w:autoSpaceDN/>
              <w:adjustRightInd/>
              <w:spacing w:after="120" w:line="259" w:lineRule="auto"/>
              <w:ind w:left="603" w:right="422" w:hanging="360"/>
              <w:jc w:val="both"/>
              <w:textAlignment w:val="auto"/>
              <w:rPr>
                <w:rFonts w:asciiTheme="minorHAnsi" w:eastAsia="DengXian" w:hAnsiTheme="minorHAnsi" w:cstheme="minorBidi"/>
                <w:lang w:eastAsia="zh-CN"/>
              </w:rPr>
            </w:pPr>
            <w:r w:rsidRPr="58BAADD2">
              <w:rPr>
                <w:rFonts w:eastAsia="DengXian" w:cstheme="minorBidi"/>
                <w:lang w:eastAsia="zh-CN"/>
              </w:rPr>
              <w:t>–</w:t>
            </w:r>
            <w:r w:rsidR="0693337D" w:rsidRPr="58BAADD2">
              <w:rPr>
                <w:rFonts w:eastAsia="DengXian" w:cstheme="minorBidi"/>
                <w:lang w:eastAsia="zh-CN"/>
              </w:rPr>
              <w:t xml:space="preserve"> </w:t>
            </w:r>
            <w:r w:rsidR="4726CFD7" w:rsidRPr="58BAADD2">
              <w:rPr>
                <w:rFonts w:eastAsia="DengXian" w:cstheme="minorBidi"/>
                <w:lang w:eastAsia="zh-CN"/>
              </w:rPr>
              <w:t xml:space="preserve"> </w:t>
            </w:r>
            <w:r w:rsidR="0016155B" w:rsidRPr="00D27063">
              <w:rPr>
                <w:rFonts w:eastAsia="DengXian" w:cstheme="minorHAnsi"/>
                <w:szCs w:val="24"/>
                <w:lang w:eastAsia="zh-CN"/>
              </w:rPr>
              <w:tab/>
            </w:r>
            <w:r w:rsidR="00125FE2" w:rsidRPr="58BAADD2">
              <w:rPr>
                <w:rFonts w:asciiTheme="minorHAnsi" w:eastAsia="DengXian" w:hAnsiTheme="minorHAnsi" w:cstheme="minorBidi"/>
                <w:lang w:eastAsia="zh-CN"/>
              </w:rPr>
              <w:t>Target</w:t>
            </w:r>
            <w:r w:rsidRPr="58BAADD2">
              <w:rPr>
                <w:rFonts w:asciiTheme="minorHAnsi" w:eastAsia="DengXian" w:hAnsiTheme="minorHAnsi" w:cstheme="minorBidi"/>
                <w:lang w:eastAsia="zh-CN"/>
              </w:rPr>
              <w:t>s</w:t>
            </w:r>
            <w:r w:rsidR="00125FE2" w:rsidRPr="58BAADD2">
              <w:rPr>
                <w:rFonts w:asciiTheme="minorHAnsi" w:eastAsia="DengXian" w:hAnsiTheme="minorHAnsi" w:cstheme="minorBidi"/>
                <w:lang w:eastAsia="zh-CN"/>
              </w:rPr>
              <w:t xml:space="preserve"> 9.1 and </w:t>
            </w:r>
            <w:proofErr w:type="spellStart"/>
            <w:r w:rsidR="00125FE2" w:rsidRPr="58BAADD2">
              <w:rPr>
                <w:rFonts w:asciiTheme="minorHAnsi" w:eastAsia="DengXian" w:hAnsiTheme="minorHAnsi" w:cstheme="minorBidi"/>
                <w:lang w:eastAsia="zh-CN"/>
              </w:rPr>
              <w:t>9.c</w:t>
            </w:r>
            <w:proofErr w:type="spellEnd"/>
            <w:r w:rsidR="00125FE2" w:rsidRPr="58BAADD2">
              <w:rPr>
                <w:rFonts w:asciiTheme="minorHAnsi" w:eastAsia="DengXian" w:hAnsiTheme="minorHAnsi" w:cstheme="minorBidi"/>
                <w:lang w:eastAsia="zh-CN"/>
              </w:rPr>
              <w:t xml:space="preserve"> </w:t>
            </w:r>
            <w:r w:rsidR="00E33861">
              <w:rPr>
                <w:rFonts w:asciiTheme="minorHAnsi" w:eastAsia="DengXian" w:hAnsiTheme="minorHAnsi" w:cstheme="minorBidi"/>
                <w:lang w:eastAsia="zh-CN"/>
              </w:rPr>
              <w:t>–</w:t>
            </w:r>
            <w:r w:rsidR="00125FE2" w:rsidRPr="58BAADD2">
              <w:rPr>
                <w:rFonts w:asciiTheme="minorHAnsi" w:eastAsia="DengXian" w:hAnsiTheme="minorHAnsi" w:cstheme="minorBidi"/>
                <w:lang w:eastAsia="zh-CN"/>
              </w:rPr>
              <w:t xml:space="preserve"> ITU also contributes to the</w:t>
            </w:r>
            <w:r w:rsidR="00125FE2" w:rsidRPr="58BAADD2">
              <w:rPr>
                <w:rFonts w:asciiTheme="minorHAnsi" w:eastAsia="DengXian" w:hAnsiTheme="minorHAnsi" w:cstheme="minorBidi"/>
                <w:spacing w:val="-1"/>
                <w:lang w:eastAsia="zh-CN"/>
              </w:rPr>
              <w:t xml:space="preserve"> </w:t>
            </w:r>
            <w:r w:rsidR="00125FE2" w:rsidRPr="58BAADD2">
              <w:rPr>
                <w:rFonts w:asciiTheme="minorHAnsi" w:eastAsia="DengXian" w:hAnsiTheme="minorHAnsi" w:cstheme="minorBidi"/>
                <w:lang w:eastAsia="zh-CN"/>
              </w:rPr>
              <w:t xml:space="preserve">monitoring of these targets by collecting and disseminating a number of relevant ICT indicators, including on broadband Internet access in urban and rural areas, mobile population coverage, and broadband Internet prices; </w:t>
            </w:r>
          </w:p>
          <w:p w14:paraId="51D4B6DD" w14:textId="0809972E" w:rsidR="00125FE2" w:rsidRPr="00D27063" w:rsidRDefault="00D27063" w:rsidP="00ED69D8">
            <w:pPr>
              <w:tabs>
                <w:tab w:val="clear" w:pos="567"/>
                <w:tab w:val="clear" w:pos="1134"/>
                <w:tab w:val="clear" w:pos="1701"/>
                <w:tab w:val="clear" w:pos="2268"/>
                <w:tab w:val="clear" w:pos="2835"/>
                <w:tab w:val="left" w:pos="594"/>
                <w:tab w:val="left" w:pos="693"/>
              </w:tabs>
              <w:kinsoku w:val="0"/>
              <w:overflowPunct/>
              <w:autoSpaceDE/>
              <w:autoSpaceDN/>
              <w:adjustRightInd/>
              <w:spacing w:after="120" w:line="259" w:lineRule="auto"/>
              <w:ind w:left="603" w:right="422" w:hanging="360"/>
              <w:jc w:val="both"/>
              <w:textAlignment w:val="auto"/>
              <w:rPr>
                <w:rFonts w:asciiTheme="minorHAnsi" w:eastAsia="DengXian" w:hAnsiTheme="minorHAnsi" w:cstheme="minorBidi"/>
                <w:lang w:eastAsia="zh-CN"/>
              </w:rPr>
            </w:pPr>
            <w:r w:rsidRPr="58BAADD2">
              <w:rPr>
                <w:rFonts w:eastAsia="DengXian" w:cstheme="minorBidi"/>
                <w:lang w:eastAsia="zh-CN"/>
              </w:rPr>
              <w:t>–</w:t>
            </w:r>
            <w:r w:rsidR="720B9FF9" w:rsidRPr="58BAADD2">
              <w:rPr>
                <w:rFonts w:eastAsia="DengXian" w:cstheme="minorBidi"/>
                <w:lang w:eastAsia="zh-CN"/>
              </w:rPr>
              <w:t xml:space="preserve">  </w:t>
            </w:r>
            <w:r>
              <w:tab/>
            </w:r>
            <w:r w:rsidR="00125FE2" w:rsidRPr="58BAADD2">
              <w:rPr>
                <w:rFonts w:asciiTheme="minorHAnsi" w:eastAsia="DengXian" w:hAnsiTheme="minorHAnsi" w:cstheme="minorBidi"/>
                <w:lang w:eastAsia="zh-CN"/>
              </w:rPr>
              <w:t xml:space="preserve">ITU, World Bank, Federal Ministry for Economic Cooperation and Development of Germany and GIZ collaborated to develop the Green Data </w:t>
            </w:r>
            <w:proofErr w:type="spellStart"/>
            <w:r w:rsidR="00125FE2" w:rsidRPr="58BAADD2">
              <w:rPr>
                <w:rFonts w:asciiTheme="minorHAnsi" w:eastAsia="DengXian" w:hAnsiTheme="minorHAnsi" w:cstheme="minorBidi"/>
                <w:lang w:eastAsia="zh-CN"/>
              </w:rPr>
              <w:t>Centers</w:t>
            </w:r>
            <w:proofErr w:type="spellEnd"/>
            <w:r w:rsidR="00125FE2" w:rsidRPr="58BAADD2">
              <w:rPr>
                <w:rFonts w:asciiTheme="minorHAnsi" w:eastAsia="DengXian" w:hAnsiTheme="minorHAnsi" w:cstheme="minorBidi"/>
                <w:lang w:eastAsia="zh-CN"/>
              </w:rPr>
              <w:t xml:space="preserve">: Towards a Sustainable Digital Transformation – A </w:t>
            </w:r>
            <w:proofErr w:type="spellStart"/>
            <w:r w:rsidR="00125FE2" w:rsidRPr="58BAADD2">
              <w:rPr>
                <w:rFonts w:asciiTheme="minorHAnsi" w:eastAsia="DengXian" w:hAnsiTheme="minorHAnsi" w:cstheme="minorBidi"/>
                <w:lang w:eastAsia="zh-CN"/>
              </w:rPr>
              <w:t>Practioner’s</w:t>
            </w:r>
            <w:proofErr w:type="spellEnd"/>
            <w:r w:rsidR="00125FE2" w:rsidRPr="58BAADD2">
              <w:rPr>
                <w:rFonts w:asciiTheme="minorHAnsi" w:eastAsia="DengXian" w:hAnsiTheme="minorHAnsi" w:cstheme="minorBidi"/>
                <w:lang w:eastAsia="zh-CN"/>
              </w:rPr>
              <w:t xml:space="preserve"> Guide [here]. The guide is accompanied by a self-paced online course on the ITU Academy. ITU also updated its broader suite of online self-paced courses related to climate change on the ITU Academy. The guide outlines 6 </w:t>
            </w:r>
            <w:r w:rsidR="00E33861" w:rsidRPr="58BAADD2">
              <w:rPr>
                <w:rFonts w:asciiTheme="minorHAnsi" w:eastAsia="DengXian" w:hAnsiTheme="minorHAnsi" w:cstheme="minorBidi"/>
                <w:lang w:eastAsia="zh-CN"/>
              </w:rPr>
              <w:t>principal</w:t>
            </w:r>
            <w:r w:rsidR="00125FE2" w:rsidRPr="58BAADD2">
              <w:rPr>
                <w:rFonts w:asciiTheme="minorHAnsi" w:eastAsia="DengXian" w:hAnsiTheme="minorHAnsi" w:cstheme="minorBidi"/>
                <w:lang w:eastAsia="zh-CN"/>
              </w:rPr>
              <w:t xml:space="preserve"> areas for practitioners to strengthen in order to support the greening of data </w:t>
            </w:r>
            <w:proofErr w:type="spellStart"/>
            <w:r w:rsidR="00125FE2" w:rsidRPr="58BAADD2">
              <w:rPr>
                <w:rFonts w:asciiTheme="minorHAnsi" w:eastAsia="DengXian" w:hAnsiTheme="minorHAnsi" w:cstheme="minorBidi"/>
                <w:lang w:eastAsia="zh-CN"/>
              </w:rPr>
              <w:t>centers</w:t>
            </w:r>
            <w:proofErr w:type="spellEnd"/>
            <w:r w:rsidR="00125FE2" w:rsidRPr="58BAADD2">
              <w:rPr>
                <w:rFonts w:asciiTheme="minorHAnsi" w:eastAsia="DengXian" w:hAnsiTheme="minorHAnsi" w:cstheme="minorBidi"/>
                <w:lang w:eastAsia="zh-CN"/>
              </w:rPr>
              <w:t xml:space="preserve">. These are: climate-resilient data </w:t>
            </w:r>
            <w:proofErr w:type="spellStart"/>
            <w:r w:rsidR="00125FE2" w:rsidRPr="58BAADD2">
              <w:rPr>
                <w:rFonts w:asciiTheme="minorHAnsi" w:eastAsia="DengXian" w:hAnsiTheme="minorHAnsi" w:cstheme="minorBidi"/>
                <w:lang w:eastAsia="zh-CN"/>
              </w:rPr>
              <w:t>centers</w:t>
            </w:r>
            <w:proofErr w:type="spellEnd"/>
            <w:r w:rsidR="00125FE2" w:rsidRPr="58BAADD2">
              <w:rPr>
                <w:rFonts w:asciiTheme="minorHAnsi" w:eastAsia="DengXian" w:hAnsiTheme="minorHAnsi" w:cstheme="minorBidi"/>
                <w:lang w:eastAsia="zh-CN"/>
              </w:rPr>
              <w:t>; sustainable design and buildings; sustainable ICT; sustainable energy; sustainable cooling; and e-waste management;</w:t>
            </w:r>
          </w:p>
          <w:p w14:paraId="68781DB1" w14:textId="1E0F90DC" w:rsidR="00125FE2" w:rsidRPr="00D27063" w:rsidRDefault="00D27063" w:rsidP="00ED69D8">
            <w:pPr>
              <w:tabs>
                <w:tab w:val="clear" w:pos="567"/>
                <w:tab w:val="clear" w:pos="1134"/>
                <w:tab w:val="clear" w:pos="1701"/>
                <w:tab w:val="clear" w:pos="2268"/>
                <w:tab w:val="clear" w:pos="2835"/>
                <w:tab w:val="left" w:pos="594"/>
                <w:tab w:val="left" w:pos="693"/>
              </w:tabs>
              <w:kinsoku w:val="0"/>
              <w:overflowPunct/>
              <w:autoSpaceDE/>
              <w:autoSpaceDN/>
              <w:adjustRightInd/>
              <w:spacing w:after="120" w:line="259" w:lineRule="auto"/>
              <w:ind w:left="603" w:right="422" w:hanging="360"/>
              <w:jc w:val="both"/>
              <w:textAlignment w:val="auto"/>
              <w:rPr>
                <w:rFonts w:asciiTheme="minorHAnsi" w:eastAsia="DengXian" w:hAnsiTheme="minorHAnsi" w:cstheme="minorBidi"/>
                <w:lang w:eastAsia="zh-CN"/>
              </w:rPr>
            </w:pPr>
            <w:r w:rsidRPr="58BAADD2">
              <w:rPr>
                <w:rFonts w:eastAsia="DengXian" w:cstheme="minorBidi"/>
                <w:lang w:eastAsia="zh-CN"/>
              </w:rPr>
              <w:t>–</w:t>
            </w:r>
            <w:r w:rsidR="5C9F355F" w:rsidRPr="58BAADD2">
              <w:rPr>
                <w:rFonts w:eastAsia="DengXian" w:cstheme="minorBidi"/>
                <w:lang w:eastAsia="zh-CN"/>
              </w:rPr>
              <w:t xml:space="preserve">  </w:t>
            </w:r>
            <w:r>
              <w:tab/>
            </w:r>
            <w:r w:rsidR="00125FE2" w:rsidRPr="58BAADD2">
              <w:rPr>
                <w:rFonts w:asciiTheme="minorHAnsi" w:eastAsia="DengXian" w:hAnsiTheme="minorHAnsi" w:cstheme="minorBidi"/>
                <w:lang w:eastAsia="zh-CN"/>
              </w:rPr>
              <w:t xml:space="preserve">ITU under its circular economy programme, has provided technical assistance to both the governments and electronics industry players in Rwanda, Dominican Republic, Indonesia, Malawi , Botswana, Niger, Burundi, Thailand, Mongolia, Seychelles, Paraguay, Namibia, Zambia, and Uganda. These countries have been assisted with developing and implementing their e-waste management systems, namely through having more effective policy and regulation in place. The support has advanced the legal, financial and administrative aspects of e-waste management in these countries, predominately under the extended producer responsibility (EPR) principle. For example, in Rwanda, ITU worked closely with an array of government authorities and a number of the 2500 electronics industry players, the following have been achieved: fully drafted revised e-waste regulation, inputs made to the regulation on electronic products, an administrative flow to capture information from producers placing electronics on the market to support enforcement, cost data on e-waste management gathered, estimated fees by product category gathered, and initial steps put in place for establishing a producer compliance scheme. ITU’s support has secured 30 champion producers to lead with EPR implementation. In Dominican Republic, ITU provided advisory and drafting services and technical assistance resulting in the issuance of a national e-waste regulation, in line with the General </w:t>
            </w:r>
            <w:r w:rsidR="00125FE2" w:rsidRPr="58BAADD2">
              <w:rPr>
                <w:rFonts w:asciiTheme="minorHAnsi" w:eastAsia="DengXian" w:hAnsiTheme="minorHAnsi" w:cstheme="minorBidi"/>
                <w:lang w:eastAsia="zh-CN"/>
              </w:rPr>
              <w:lastRenderedPageBreak/>
              <w:t>Law of Integral Management and Co-processing of Solid Waste. ITU started a new project in 2025 called International Exchange Initiative on Regulating E-waste and Engaging Tech Companies. The project aims to promote improved regulatory measures to address e-waste and support the transition to a circular economy for electronics in African, Latin American and Asia-Pacific countries. This will be achieved by providing an international exchange initiative for best practices and lessons learned for the participating countries to grow their knowledge and experience. The participating countries are Colombia, Dominican Republic, South Africa, Nigeria, Malaysia and India.</w:t>
            </w:r>
          </w:p>
          <w:p w14:paraId="6317EE3C" w14:textId="476CB42D" w:rsidR="00125FE2" w:rsidRPr="00D27063" w:rsidRDefault="00D27063" w:rsidP="00ED69D8">
            <w:pPr>
              <w:tabs>
                <w:tab w:val="clear" w:pos="567"/>
                <w:tab w:val="clear" w:pos="1134"/>
                <w:tab w:val="clear" w:pos="1701"/>
                <w:tab w:val="clear" w:pos="2268"/>
                <w:tab w:val="clear" w:pos="2835"/>
                <w:tab w:val="left" w:pos="594"/>
                <w:tab w:val="left" w:pos="693"/>
              </w:tabs>
              <w:kinsoku w:val="0"/>
              <w:overflowPunct/>
              <w:autoSpaceDE/>
              <w:autoSpaceDN/>
              <w:adjustRightInd/>
              <w:spacing w:after="120" w:line="259" w:lineRule="auto"/>
              <w:ind w:left="603" w:right="422" w:hanging="360"/>
              <w:jc w:val="both"/>
              <w:textAlignment w:val="auto"/>
              <w:rPr>
                <w:rFonts w:asciiTheme="minorHAnsi" w:eastAsia="DengXian" w:hAnsiTheme="minorHAnsi" w:cstheme="minorBidi"/>
                <w:lang w:eastAsia="zh-CN"/>
              </w:rPr>
            </w:pPr>
            <w:r w:rsidRPr="58BAADD2">
              <w:rPr>
                <w:rFonts w:eastAsia="DengXian" w:cstheme="minorBidi"/>
                <w:lang w:eastAsia="zh-CN"/>
              </w:rPr>
              <w:t>–</w:t>
            </w:r>
            <w:r w:rsidR="53CB1C72" w:rsidRPr="58BAADD2">
              <w:rPr>
                <w:rFonts w:eastAsia="DengXian" w:cstheme="minorBidi"/>
                <w:lang w:eastAsia="zh-CN"/>
              </w:rPr>
              <w:t xml:space="preserve">  </w:t>
            </w:r>
            <w:r>
              <w:tab/>
            </w:r>
            <w:r w:rsidR="00125FE2" w:rsidRPr="58BAADD2">
              <w:rPr>
                <w:rFonts w:asciiTheme="minorHAnsi" w:eastAsia="DengXian" w:hAnsiTheme="minorHAnsi" w:cstheme="minorBidi"/>
                <w:lang w:eastAsia="zh-CN"/>
              </w:rPr>
              <w:t xml:space="preserve">ITU released the Global E-waste Monitor 2024, with its partner, the UN Institute for Training and Research. This was the fourth edition of the Monitor, which is an indispensable reference tool for both policymakers and industry that shows the position of the world in terms of the global e-waste challenge. It highlighted that in </w:t>
            </w:r>
            <w:proofErr w:type="gramStart"/>
            <w:r w:rsidR="00125FE2" w:rsidRPr="58BAADD2">
              <w:rPr>
                <w:rFonts w:asciiTheme="minorHAnsi" w:eastAsia="DengXian" w:hAnsiTheme="minorHAnsi" w:cstheme="minorBidi"/>
                <w:lang w:eastAsia="zh-CN"/>
              </w:rPr>
              <w:t>2022,</w:t>
            </w:r>
            <w:proofErr w:type="gramEnd"/>
            <w:r w:rsidR="00125FE2" w:rsidRPr="58BAADD2">
              <w:rPr>
                <w:rFonts w:asciiTheme="minorHAnsi" w:eastAsia="DengXian" w:hAnsiTheme="minorHAnsi" w:cstheme="minorBidi"/>
                <w:lang w:eastAsia="zh-CN"/>
              </w:rPr>
              <w:t xml:space="preserve"> a record 62 billion kg of e-waste was generated globally (equivalent to an average of 7.8 kg per capita per year); 22.3 per cent of this e-waste mass was documented as formally collected and recycled in an environmentally sound manner. Beyond global monitors, ITU also producers regional and national e-waste monitors. Both the East Africa and the Western Balkans sub-regions have benefited from ITU’s capacity building in e-waste statistics and data.</w:t>
            </w:r>
          </w:p>
          <w:p w14:paraId="281B52F5" w14:textId="195FCF75" w:rsidR="00125FE2" w:rsidRPr="00D27063" w:rsidRDefault="00D27063" w:rsidP="00ED69D8">
            <w:pPr>
              <w:tabs>
                <w:tab w:val="clear" w:pos="567"/>
                <w:tab w:val="clear" w:pos="1134"/>
                <w:tab w:val="clear" w:pos="1701"/>
                <w:tab w:val="clear" w:pos="2268"/>
                <w:tab w:val="clear" w:pos="2835"/>
                <w:tab w:val="left" w:pos="594"/>
                <w:tab w:val="left" w:pos="693"/>
              </w:tabs>
              <w:kinsoku w:val="0"/>
              <w:overflowPunct/>
              <w:autoSpaceDE/>
              <w:autoSpaceDN/>
              <w:adjustRightInd/>
              <w:spacing w:after="120" w:line="259" w:lineRule="auto"/>
              <w:ind w:left="603" w:right="422" w:hanging="360"/>
              <w:jc w:val="both"/>
              <w:textAlignment w:val="auto"/>
              <w:rPr>
                <w:rFonts w:asciiTheme="minorHAnsi" w:eastAsia="DengXian" w:hAnsiTheme="minorHAnsi" w:cstheme="minorBidi"/>
                <w:color w:val="000000" w:themeColor="text1"/>
                <w:lang w:eastAsia="zh-CN"/>
              </w:rPr>
            </w:pPr>
            <w:r w:rsidRPr="58BAADD2">
              <w:rPr>
                <w:rFonts w:eastAsia="DengXian" w:cstheme="minorBidi"/>
                <w:color w:val="000000" w:themeColor="text1"/>
                <w:lang w:eastAsia="zh-CN"/>
              </w:rPr>
              <w:t>–</w:t>
            </w:r>
            <w:r>
              <w:tab/>
            </w:r>
            <w:r w:rsidR="3BC6B6BB" w:rsidRPr="58BAADD2">
              <w:rPr>
                <w:rFonts w:asciiTheme="minorHAnsi" w:eastAsia="DengXian" w:hAnsiTheme="minorHAnsi" w:cstheme="minorBidi"/>
                <w:lang w:eastAsia="zh-CN"/>
              </w:rPr>
              <w:t xml:space="preserve">  </w:t>
            </w:r>
            <w:r w:rsidR="00125FE2" w:rsidRPr="58BAADD2">
              <w:rPr>
                <w:rFonts w:asciiTheme="minorHAnsi" w:eastAsia="DengXian" w:hAnsiTheme="minorHAnsi" w:cstheme="minorBidi"/>
                <w:lang w:eastAsia="zh-CN"/>
              </w:rPr>
              <w:t>By developing international regulations and standards, radiocommunication systems such as mobile systems (</w:t>
            </w:r>
            <w:proofErr w:type="spellStart"/>
            <w:r w:rsidR="00125FE2" w:rsidRPr="58BAADD2">
              <w:rPr>
                <w:rFonts w:asciiTheme="minorHAnsi" w:eastAsia="DengXian" w:hAnsiTheme="minorHAnsi" w:cstheme="minorBidi"/>
                <w:lang w:eastAsia="zh-CN"/>
              </w:rPr>
              <w:t>4G</w:t>
            </w:r>
            <w:proofErr w:type="spellEnd"/>
            <w:r w:rsidR="00125FE2" w:rsidRPr="58BAADD2">
              <w:rPr>
                <w:rFonts w:asciiTheme="minorHAnsi" w:eastAsia="DengXian" w:hAnsiTheme="minorHAnsi" w:cstheme="minorBidi"/>
                <w:lang w:eastAsia="zh-CN"/>
              </w:rPr>
              <w:t>, IMT-2020/</w:t>
            </w:r>
            <w:proofErr w:type="spellStart"/>
            <w:r w:rsidR="00125FE2" w:rsidRPr="58BAADD2">
              <w:rPr>
                <w:rFonts w:asciiTheme="minorHAnsi" w:eastAsia="DengXian" w:hAnsiTheme="minorHAnsi" w:cstheme="minorBidi"/>
                <w:lang w:eastAsia="zh-CN"/>
              </w:rPr>
              <w:t>5G</w:t>
            </w:r>
            <w:proofErr w:type="spellEnd"/>
            <w:r w:rsidR="00125FE2" w:rsidRPr="58BAADD2">
              <w:rPr>
                <w:rFonts w:asciiTheme="minorHAnsi" w:eastAsia="DengXian" w:hAnsiTheme="minorHAnsi" w:cstheme="minorBidi"/>
                <w:lang w:eastAsia="zh-CN"/>
              </w:rPr>
              <w:t>) and geostationary and non-geostationary satellite systems have enabled significant increase in access to affordable and universal broadband communication services.</w:t>
            </w:r>
          </w:p>
          <w:p w14:paraId="3B4A4EB5" w14:textId="790EB62D" w:rsidR="00125FE2" w:rsidRPr="00D27063" w:rsidRDefault="00D27063" w:rsidP="00ED69D8">
            <w:pPr>
              <w:tabs>
                <w:tab w:val="clear" w:pos="567"/>
                <w:tab w:val="clear" w:pos="1134"/>
                <w:tab w:val="clear" w:pos="1701"/>
                <w:tab w:val="clear" w:pos="2268"/>
                <w:tab w:val="clear" w:pos="2835"/>
                <w:tab w:val="left" w:pos="594"/>
                <w:tab w:val="left" w:pos="693"/>
              </w:tabs>
              <w:kinsoku w:val="0"/>
              <w:overflowPunct/>
              <w:autoSpaceDE/>
              <w:autoSpaceDN/>
              <w:adjustRightInd/>
              <w:spacing w:after="120" w:line="259" w:lineRule="auto"/>
              <w:ind w:left="603" w:right="422" w:hanging="360"/>
              <w:jc w:val="both"/>
              <w:textAlignment w:val="auto"/>
              <w:rPr>
                <w:rFonts w:asciiTheme="minorHAnsi" w:eastAsia="DengXian" w:hAnsiTheme="minorHAnsi" w:cstheme="minorBidi"/>
                <w:lang w:eastAsia="zh-CN"/>
              </w:rPr>
            </w:pPr>
            <w:r w:rsidRPr="58BAADD2">
              <w:rPr>
                <w:rFonts w:eastAsia="DengXian" w:cstheme="minorBidi"/>
                <w:lang w:eastAsia="zh-CN"/>
              </w:rPr>
              <w:t>–</w:t>
            </w:r>
            <w:r>
              <w:tab/>
            </w:r>
            <w:r w:rsidR="00125FE2" w:rsidRPr="58BAADD2">
              <w:rPr>
                <w:rFonts w:asciiTheme="minorHAnsi" w:eastAsia="DengXian" w:hAnsiTheme="minorHAnsi" w:cstheme="minorBidi"/>
                <w:color w:val="000000" w:themeColor="text1"/>
                <w:lang w:eastAsia="zh-CN"/>
              </w:rPr>
              <w:t xml:space="preserve">Giga's Accelerator programme fosters innovation, </w:t>
            </w:r>
            <w:r w:rsidR="00125FE2" w:rsidRPr="58BAADD2">
              <w:rPr>
                <w:rFonts w:asciiTheme="minorHAnsi" w:eastAsia="DengXian" w:hAnsiTheme="minorHAnsi" w:cstheme="minorBidi"/>
                <w:lang w:eastAsia="zh-CN"/>
              </w:rPr>
              <w:t xml:space="preserve">identifying, funding and scaling open-source digital infrastructure solutions to advance school connectivity, </w:t>
            </w:r>
          </w:p>
          <w:p w14:paraId="2CBA3718" w14:textId="2BD13283" w:rsidR="00125FE2" w:rsidRPr="00D27063" w:rsidRDefault="00D27063" w:rsidP="00ED69D8">
            <w:pPr>
              <w:tabs>
                <w:tab w:val="clear" w:pos="567"/>
                <w:tab w:val="clear" w:pos="1134"/>
                <w:tab w:val="clear" w:pos="1701"/>
                <w:tab w:val="clear" w:pos="2268"/>
                <w:tab w:val="clear" w:pos="2835"/>
                <w:tab w:val="left" w:pos="594"/>
                <w:tab w:val="left" w:pos="693"/>
              </w:tabs>
              <w:kinsoku w:val="0"/>
              <w:overflowPunct/>
              <w:autoSpaceDE/>
              <w:autoSpaceDN/>
              <w:adjustRightInd/>
              <w:spacing w:after="120" w:line="259" w:lineRule="auto"/>
              <w:ind w:left="603" w:right="422" w:hanging="360"/>
              <w:jc w:val="both"/>
              <w:textAlignment w:val="auto"/>
              <w:rPr>
                <w:rFonts w:asciiTheme="minorHAnsi" w:eastAsiaTheme="minorEastAsia" w:hAnsiTheme="minorHAnsi" w:cstheme="minorBidi"/>
                <w:color w:val="000000"/>
              </w:rPr>
            </w:pPr>
            <w:r w:rsidRPr="58BAADD2">
              <w:rPr>
                <w:rFonts w:eastAsiaTheme="minorEastAsia" w:cstheme="minorBidi"/>
                <w:color w:val="000000" w:themeColor="text1"/>
              </w:rPr>
              <w:t>–</w:t>
            </w:r>
            <w:r w:rsidR="0008FE42" w:rsidRPr="58BAADD2">
              <w:rPr>
                <w:rFonts w:eastAsiaTheme="minorEastAsia" w:cstheme="minorBidi"/>
                <w:color w:val="000000" w:themeColor="text1"/>
              </w:rPr>
              <w:t xml:space="preserve"> </w:t>
            </w:r>
            <w:r>
              <w:tab/>
            </w:r>
            <w:r w:rsidR="00125FE2" w:rsidRPr="58BAADD2">
              <w:rPr>
                <w:rFonts w:asciiTheme="minorHAnsi" w:eastAsiaTheme="minorEastAsia" w:hAnsiTheme="minorHAnsi" w:cstheme="minorBidi"/>
                <w:color w:val="000000" w:themeColor="text1"/>
              </w:rPr>
              <w:t>To foster investment in digital infrastructure,</w:t>
            </w:r>
            <w:r w:rsidR="00125FE2" w:rsidRPr="58BAADD2">
              <w:rPr>
                <w:rFonts w:asciiTheme="minorHAnsi" w:eastAsiaTheme="minorEastAsia" w:hAnsiTheme="minorHAnsi" w:cstheme="minorBidi"/>
                <w:b/>
                <w:bCs/>
                <w:color w:val="000000" w:themeColor="text1"/>
              </w:rPr>
              <w:t xml:space="preserve"> </w:t>
            </w:r>
            <w:r w:rsidR="00125FE2" w:rsidRPr="58BAADD2">
              <w:rPr>
                <w:rFonts w:asciiTheme="minorHAnsi" w:eastAsiaTheme="minorEastAsia" w:hAnsiTheme="minorHAnsi" w:cstheme="minorBidi"/>
                <w:color w:val="000000" w:themeColor="text1"/>
              </w:rPr>
              <w:t>ITU launched the Digital Infrastructure Investment Initiative (DIII), led by ITU and seven multilateral development banks, with a working group representing 40 organizations. In 2025, the group issued a white paper in January highlighting a USD 1.6 trillion digital infrastructure investment gap. The white paper also introduced a preliminary Country Assessment Framework that identifies the main challenges to achieving meaningful connectivity and outlines innovative financing approaches to address them.</w:t>
            </w:r>
          </w:p>
          <w:p w14:paraId="7EE0562D" w14:textId="123C0286" w:rsidR="00125FE2" w:rsidRPr="00D27063" w:rsidRDefault="00D27063" w:rsidP="00ED69D8">
            <w:pPr>
              <w:tabs>
                <w:tab w:val="clear" w:pos="567"/>
                <w:tab w:val="clear" w:pos="1134"/>
                <w:tab w:val="clear" w:pos="1701"/>
                <w:tab w:val="clear" w:pos="2268"/>
                <w:tab w:val="clear" w:pos="2835"/>
                <w:tab w:val="left" w:pos="594"/>
                <w:tab w:val="left" w:pos="693"/>
              </w:tabs>
              <w:kinsoku w:val="0"/>
              <w:overflowPunct/>
              <w:autoSpaceDE/>
              <w:autoSpaceDN/>
              <w:adjustRightInd/>
              <w:spacing w:after="120" w:line="259" w:lineRule="auto"/>
              <w:ind w:left="603" w:right="422" w:hanging="360"/>
              <w:jc w:val="both"/>
              <w:textAlignment w:val="auto"/>
              <w:rPr>
                <w:rFonts w:asciiTheme="minorHAnsi" w:eastAsiaTheme="minorEastAsia" w:hAnsiTheme="minorHAnsi" w:cstheme="minorBidi"/>
                <w:color w:val="000000"/>
              </w:rPr>
            </w:pPr>
            <w:r w:rsidRPr="58BAADD2">
              <w:rPr>
                <w:rFonts w:eastAsiaTheme="minorEastAsia" w:cstheme="minorBidi"/>
                <w:color w:val="000000" w:themeColor="text1"/>
              </w:rPr>
              <w:t>–</w:t>
            </w:r>
            <w:r w:rsidR="4A31E3C5" w:rsidRPr="58BAADD2">
              <w:rPr>
                <w:rFonts w:eastAsiaTheme="minorEastAsia" w:cstheme="minorBidi"/>
                <w:color w:val="000000" w:themeColor="text1"/>
              </w:rPr>
              <w:t xml:space="preserve">  </w:t>
            </w:r>
            <w:r>
              <w:tab/>
            </w:r>
            <w:r w:rsidR="00125FE2" w:rsidRPr="58BAADD2">
              <w:rPr>
                <w:rFonts w:asciiTheme="minorHAnsi" w:eastAsiaTheme="minorEastAsia" w:hAnsiTheme="minorHAnsi" w:cstheme="minorBidi"/>
                <w:color w:val="000000" w:themeColor="text1"/>
              </w:rPr>
              <w:t>The framework and methodology developed for the DIII white paper served as key inputs to policy dialogues and knowledge products throughout 2025. In July 2025, ITU and UNCTAD launched the new Digital Infrastructure Investment Catalyser—a platform designed for information sharing, collaboration, and the creation of innovative partnerships and financing approaches to drive investment in digital infrastructure,</w:t>
            </w:r>
            <w:r w:rsidR="00125FE2" w:rsidRPr="58BAADD2">
              <w:rPr>
                <w:rFonts w:asciiTheme="minorHAnsi" w:eastAsiaTheme="minorEastAsia" w:hAnsiTheme="minorHAnsi" w:cstheme="minorBidi"/>
                <w:b/>
                <w:bCs/>
                <w:color w:val="000000" w:themeColor="text1"/>
              </w:rPr>
              <w:t xml:space="preserve"> </w:t>
            </w:r>
            <w:r w:rsidR="00125FE2" w:rsidRPr="58BAADD2">
              <w:rPr>
                <w:rFonts w:asciiTheme="minorHAnsi" w:eastAsiaTheme="minorEastAsia" w:hAnsiTheme="minorHAnsi" w:cstheme="minorBidi"/>
                <w:color w:val="000000" w:themeColor="text1"/>
              </w:rPr>
              <w:t>particularly for last-mile connectivity in least developed countries.</w:t>
            </w:r>
          </w:p>
          <w:p w14:paraId="7F5700F8" w14:textId="2443F042" w:rsidR="00125FE2" w:rsidRPr="00D27063" w:rsidRDefault="00D27063" w:rsidP="00ED69D8">
            <w:pPr>
              <w:tabs>
                <w:tab w:val="left" w:pos="693"/>
              </w:tabs>
              <w:spacing w:after="120"/>
              <w:ind w:left="603" w:hanging="360"/>
              <w:jc w:val="both"/>
              <w:rPr>
                <w:rFonts w:asciiTheme="minorHAnsi" w:hAnsiTheme="minorHAnsi" w:cstheme="minorBidi"/>
                <w:color w:val="000000"/>
              </w:rPr>
            </w:pPr>
            <w:r w:rsidRPr="58BAADD2">
              <w:rPr>
                <w:rFonts w:eastAsia="Calibri" w:cstheme="minorBidi"/>
                <w:color w:val="000000" w:themeColor="text1"/>
              </w:rPr>
              <w:lastRenderedPageBreak/>
              <w:t>–</w:t>
            </w:r>
            <w:r>
              <w:tab/>
            </w:r>
            <w:r w:rsidR="00125FE2" w:rsidRPr="58BAADD2">
              <w:rPr>
                <w:rFonts w:asciiTheme="minorHAnsi" w:hAnsiTheme="minorHAnsi" w:cstheme="minorBidi"/>
                <w:color w:val="000000" w:themeColor="text1"/>
              </w:rPr>
              <w:t>As a complementary effort to strengthen the digital foundations of the education sector, ITU – together with UNESCO and UNICEF – formally launched the Charter for Public Digital Learning Platforms. As the first normative framework of its kind, the Charter outlines shared principles and safeguards to guide the development and governance of trustworthy public digital learning platforms. ITU is now working with partners to support early implementation and country uptake, helping translate the Charter’s principles into practical steps for more coherent, resilient, and learner-centred digital ecosystems.</w:t>
            </w:r>
          </w:p>
          <w:p w14:paraId="47CD176A" w14:textId="3621ADCC" w:rsidR="00125FE2" w:rsidRPr="00D27063" w:rsidRDefault="00D27063" w:rsidP="00ED69D8">
            <w:pPr>
              <w:tabs>
                <w:tab w:val="clear" w:pos="567"/>
                <w:tab w:val="clear" w:pos="1134"/>
                <w:tab w:val="clear" w:pos="1701"/>
                <w:tab w:val="clear" w:pos="2268"/>
                <w:tab w:val="clear" w:pos="2835"/>
                <w:tab w:val="left" w:pos="693"/>
              </w:tabs>
              <w:overflowPunct/>
              <w:autoSpaceDE/>
              <w:autoSpaceDN/>
              <w:adjustRightInd/>
              <w:spacing w:after="120" w:line="259" w:lineRule="auto"/>
              <w:ind w:left="603" w:hanging="360"/>
              <w:jc w:val="both"/>
              <w:textAlignment w:val="auto"/>
              <w:rPr>
                <w:rFonts w:asciiTheme="minorHAnsi" w:eastAsia="DengXian" w:hAnsiTheme="minorHAnsi" w:cstheme="minorBidi"/>
                <w:color w:val="000000"/>
                <w:lang w:eastAsia="zh-CN"/>
              </w:rPr>
            </w:pPr>
            <w:r w:rsidRPr="58BAADD2">
              <w:rPr>
                <w:rFonts w:eastAsia="DengXian" w:cstheme="minorBidi"/>
                <w:color w:val="000000" w:themeColor="text1"/>
                <w:lang w:eastAsia="zh-CN"/>
              </w:rPr>
              <w:t>–</w:t>
            </w:r>
            <w:r w:rsidR="22203084" w:rsidRPr="58BAADD2">
              <w:rPr>
                <w:rFonts w:eastAsia="DengXian" w:cstheme="minorBidi"/>
                <w:color w:val="000000" w:themeColor="text1"/>
                <w:lang w:eastAsia="zh-CN"/>
              </w:rPr>
              <w:t xml:space="preserve">  </w:t>
            </w:r>
            <w:r w:rsidR="5F9A0A5D" w:rsidRPr="58BAADD2">
              <w:rPr>
                <w:rFonts w:eastAsia="DengXian" w:cstheme="minorBidi"/>
                <w:color w:val="000000" w:themeColor="text1"/>
                <w:lang w:eastAsia="zh-CN"/>
              </w:rPr>
              <w:t xml:space="preserve"> </w:t>
            </w:r>
            <w:r>
              <w:tab/>
            </w:r>
            <w:r w:rsidR="00125FE2" w:rsidRPr="58BAADD2">
              <w:rPr>
                <w:rFonts w:asciiTheme="minorHAnsi" w:eastAsia="DengXian" w:hAnsiTheme="minorHAnsi" w:cstheme="minorBidi"/>
                <w:color w:val="000000" w:themeColor="text1"/>
                <w:lang w:eastAsia="zh-CN"/>
              </w:rPr>
              <w:t xml:space="preserve">As a complementary mechanism to Giga and the Digital Infrastructure Investment Catalyser, the </w:t>
            </w:r>
            <w:proofErr w:type="spellStart"/>
            <w:r w:rsidR="00125FE2" w:rsidRPr="58BAADD2">
              <w:rPr>
                <w:rFonts w:asciiTheme="minorHAnsi" w:eastAsia="DengXian" w:hAnsiTheme="minorHAnsi" w:cstheme="minorBidi"/>
                <w:color w:val="000000" w:themeColor="text1"/>
                <w:lang w:eastAsia="zh-CN"/>
              </w:rPr>
              <w:t>Partner2Connect</w:t>
            </w:r>
            <w:proofErr w:type="spellEnd"/>
            <w:r w:rsidR="00125FE2" w:rsidRPr="58BAADD2">
              <w:rPr>
                <w:rFonts w:asciiTheme="minorHAnsi" w:eastAsia="DengXian" w:hAnsiTheme="minorHAnsi" w:cstheme="minorBidi"/>
                <w:color w:val="000000" w:themeColor="text1"/>
                <w:lang w:eastAsia="zh-CN"/>
              </w:rPr>
              <w:t xml:space="preserve"> Digital Coalition (</w:t>
            </w:r>
            <w:proofErr w:type="spellStart"/>
            <w:r w:rsidR="00125FE2" w:rsidRPr="58BAADD2">
              <w:rPr>
                <w:rFonts w:asciiTheme="minorHAnsi" w:eastAsia="DengXian" w:hAnsiTheme="minorHAnsi" w:cstheme="minorBidi"/>
                <w:color w:val="000000" w:themeColor="text1"/>
                <w:lang w:eastAsia="zh-CN"/>
              </w:rPr>
              <w:t>P2C</w:t>
            </w:r>
            <w:proofErr w:type="spellEnd"/>
            <w:r w:rsidR="00125FE2" w:rsidRPr="58BAADD2">
              <w:rPr>
                <w:rFonts w:asciiTheme="minorHAnsi" w:eastAsia="DengXian" w:hAnsiTheme="minorHAnsi" w:cstheme="minorBidi"/>
                <w:color w:val="000000" w:themeColor="text1"/>
                <w:lang w:eastAsia="zh-CN"/>
              </w:rPr>
              <w:t xml:space="preserve">) serves as ITU’s global platform for mobilizing commitments and strengthening partnerships to accelerate meaningful connectivity and sustainable digital transformation. By November 2025, </w:t>
            </w:r>
            <w:proofErr w:type="spellStart"/>
            <w:r w:rsidR="00125FE2" w:rsidRPr="58BAADD2">
              <w:rPr>
                <w:rFonts w:asciiTheme="minorHAnsi" w:eastAsia="DengXian" w:hAnsiTheme="minorHAnsi" w:cstheme="minorBidi"/>
                <w:color w:val="000000" w:themeColor="text1"/>
                <w:lang w:eastAsia="zh-CN"/>
              </w:rPr>
              <w:t>P2C</w:t>
            </w:r>
            <w:proofErr w:type="spellEnd"/>
            <w:r w:rsidR="00125FE2" w:rsidRPr="58BAADD2">
              <w:rPr>
                <w:rFonts w:asciiTheme="minorHAnsi" w:eastAsia="DengXian" w:hAnsiTheme="minorHAnsi" w:cstheme="minorBidi"/>
                <w:color w:val="000000" w:themeColor="text1"/>
                <w:lang w:eastAsia="zh-CN"/>
              </w:rPr>
              <w:t xml:space="preserve"> had mobilized over USD 80 billion in pledges from 1,050 pledgers representing 486 organizations across 149 countries, including 29 UN entities, with a strong focus on improving digital infrastructure in </w:t>
            </w:r>
            <w:proofErr w:type="spellStart"/>
            <w:r w:rsidR="00125FE2" w:rsidRPr="58BAADD2">
              <w:rPr>
                <w:rFonts w:asciiTheme="minorHAnsi" w:eastAsia="DengXian" w:hAnsiTheme="minorHAnsi" w:cstheme="minorBidi"/>
                <w:color w:val="000000" w:themeColor="text1"/>
                <w:lang w:eastAsia="zh-CN"/>
              </w:rPr>
              <w:t>LDCs</w:t>
            </w:r>
            <w:proofErr w:type="spellEnd"/>
            <w:r w:rsidR="00125FE2" w:rsidRPr="58BAADD2">
              <w:rPr>
                <w:rFonts w:asciiTheme="minorHAnsi" w:eastAsia="DengXian" w:hAnsiTheme="minorHAnsi" w:cstheme="minorBidi"/>
                <w:color w:val="000000" w:themeColor="text1"/>
                <w:lang w:eastAsia="zh-CN"/>
              </w:rPr>
              <w:t xml:space="preserve">, </w:t>
            </w:r>
            <w:proofErr w:type="spellStart"/>
            <w:r w:rsidR="00125FE2" w:rsidRPr="58BAADD2">
              <w:rPr>
                <w:rFonts w:asciiTheme="minorHAnsi" w:eastAsia="DengXian" w:hAnsiTheme="minorHAnsi" w:cstheme="minorBidi"/>
                <w:color w:val="000000" w:themeColor="text1"/>
                <w:lang w:eastAsia="zh-CN"/>
              </w:rPr>
              <w:t>LLDCs</w:t>
            </w:r>
            <w:proofErr w:type="spellEnd"/>
            <w:r w:rsidR="00125FE2" w:rsidRPr="58BAADD2">
              <w:rPr>
                <w:rFonts w:asciiTheme="minorHAnsi" w:eastAsia="DengXian" w:hAnsiTheme="minorHAnsi" w:cstheme="minorBidi"/>
                <w:color w:val="000000" w:themeColor="text1"/>
                <w:lang w:eastAsia="zh-CN"/>
              </w:rPr>
              <w:t xml:space="preserve"> and SIDS. Guided by its Global Advisory Board and informed by priorities identified through the ITU Regional Development Forums, </w:t>
            </w:r>
            <w:proofErr w:type="spellStart"/>
            <w:r w:rsidR="00125FE2" w:rsidRPr="58BAADD2">
              <w:rPr>
                <w:rFonts w:asciiTheme="minorHAnsi" w:eastAsia="DengXian" w:hAnsiTheme="minorHAnsi" w:cstheme="minorBidi"/>
                <w:color w:val="000000" w:themeColor="text1"/>
                <w:lang w:eastAsia="zh-CN"/>
              </w:rPr>
              <w:t>P2C</w:t>
            </w:r>
            <w:proofErr w:type="spellEnd"/>
            <w:r w:rsidR="00125FE2" w:rsidRPr="58BAADD2">
              <w:rPr>
                <w:rFonts w:asciiTheme="minorHAnsi" w:eastAsia="DengXian" w:hAnsiTheme="minorHAnsi" w:cstheme="minorBidi"/>
                <w:color w:val="000000" w:themeColor="text1"/>
                <w:lang w:eastAsia="zh-CN"/>
              </w:rPr>
              <w:t xml:space="preserve"> provides a transparent mechanism to track progress, promote accountability and catalyse collaboration across governments, industry, civil society and development partners. </w:t>
            </w:r>
          </w:p>
          <w:p w14:paraId="2B8B81F9" w14:textId="20B9CA9D" w:rsidR="00125FE2" w:rsidRPr="00D27063" w:rsidRDefault="00D27063" w:rsidP="00ED69D8">
            <w:pPr>
              <w:tabs>
                <w:tab w:val="clear" w:pos="567"/>
                <w:tab w:val="clear" w:pos="1134"/>
                <w:tab w:val="clear" w:pos="1701"/>
                <w:tab w:val="clear" w:pos="2268"/>
                <w:tab w:val="clear" w:pos="2835"/>
                <w:tab w:val="left" w:pos="693"/>
              </w:tabs>
              <w:overflowPunct/>
              <w:autoSpaceDE/>
              <w:autoSpaceDN/>
              <w:adjustRightInd/>
              <w:spacing w:after="120" w:line="259" w:lineRule="auto"/>
              <w:ind w:left="603" w:hanging="360"/>
              <w:jc w:val="both"/>
              <w:textAlignment w:val="auto"/>
              <w:rPr>
                <w:rFonts w:asciiTheme="minorHAnsi" w:eastAsia="DengXian" w:hAnsiTheme="minorHAnsi" w:cstheme="minorBidi"/>
                <w:color w:val="000000"/>
                <w:lang w:eastAsia="zh-CN"/>
              </w:rPr>
            </w:pPr>
            <w:r w:rsidRPr="58BAADD2">
              <w:rPr>
                <w:rFonts w:eastAsia="DengXian" w:cstheme="minorBidi"/>
                <w:color w:val="000000" w:themeColor="text1"/>
                <w:lang w:eastAsia="zh-CN"/>
              </w:rPr>
              <w:t>–</w:t>
            </w:r>
            <w:r w:rsidR="49DC7707" w:rsidRPr="58BAADD2">
              <w:rPr>
                <w:rFonts w:eastAsia="DengXian" w:cstheme="minorBidi"/>
                <w:color w:val="000000" w:themeColor="text1"/>
                <w:lang w:eastAsia="zh-CN"/>
              </w:rPr>
              <w:t xml:space="preserve">  </w:t>
            </w:r>
            <w:r>
              <w:tab/>
            </w:r>
            <w:r w:rsidR="00125FE2" w:rsidRPr="58BAADD2">
              <w:rPr>
                <w:rFonts w:asciiTheme="minorHAnsi" w:eastAsia="DengXian" w:hAnsiTheme="minorHAnsi" w:cstheme="minorBidi"/>
                <w:color w:val="000000" w:themeColor="text1"/>
                <w:lang w:eastAsia="zh-CN"/>
              </w:rPr>
              <w:t xml:space="preserve">Throughout 2025, </w:t>
            </w:r>
            <w:proofErr w:type="spellStart"/>
            <w:r w:rsidR="00125FE2" w:rsidRPr="58BAADD2">
              <w:rPr>
                <w:rFonts w:asciiTheme="minorHAnsi" w:eastAsia="DengXian" w:hAnsiTheme="minorHAnsi" w:cstheme="minorBidi"/>
                <w:color w:val="000000" w:themeColor="text1"/>
                <w:lang w:eastAsia="zh-CN"/>
              </w:rPr>
              <w:t>P2C</w:t>
            </w:r>
            <w:proofErr w:type="spellEnd"/>
            <w:r w:rsidR="00125FE2" w:rsidRPr="58BAADD2">
              <w:rPr>
                <w:rFonts w:asciiTheme="minorHAnsi" w:eastAsia="DengXian" w:hAnsiTheme="minorHAnsi" w:cstheme="minorBidi"/>
                <w:color w:val="000000" w:themeColor="text1"/>
                <w:lang w:eastAsia="zh-CN"/>
              </w:rPr>
              <w:t xml:space="preserve"> expanded implementation support through its Matchmaking Accelerator Series and dedicated webinars that featured complementary ITU initiatives, including cybersecurity, innovation, digital skills and accessibility, ensuring coherence across the wider UN digital cooperation landscape. </w:t>
            </w:r>
            <w:proofErr w:type="spellStart"/>
            <w:r w:rsidR="00125FE2" w:rsidRPr="58BAADD2">
              <w:rPr>
                <w:rFonts w:asciiTheme="minorHAnsi" w:eastAsia="DengXian" w:hAnsiTheme="minorHAnsi" w:cstheme="minorBidi"/>
                <w:color w:val="000000" w:themeColor="text1"/>
                <w:lang w:eastAsia="zh-CN"/>
              </w:rPr>
              <w:t>P2C</w:t>
            </w:r>
            <w:proofErr w:type="spellEnd"/>
            <w:r w:rsidR="00125FE2" w:rsidRPr="58BAADD2">
              <w:rPr>
                <w:rFonts w:asciiTheme="minorHAnsi" w:eastAsia="DengXian" w:hAnsiTheme="minorHAnsi" w:cstheme="minorBidi"/>
                <w:color w:val="000000" w:themeColor="text1"/>
                <w:lang w:eastAsia="zh-CN"/>
              </w:rPr>
              <w:t xml:space="preserve"> also engaged actively in the Connectivity for Refugees initiative and continued collaborating closely with Giga by leveraging the </w:t>
            </w:r>
            <w:proofErr w:type="spellStart"/>
            <w:r w:rsidR="00125FE2" w:rsidRPr="58BAADD2">
              <w:rPr>
                <w:rFonts w:asciiTheme="minorHAnsi" w:eastAsia="DengXian" w:hAnsiTheme="minorHAnsi" w:cstheme="minorBidi"/>
                <w:color w:val="000000" w:themeColor="text1"/>
                <w:lang w:eastAsia="zh-CN"/>
              </w:rPr>
              <w:t>P2C</w:t>
            </w:r>
            <w:proofErr w:type="spellEnd"/>
            <w:r w:rsidR="00125FE2" w:rsidRPr="58BAADD2">
              <w:rPr>
                <w:rFonts w:asciiTheme="minorHAnsi" w:eastAsia="DengXian" w:hAnsiTheme="minorHAnsi" w:cstheme="minorBidi"/>
                <w:color w:val="000000" w:themeColor="text1"/>
                <w:lang w:eastAsia="zh-CN"/>
              </w:rPr>
              <w:t xml:space="preserve"> Dashboard to highlight school connectivity commitments and support more integrated tracking of progress at national level. This collaboration is expected to deepen in the coming months as ITU advances aligned efforts to strengthen digital infrastructure and inclusive digital ecosystems globally.</w:t>
            </w:r>
          </w:p>
        </w:tc>
      </w:tr>
      <w:tr w:rsidR="00125FE2" w:rsidRPr="00D27063" w14:paraId="51E19F9D" w14:textId="77777777" w:rsidTr="58BAADD2">
        <w:trPr>
          <w:trHeight w:val="56"/>
        </w:trPr>
        <w:tc>
          <w:tcPr>
            <w:tcW w:w="9016" w:type="dxa"/>
          </w:tcPr>
          <w:p w14:paraId="68F1417C" w14:textId="77777777" w:rsidR="00AF2830" w:rsidRPr="00D27063" w:rsidRDefault="00AF2830" w:rsidP="00DD0F2B">
            <w:pPr>
              <w:tabs>
                <w:tab w:val="clear" w:pos="567"/>
                <w:tab w:val="clear" w:pos="1134"/>
                <w:tab w:val="clear" w:pos="1701"/>
                <w:tab w:val="clear" w:pos="2268"/>
                <w:tab w:val="clear" w:pos="2835"/>
              </w:tabs>
              <w:overflowPunct/>
              <w:spacing w:after="120" w:line="259" w:lineRule="auto"/>
              <w:jc w:val="both"/>
              <w:textAlignment w:val="auto"/>
              <w:rPr>
                <w:rFonts w:asciiTheme="minorHAnsi" w:eastAsia="DengXian" w:hAnsiTheme="minorHAnsi" w:cstheme="minorBidi"/>
                <w:b/>
                <w:bCs/>
                <w:color w:val="000000"/>
                <w:lang w:eastAsia="zh-CN"/>
              </w:rPr>
            </w:pPr>
            <w:r w:rsidRPr="58BAADD2">
              <w:rPr>
                <w:rFonts w:asciiTheme="minorHAnsi" w:eastAsia="DengXian" w:hAnsiTheme="minorHAnsi" w:cstheme="minorBidi"/>
                <w:b/>
                <w:bCs/>
                <w:color w:val="000000" w:themeColor="text1"/>
                <w:lang w:eastAsia="zh-CN"/>
              </w:rPr>
              <w:lastRenderedPageBreak/>
              <w:t xml:space="preserve">Goal 11. Make cities and human settlements inclusive, safe, resilient and sustainable </w:t>
            </w:r>
          </w:p>
          <w:p w14:paraId="0A6A2D15" w14:textId="77777777" w:rsidR="00AF2830" w:rsidRPr="00D27063" w:rsidRDefault="00AF2830" w:rsidP="00DD0F2B">
            <w:pPr>
              <w:tabs>
                <w:tab w:val="clear" w:pos="567"/>
                <w:tab w:val="clear" w:pos="1134"/>
                <w:tab w:val="clear" w:pos="1701"/>
                <w:tab w:val="clear" w:pos="2268"/>
                <w:tab w:val="clear" w:pos="2835"/>
              </w:tabs>
              <w:overflowPunct/>
              <w:spacing w:after="120" w:line="259" w:lineRule="auto"/>
              <w:jc w:val="both"/>
              <w:textAlignment w:val="auto"/>
              <w:rPr>
                <w:rFonts w:asciiTheme="minorHAnsi" w:eastAsia="DengXian" w:hAnsiTheme="minorHAnsi" w:cstheme="minorBidi"/>
                <w:color w:val="000000"/>
                <w:lang w:eastAsia="zh-CN"/>
              </w:rPr>
            </w:pPr>
            <w:r w:rsidRPr="58BAADD2">
              <w:rPr>
                <w:rFonts w:asciiTheme="minorHAnsi" w:eastAsia="DengXian" w:hAnsiTheme="minorHAnsi" w:cstheme="minorBidi"/>
                <w:i/>
                <w:iCs/>
                <w:color w:val="000000" w:themeColor="text1"/>
                <w:lang w:eastAsia="zh-CN"/>
              </w:rPr>
              <w:t xml:space="preserve">With more than half the world’s population already living in urban environments, ICTs will be essential in offering innovative approaches to managing cities more effectively and holistically – through applications such as smart buildings, smart water management, intelligent transport systems, and new efficiencies in energy consumption and waste management. </w:t>
            </w:r>
          </w:p>
          <w:p w14:paraId="26503BD9" w14:textId="77777777" w:rsidR="00AF2830" w:rsidRPr="00D27063" w:rsidRDefault="00AF2830" w:rsidP="00DD0F2B">
            <w:pPr>
              <w:tabs>
                <w:tab w:val="clear" w:pos="567"/>
                <w:tab w:val="clear" w:pos="1134"/>
                <w:tab w:val="clear" w:pos="1701"/>
                <w:tab w:val="clear" w:pos="2268"/>
                <w:tab w:val="clear" w:pos="2835"/>
              </w:tabs>
              <w:overflowPunct/>
              <w:spacing w:after="120" w:line="259" w:lineRule="auto"/>
              <w:jc w:val="both"/>
              <w:textAlignment w:val="auto"/>
              <w:rPr>
                <w:rFonts w:asciiTheme="minorHAnsi" w:eastAsia="DengXian" w:hAnsiTheme="minorHAnsi" w:cstheme="minorBidi"/>
                <w:i/>
                <w:iCs/>
                <w:color w:val="000000"/>
                <w:lang w:eastAsia="zh-CN"/>
              </w:rPr>
            </w:pPr>
            <w:r w:rsidRPr="58BAADD2">
              <w:rPr>
                <w:rFonts w:asciiTheme="minorHAnsi" w:eastAsia="DengXian" w:hAnsiTheme="minorHAnsi" w:cstheme="minorBidi"/>
                <w:i/>
                <w:iCs/>
                <w:color w:val="000000" w:themeColor="text1"/>
                <w:lang w:eastAsia="zh-CN"/>
              </w:rPr>
              <w:t xml:space="preserve">Using ICTs to make cities </w:t>
            </w:r>
            <w:proofErr w:type="gramStart"/>
            <w:r w:rsidRPr="58BAADD2">
              <w:rPr>
                <w:rFonts w:asciiTheme="minorHAnsi" w:eastAsia="DengXian" w:hAnsiTheme="minorHAnsi" w:cstheme="minorBidi"/>
                <w:i/>
                <w:iCs/>
                <w:color w:val="000000" w:themeColor="text1"/>
                <w:lang w:eastAsia="zh-CN"/>
              </w:rPr>
              <w:t>more eco-friendly and sustainable</w:t>
            </w:r>
            <w:proofErr w:type="gramEnd"/>
            <w:r w:rsidRPr="58BAADD2">
              <w:rPr>
                <w:rFonts w:asciiTheme="minorHAnsi" w:eastAsia="DengXian" w:hAnsiTheme="minorHAnsi" w:cstheme="minorBidi"/>
                <w:i/>
                <w:iCs/>
                <w:color w:val="000000" w:themeColor="text1"/>
                <w:lang w:eastAsia="zh-CN"/>
              </w:rPr>
              <w:t xml:space="preserve"> is vital – not just for the well-being of urban inhabitants, but also for the sustainability of the planet. </w:t>
            </w:r>
          </w:p>
          <w:p w14:paraId="6F14B6AA" w14:textId="77777777" w:rsidR="00AF2830" w:rsidRPr="00D27063" w:rsidRDefault="00AF2830" w:rsidP="00DD0F2B">
            <w:pPr>
              <w:tabs>
                <w:tab w:val="clear" w:pos="567"/>
                <w:tab w:val="clear" w:pos="1134"/>
                <w:tab w:val="clear" w:pos="1701"/>
                <w:tab w:val="clear" w:pos="2268"/>
                <w:tab w:val="clear" w:pos="2835"/>
              </w:tabs>
              <w:overflowPunct/>
              <w:spacing w:after="120" w:line="259" w:lineRule="auto"/>
              <w:jc w:val="both"/>
              <w:textAlignment w:val="auto"/>
              <w:rPr>
                <w:rFonts w:asciiTheme="minorHAnsi" w:eastAsia="DengXian" w:hAnsiTheme="minorHAnsi" w:cstheme="minorBidi"/>
                <w:b/>
                <w:bCs/>
                <w:color w:val="000000"/>
                <w:lang w:eastAsia="zh-CN"/>
              </w:rPr>
            </w:pPr>
            <w:r w:rsidRPr="58BAADD2">
              <w:rPr>
                <w:rFonts w:asciiTheme="minorHAnsi" w:eastAsia="DengXian" w:hAnsiTheme="minorHAnsi" w:cstheme="minorBidi"/>
                <w:b/>
                <w:bCs/>
                <w:color w:val="000000" w:themeColor="text1"/>
                <w:lang w:eastAsia="zh-CN"/>
              </w:rPr>
              <w:t xml:space="preserve">ITU contributes to </w:t>
            </w:r>
            <w:proofErr w:type="spellStart"/>
            <w:r w:rsidRPr="58BAADD2">
              <w:rPr>
                <w:rFonts w:asciiTheme="minorHAnsi" w:eastAsia="DengXian" w:hAnsiTheme="minorHAnsi" w:cstheme="minorBidi"/>
                <w:b/>
                <w:bCs/>
                <w:color w:val="000000" w:themeColor="text1"/>
                <w:lang w:eastAsia="zh-CN"/>
              </w:rPr>
              <w:t>SDG11</w:t>
            </w:r>
            <w:proofErr w:type="spellEnd"/>
            <w:r w:rsidRPr="58BAADD2">
              <w:rPr>
                <w:rFonts w:asciiTheme="minorHAnsi" w:eastAsia="DengXian" w:hAnsiTheme="minorHAnsi" w:cstheme="minorBidi"/>
                <w:b/>
                <w:bCs/>
                <w:color w:val="000000" w:themeColor="text1"/>
                <w:lang w:eastAsia="zh-CN"/>
              </w:rPr>
              <w:t>:</w:t>
            </w:r>
          </w:p>
          <w:p w14:paraId="08B098DD" w14:textId="77777777" w:rsidR="00AF2830" w:rsidRDefault="00AF2830" w:rsidP="00DD0F2B">
            <w:pPr>
              <w:tabs>
                <w:tab w:val="clear" w:pos="567"/>
                <w:tab w:val="clear" w:pos="1134"/>
                <w:tab w:val="clear" w:pos="1701"/>
                <w:tab w:val="clear" w:pos="2268"/>
                <w:tab w:val="clear" w:pos="2835"/>
              </w:tabs>
              <w:overflowPunct/>
              <w:autoSpaceDE/>
              <w:autoSpaceDN/>
              <w:adjustRightInd/>
              <w:spacing w:after="120" w:line="259" w:lineRule="auto"/>
              <w:ind w:left="495" w:hanging="360"/>
              <w:jc w:val="both"/>
              <w:textAlignment w:val="auto"/>
              <w:rPr>
                <w:rFonts w:asciiTheme="minorHAnsi" w:eastAsia="DengXian" w:hAnsiTheme="minorHAnsi" w:cstheme="minorBidi"/>
                <w:color w:val="000000" w:themeColor="text1"/>
                <w:lang w:eastAsia="zh-CN"/>
              </w:rPr>
            </w:pPr>
            <w:r w:rsidRPr="58BAADD2">
              <w:rPr>
                <w:rFonts w:eastAsia="DengXian" w:cstheme="minorBidi"/>
                <w:lang w:eastAsia="zh-CN"/>
              </w:rPr>
              <w:t>–</w:t>
            </w:r>
            <w:r>
              <w:tab/>
            </w:r>
            <w:r w:rsidRPr="58BAADD2">
              <w:rPr>
                <w:rFonts w:asciiTheme="minorHAnsi" w:eastAsia="DengXian" w:hAnsiTheme="minorHAnsi" w:cstheme="minorBidi"/>
                <w:color w:val="000000" w:themeColor="text1"/>
                <w:lang w:eastAsia="zh-CN"/>
              </w:rPr>
              <w:t xml:space="preserve">ITU contributes to the achievement of this goal through developing and delivering training programmes on smart, inclusive and sustainable cities. ITU contributes by providing guidelines to ensure that public digital services are accessible to all persons, </w:t>
            </w:r>
            <w:r w:rsidRPr="58BAADD2">
              <w:rPr>
                <w:rFonts w:asciiTheme="minorHAnsi" w:eastAsia="DengXian" w:hAnsiTheme="minorHAnsi" w:cstheme="minorBidi"/>
                <w:color w:val="000000" w:themeColor="text1"/>
                <w:lang w:eastAsia="zh-CN"/>
              </w:rPr>
              <w:lastRenderedPageBreak/>
              <w:t xml:space="preserve">with a special attention to persons with specific needs such as persons with disabilities and older persons. ITU is addressing the topic by promoting accessible ICTs/smart technologies and by promoting ICT/digital accessibility policies and strategies including those applicable to public services, products and systems, including by promoting the public procurement of accessible ICTs for public transport systems; </w:t>
            </w:r>
          </w:p>
          <w:p w14:paraId="79E5088F" w14:textId="77777777" w:rsidR="00AF2830" w:rsidRPr="00D27063" w:rsidRDefault="00AF2830" w:rsidP="00DD0F2B">
            <w:pPr>
              <w:tabs>
                <w:tab w:val="clear" w:pos="567"/>
                <w:tab w:val="clear" w:pos="1134"/>
                <w:tab w:val="clear" w:pos="1701"/>
                <w:tab w:val="clear" w:pos="2268"/>
                <w:tab w:val="clear" w:pos="2835"/>
              </w:tabs>
              <w:overflowPunct/>
              <w:autoSpaceDE/>
              <w:autoSpaceDN/>
              <w:adjustRightInd/>
              <w:spacing w:after="120" w:line="259" w:lineRule="auto"/>
              <w:ind w:left="495" w:hanging="357"/>
              <w:jc w:val="both"/>
              <w:textAlignment w:val="auto"/>
              <w:rPr>
                <w:rFonts w:asciiTheme="minorHAnsi" w:eastAsia="DengXian" w:hAnsiTheme="minorHAnsi" w:cstheme="minorBidi"/>
                <w:lang w:eastAsia="zh-CN"/>
              </w:rPr>
            </w:pPr>
            <w:r w:rsidRPr="58BAADD2">
              <w:rPr>
                <w:rFonts w:eastAsia="DengXian" w:cstheme="minorBidi"/>
                <w:lang w:eastAsia="zh-CN"/>
              </w:rPr>
              <w:t>–</w:t>
            </w:r>
            <w:r>
              <w:tab/>
            </w:r>
            <w:r w:rsidRPr="58BAADD2">
              <w:rPr>
                <w:rFonts w:asciiTheme="minorHAnsi" w:eastAsia="DengXian" w:hAnsiTheme="minorHAnsi" w:cstheme="minorBidi"/>
                <w:color w:val="000000" w:themeColor="text1"/>
                <w:lang w:eastAsia="zh-CN"/>
              </w:rPr>
              <w:t xml:space="preserve">ITU contributes to promoting the protection of ICT systems governing critical infrastructures and services (including transport) in order to avoid and prevent the disruption of services and ensure business continuity. </w:t>
            </w:r>
            <w:r w:rsidRPr="58BAADD2">
              <w:rPr>
                <w:rFonts w:asciiTheme="minorHAnsi" w:eastAsia="DengXian" w:hAnsiTheme="minorHAnsi" w:cstheme="minorBidi"/>
                <w:lang w:eastAsia="zh-CN"/>
              </w:rPr>
              <w:t>To guarantee that all their citizens can benefit from smart cities development and that everyone can access the digital information, products and services equally and equitably, ITU is supporting members’ efforts in mainstreaming ICT/ digital accessibility also in this topic. To strengthen capacity of ITU members and stakeholders, ITU made freely available an online self-paced training strengthen Beyond smart cities = "Smart for all": Towards building inclusive and digitally accessible environments and communities to meet the needs of present and future generations. The training is available in English, French and Spanish and delivered in digitally accessible format. Video tutorials are also available in English with captioning in: English; French and Spanish;</w:t>
            </w:r>
          </w:p>
          <w:p w14:paraId="62865194" w14:textId="77777777" w:rsidR="00AF2830" w:rsidRPr="00D27063" w:rsidRDefault="00AF2830" w:rsidP="00DD0F2B">
            <w:pPr>
              <w:tabs>
                <w:tab w:val="clear" w:pos="567"/>
                <w:tab w:val="clear" w:pos="1134"/>
                <w:tab w:val="clear" w:pos="1701"/>
                <w:tab w:val="clear" w:pos="2268"/>
                <w:tab w:val="clear" w:pos="2835"/>
              </w:tabs>
              <w:overflowPunct/>
              <w:autoSpaceDE/>
              <w:autoSpaceDN/>
              <w:adjustRightInd/>
              <w:spacing w:after="120" w:line="259" w:lineRule="auto"/>
              <w:ind w:left="501" w:hanging="357"/>
              <w:jc w:val="both"/>
              <w:textAlignment w:val="auto"/>
              <w:rPr>
                <w:rFonts w:asciiTheme="minorHAnsi" w:eastAsia="DengXian" w:hAnsiTheme="minorHAnsi" w:cstheme="minorBidi"/>
                <w:lang w:eastAsia="zh-CN"/>
              </w:rPr>
            </w:pPr>
            <w:r w:rsidRPr="58BAADD2">
              <w:rPr>
                <w:rFonts w:eastAsia="DengXian" w:cstheme="minorBidi"/>
                <w:lang w:eastAsia="zh-CN"/>
              </w:rPr>
              <w:t>–</w:t>
            </w:r>
            <w:r>
              <w:tab/>
            </w:r>
            <w:r w:rsidRPr="58BAADD2">
              <w:rPr>
                <w:rFonts w:asciiTheme="minorHAnsi" w:eastAsia="DengXian" w:hAnsiTheme="minorHAnsi" w:cstheme="minorBidi"/>
                <w:lang w:eastAsia="zh-CN"/>
              </w:rPr>
              <w:t xml:space="preserve">ITU, in support of SDG target 11.3, has been working with </w:t>
            </w:r>
            <w:proofErr w:type="spellStart"/>
            <w:r w:rsidRPr="58BAADD2">
              <w:rPr>
                <w:rFonts w:asciiTheme="minorHAnsi" w:eastAsia="DengXian" w:hAnsiTheme="minorHAnsi" w:cstheme="minorBidi"/>
                <w:lang w:eastAsia="zh-CN"/>
              </w:rPr>
              <w:t>UNECE</w:t>
            </w:r>
            <w:proofErr w:type="spellEnd"/>
            <w:r w:rsidRPr="58BAADD2">
              <w:rPr>
                <w:rFonts w:asciiTheme="minorHAnsi" w:eastAsia="DengXian" w:hAnsiTheme="minorHAnsi" w:cstheme="minorBidi"/>
                <w:lang w:eastAsia="zh-CN"/>
              </w:rPr>
              <w:t xml:space="preserve"> to develop an internationally accepted definition for Smart Sustainable Cities (SSC). An extensive list of key performance indicators (</w:t>
            </w:r>
            <w:proofErr w:type="spellStart"/>
            <w:r w:rsidRPr="58BAADD2">
              <w:rPr>
                <w:rFonts w:asciiTheme="minorHAnsi" w:eastAsia="DengXian" w:hAnsiTheme="minorHAnsi" w:cstheme="minorBidi"/>
                <w:lang w:eastAsia="zh-CN"/>
              </w:rPr>
              <w:t>KPIs</w:t>
            </w:r>
            <w:proofErr w:type="spellEnd"/>
            <w:r w:rsidRPr="58BAADD2">
              <w:rPr>
                <w:rFonts w:asciiTheme="minorHAnsi" w:eastAsia="DengXian" w:hAnsiTheme="minorHAnsi" w:cstheme="minorBidi"/>
                <w:lang w:eastAsia="zh-CN"/>
              </w:rPr>
              <w:t>) for cities wishing to transition into SSC were developed;</w:t>
            </w:r>
          </w:p>
          <w:p w14:paraId="55F48FE1" w14:textId="77777777" w:rsidR="00AF2830" w:rsidRPr="00D27063" w:rsidRDefault="00AF2830" w:rsidP="00DD0F2B">
            <w:pPr>
              <w:tabs>
                <w:tab w:val="clear" w:pos="567"/>
                <w:tab w:val="clear" w:pos="1134"/>
                <w:tab w:val="clear" w:pos="1701"/>
                <w:tab w:val="clear" w:pos="2268"/>
                <w:tab w:val="clear" w:pos="2835"/>
              </w:tabs>
              <w:overflowPunct/>
              <w:autoSpaceDE/>
              <w:autoSpaceDN/>
              <w:adjustRightInd/>
              <w:spacing w:after="120" w:line="259" w:lineRule="auto"/>
              <w:ind w:left="501" w:hanging="357"/>
              <w:jc w:val="both"/>
              <w:textAlignment w:val="auto"/>
              <w:rPr>
                <w:rFonts w:asciiTheme="minorHAnsi" w:eastAsia="DengXian" w:hAnsiTheme="minorHAnsi" w:cstheme="minorBidi"/>
                <w:lang w:eastAsia="zh-CN"/>
              </w:rPr>
            </w:pPr>
            <w:r w:rsidRPr="58BAADD2">
              <w:rPr>
                <w:rFonts w:eastAsia="DengXian" w:cstheme="minorBidi"/>
                <w:lang w:eastAsia="zh-CN"/>
              </w:rPr>
              <w:t>–</w:t>
            </w:r>
            <w:r>
              <w:tab/>
            </w:r>
            <w:r w:rsidRPr="58BAADD2">
              <w:rPr>
                <w:rFonts w:asciiTheme="minorHAnsi" w:eastAsia="DengXian" w:hAnsiTheme="minorHAnsi" w:cstheme="minorBidi"/>
                <w:color w:val="000000" w:themeColor="text1"/>
                <w:lang w:eastAsia="zh-CN"/>
              </w:rPr>
              <w:t>ITU contributes to target 11.6 through work of on creating the Smart Society, which raises awareness and examines best practices for fostering and enabling deployment and use of smart devices, including mobile devices, contributing to the protection of property and persons; smart management of motor vehicle traffic; saving electrical energy; measuring the effects of environmental pollution; improving agricultural yield; management of healthcare and education; management and control of drinking water supplies; and solving the problems facing cities and rural areas, etc.</w:t>
            </w:r>
            <w:r w:rsidRPr="58BAADD2">
              <w:rPr>
                <w:rFonts w:asciiTheme="minorHAnsi" w:eastAsia="DengXian" w:hAnsiTheme="minorHAnsi" w:cstheme="minorBidi"/>
                <w:lang w:eastAsia="zh-CN"/>
              </w:rPr>
              <w:t xml:space="preserve"> ;</w:t>
            </w:r>
          </w:p>
          <w:p w14:paraId="224080E8" w14:textId="3233CD67" w:rsidR="00AF2830" w:rsidRPr="00D27063" w:rsidRDefault="00AF2830" w:rsidP="00DD0F2B">
            <w:pPr>
              <w:tabs>
                <w:tab w:val="clear" w:pos="567"/>
                <w:tab w:val="clear" w:pos="1134"/>
                <w:tab w:val="clear" w:pos="1701"/>
                <w:tab w:val="clear" w:pos="2268"/>
                <w:tab w:val="clear" w:pos="2835"/>
              </w:tabs>
              <w:overflowPunct/>
              <w:autoSpaceDE/>
              <w:autoSpaceDN/>
              <w:adjustRightInd/>
              <w:spacing w:after="120" w:line="259" w:lineRule="auto"/>
              <w:ind w:left="501" w:hanging="357"/>
              <w:jc w:val="both"/>
              <w:textAlignment w:val="auto"/>
              <w:rPr>
                <w:rFonts w:asciiTheme="minorHAnsi" w:eastAsia="DengXian" w:hAnsiTheme="minorHAnsi" w:cstheme="minorBidi"/>
                <w:lang w:eastAsia="zh-CN"/>
              </w:rPr>
            </w:pPr>
            <w:r w:rsidRPr="58BAADD2">
              <w:rPr>
                <w:rFonts w:eastAsia="DengXian" w:cstheme="minorBidi"/>
                <w:lang w:eastAsia="zh-CN"/>
              </w:rPr>
              <w:t>–</w:t>
            </w:r>
            <w:r>
              <w:tab/>
            </w:r>
            <w:r w:rsidRPr="58BAADD2">
              <w:rPr>
                <w:rFonts w:asciiTheme="minorHAnsi" w:eastAsia="DengXian" w:hAnsiTheme="minorHAnsi" w:cstheme="minorBidi"/>
                <w:color w:val="000000" w:themeColor="text1"/>
                <w:lang w:eastAsia="zh-CN"/>
              </w:rPr>
              <w:t xml:space="preserve">ITU contributes to targets 11.5 and </w:t>
            </w:r>
            <w:proofErr w:type="spellStart"/>
            <w:r w:rsidRPr="58BAADD2">
              <w:rPr>
                <w:rFonts w:asciiTheme="minorHAnsi" w:eastAsia="DengXian" w:hAnsiTheme="minorHAnsi" w:cstheme="minorBidi"/>
                <w:color w:val="000000" w:themeColor="text1"/>
                <w:lang w:eastAsia="zh-CN"/>
              </w:rPr>
              <w:t>11.b</w:t>
            </w:r>
            <w:proofErr w:type="spellEnd"/>
            <w:r w:rsidRPr="58BAADD2">
              <w:rPr>
                <w:rFonts w:asciiTheme="minorHAnsi" w:eastAsia="DengXian" w:hAnsiTheme="minorHAnsi" w:cstheme="minorBidi"/>
                <w:color w:val="000000" w:themeColor="text1"/>
                <w:lang w:eastAsia="zh-CN"/>
              </w:rPr>
              <w:t xml:space="preserve"> by implementing national emergency telecommunication plans that will help countries reduce vulnerability and enhance </w:t>
            </w:r>
            <w:r w:rsidRPr="58BAADD2">
              <w:rPr>
                <w:rFonts w:asciiTheme="minorHAnsi" w:eastAsia="DengXian" w:hAnsiTheme="minorHAnsi" w:cstheme="minorBidi"/>
                <w:lang w:eastAsia="zh-CN"/>
              </w:rPr>
              <w:t xml:space="preserve">resilience when disasters strike, as well as the establishment of early warning and monitoring systems to mitigate the effects of climate change. </w:t>
            </w:r>
          </w:p>
          <w:p w14:paraId="1F9E19C7" w14:textId="085BA543" w:rsidR="00AF2830" w:rsidRPr="00D27063" w:rsidRDefault="00AF2830" w:rsidP="00DD0F2B">
            <w:pPr>
              <w:tabs>
                <w:tab w:val="clear" w:pos="567"/>
                <w:tab w:val="clear" w:pos="1134"/>
                <w:tab w:val="clear" w:pos="1701"/>
                <w:tab w:val="clear" w:pos="2268"/>
                <w:tab w:val="clear" w:pos="2835"/>
              </w:tabs>
              <w:overflowPunct/>
              <w:autoSpaceDE/>
              <w:autoSpaceDN/>
              <w:adjustRightInd/>
              <w:spacing w:after="120" w:line="259" w:lineRule="auto"/>
              <w:ind w:left="501" w:hanging="360"/>
              <w:jc w:val="both"/>
              <w:textAlignment w:val="auto"/>
              <w:rPr>
                <w:rFonts w:asciiTheme="minorHAnsi" w:eastAsia="DengXian" w:hAnsiTheme="minorHAnsi" w:cstheme="minorBidi"/>
                <w:lang w:eastAsia="zh-CN"/>
              </w:rPr>
            </w:pPr>
            <w:r w:rsidRPr="58BAADD2">
              <w:rPr>
                <w:rFonts w:eastAsia="DengXian" w:cstheme="minorBidi"/>
                <w:lang w:eastAsia="zh-CN"/>
              </w:rPr>
              <w:t>–</w:t>
            </w:r>
            <w:r>
              <w:tab/>
            </w:r>
            <w:r w:rsidRPr="58BAADD2">
              <w:rPr>
                <w:rFonts w:asciiTheme="minorHAnsi" w:eastAsia="DengXian" w:hAnsiTheme="minorHAnsi" w:cstheme="minorBidi"/>
                <w:lang w:eastAsia="zh-CN"/>
              </w:rPr>
              <w:t>Under the UN Early Warnings for All (</w:t>
            </w:r>
            <w:proofErr w:type="spellStart"/>
            <w:r w:rsidRPr="58BAADD2">
              <w:rPr>
                <w:rFonts w:asciiTheme="minorHAnsi" w:eastAsia="DengXian" w:hAnsiTheme="minorHAnsi" w:cstheme="minorBidi"/>
                <w:lang w:eastAsia="zh-CN"/>
              </w:rPr>
              <w:t>EW4All</w:t>
            </w:r>
            <w:proofErr w:type="spellEnd"/>
            <w:r w:rsidRPr="58BAADD2">
              <w:rPr>
                <w:rFonts w:asciiTheme="minorHAnsi" w:eastAsia="DengXian" w:hAnsiTheme="minorHAnsi" w:cstheme="minorBidi"/>
                <w:lang w:eastAsia="zh-CN"/>
              </w:rPr>
              <w:t xml:space="preserve">) initiative, ITU leads Pillar 3 on Warning Dissemination and Communication. ITU has provided support to Member States in their efforts to strengthen the capacity to use ICTs to build effective early warning systems and save lives. In particular, ITU continued to advance the work on the implementation of the </w:t>
            </w:r>
            <w:proofErr w:type="spellStart"/>
            <w:r w:rsidRPr="58BAADD2">
              <w:rPr>
                <w:rFonts w:asciiTheme="minorHAnsi" w:eastAsia="DengXian" w:hAnsiTheme="minorHAnsi" w:cstheme="minorBidi"/>
                <w:lang w:eastAsia="zh-CN"/>
              </w:rPr>
              <w:t>EW4All</w:t>
            </w:r>
            <w:proofErr w:type="spellEnd"/>
            <w:r w:rsidRPr="58BAADD2">
              <w:rPr>
                <w:rFonts w:asciiTheme="minorHAnsi" w:eastAsia="DengXian" w:hAnsiTheme="minorHAnsi" w:cstheme="minorBidi"/>
                <w:lang w:eastAsia="zh-CN"/>
              </w:rPr>
              <w:t xml:space="preserve"> initiative through facilitation of technical, economic, and regulatory assessments for the implementation of Early Warning Systems (</w:t>
            </w:r>
            <w:proofErr w:type="spellStart"/>
            <w:r w:rsidRPr="58BAADD2">
              <w:rPr>
                <w:rFonts w:asciiTheme="minorHAnsi" w:eastAsia="DengXian" w:hAnsiTheme="minorHAnsi" w:cstheme="minorBidi"/>
                <w:lang w:eastAsia="zh-CN"/>
              </w:rPr>
              <w:t>EWS</w:t>
            </w:r>
            <w:proofErr w:type="spellEnd"/>
            <w:r w:rsidRPr="58BAADD2">
              <w:rPr>
                <w:rFonts w:asciiTheme="minorHAnsi" w:eastAsia="DengXian" w:hAnsiTheme="minorHAnsi" w:cstheme="minorBidi"/>
                <w:lang w:eastAsia="zh-CN"/>
              </w:rPr>
              <w:t xml:space="preserve">) focused the implementation of the Common Alerting Protocol (CAP), Cell Broadcast (CB) and Location Based SMS (LB-SMS) which continue to be key technologies to take </w:t>
            </w:r>
            <w:r w:rsidRPr="58BAADD2">
              <w:rPr>
                <w:rFonts w:asciiTheme="minorHAnsi" w:eastAsia="DengXian" w:hAnsiTheme="minorHAnsi" w:cstheme="minorBidi"/>
                <w:lang w:eastAsia="zh-CN"/>
              </w:rPr>
              <w:lastRenderedPageBreak/>
              <w:t>advantage of digital networks, services and mobile phones to disseminate alerts and to save lives and livelihoods;</w:t>
            </w:r>
          </w:p>
          <w:p w14:paraId="0F4FA470" w14:textId="71F3FC44" w:rsidR="00AF2830" w:rsidRPr="00D27063" w:rsidRDefault="00AF2830" w:rsidP="00DD0F2B">
            <w:pPr>
              <w:tabs>
                <w:tab w:val="clear" w:pos="567"/>
                <w:tab w:val="clear" w:pos="1134"/>
                <w:tab w:val="clear" w:pos="1701"/>
                <w:tab w:val="clear" w:pos="2268"/>
                <w:tab w:val="clear" w:pos="2835"/>
              </w:tabs>
              <w:overflowPunct/>
              <w:autoSpaceDE/>
              <w:autoSpaceDN/>
              <w:adjustRightInd/>
              <w:spacing w:after="120" w:line="259" w:lineRule="auto"/>
              <w:ind w:left="501" w:hanging="360"/>
              <w:jc w:val="both"/>
              <w:textAlignment w:val="auto"/>
              <w:rPr>
                <w:rFonts w:asciiTheme="minorHAnsi" w:eastAsia="DengXian" w:hAnsiTheme="minorHAnsi" w:cstheme="minorBidi"/>
                <w:lang w:eastAsia="zh-CN"/>
              </w:rPr>
            </w:pPr>
            <w:r w:rsidRPr="58BAADD2">
              <w:rPr>
                <w:rFonts w:eastAsia="DengXian" w:cstheme="minorBidi"/>
                <w:lang w:eastAsia="zh-CN"/>
              </w:rPr>
              <w:t>–</w:t>
            </w:r>
            <w:r>
              <w:tab/>
            </w:r>
            <w:r w:rsidRPr="58BAADD2">
              <w:rPr>
                <w:rFonts w:asciiTheme="minorHAnsi" w:eastAsia="DengXian" w:hAnsiTheme="minorHAnsi" w:cstheme="minorBidi"/>
                <w:lang w:eastAsia="zh-CN"/>
              </w:rPr>
              <w:t>ITU studies telecommunications for disaster relief/early warning, network resilience and recovery, and in support of SDG target 11.5, developed a Recommendation with requirements for safety confirmation and broadcast message service for disaster relief, which can realize public organizations’ business continuity plans (</w:t>
            </w:r>
            <w:proofErr w:type="spellStart"/>
            <w:r w:rsidRPr="58BAADD2">
              <w:rPr>
                <w:rFonts w:asciiTheme="minorHAnsi" w:eastAsia="DengXian" w:hAnsiTheme="minorHAnsi" w:cstheme="minorBidi"/>
                <w:lang w:eastAsia="zh-CN"/>
              </w:rPr>
              <w:t>BCP</w:t>
            </w:r>
            <w:proofErr w:type="spellEnd"/>
            <w:r w:rsidRPr="58BAADD2">
              <w:rPr>
                <w:rFonts w:asciiTheme="minorHAnsi" w:eastAsia="DengXian" w:hAnsiTheme="minorHAnsi" w:cstheme="minorBidi"/>
                <w:lang w:eastAsia="zh-CN"/>
              </w:rPr>
              <w:t xml:space="preserve">) and can, to the best of their ability, help protect lives and property during a disaster; </w:t>
            </w:r>
          </w:p>
          <w:p w14:paraId="7D64188D" w14:textId="3821AF6B" w:rsidR="00AF2830" w:rsidRPr="00D27063" w:rsidRDefault="00AF2830" w:rsidP="00DD0F2B">
            <w:pPr>
              <w:tabs>
                <w:tab w:val="clear" w:pos="567"/>
                <w:tab w:val="clear" w:pos="1134"/>
                <w:tab w:val="clear" w:pos="1701"/>
                <w:tab w:val="clear" w:pos="2268"/>
                <w:tab w:val="clear" w:pos="2835"/>
              </w:tabs>
              <w:overflowPunct/>
              <w:autoSpaceDE/>
              <w:autoSpaceDN/>
              <w:adjustRightInd/>
              <w:spacing w:after="120" w:line="259" w:lineRule="auto"/>
              <w:ind w:left="501" w:hanging="360"/>
              <w:jc w:val="both"/>
              <w:textAlignment w:val="auto"/>
              <w:rPr>
                <w:rFonts w:asciiTheme="minorHAnsi" w:eastAsia="DengXian" w:hAnsiTheme="minorHAnsi" w:cstheme="minorBidi"/>
                <w:lang w:eastAsia="zh-CN"/>
              </w:rPr>
            </w:pPr>
            <w:r w:rsidRPr="58BAADD2">
              <w:rPr>
                <w:rFonts w:eastAsia="DengXian" w:cstheme="minorBidi"/>
                <w:lang w:eastAsia="zh-CN"/>
              </w:rPr>
              <w:t>–</w:t>
            </w:r>
            <w:r>
              <w:tab/>
            </w:r>
            <w:r w:rsidRPr="58BAADD2">
              <w:rPr>
                <w:rFonts w:asciiTheme="minorHAnsi" w:eastAsia="DengXian" w:hAnsiTheme="minorHAnsi" w:cstheme="minorBidi"/>
                <w:lang w:eastAsia="zh-CN"/>
              </w:rPr>
              <w:t xml:space="preserve">ITU, in support of SDG target 11.5, studies appropriate ways to improve network resilience and recovery against disasters; </w:t>
            </w:r>
          </w:p>
          <w:p w14:paraId="040EDE73" w14:textId="7F53794E" w:rsidR="00AF2830" w:rsidRPr="00D27063" w:rsidRDefault="00AF2830" w:rsidP="00DD0F2B">
            <w:pPr>
              <w:tabs>
                <w:tab w:val="clear" w:pos="567"/>
                <w:tab w:val="clear" w:pos="1134"/>
                <w:tab w:val="clear" w:pos="1701"/>
                <w:tab w:val="clear" w:pos="2268"/>
                <w:tab w:val="clear" w:pos="2835"/>
              </w:tabs>
              <w:overflowPunct/>
              <w:autoSpaceDE/>
              <w:autoSpaceDN/>
              <w:adjustRightInd/>
              <w:spacing w:after="120" w:line="259" w:lineRule="auto"/>
              <w:ind w:left="501" w:hanging="357"/>
              <w:jc w:val="both"/>
              <w:textAlignment w:val="auto"/>
              <w:rPr>
                <w:rFonts w:asciiTheme="minorHAnsi" w:eastAsia="DengXian" w:hAnsiTheme="minorHAnsi" w:cstheme="minorBidi"/>
                <w:lang w:eastAsia="zh-CN"/>
              </w:rPr>
            </w:pPr>
            <w:r w:rsidRPr="58BAADD2">
              <w:rPr>
                <w:rFonts w:eastAsia="DengXian" w:cstheme="minorBidi"/>
                <w:lang w:eastAsia="zh-CN"/>
              </w:rPr>
              <w:t>–</w:t>
            </w:r>
            <w:r>
              <w:tab/>
            </w:r>
            <w:r w:rsidRPr="58BAADD2">
              <w:rPr>
                <w:rFonts w:asciiTheme="minorHAnsi" w:eastAsia="DengXian" w:hAnsiTheme="minorHAnsi" w:cstheme="minorBidi"/>
                <w:lang w:eastAsia="zh-CN"/>
              </w:rPr>
              <w:t xml:space="preserve">In support of SDG target 11.5, the Common Alerting Protocol (CAP) was standardized as a simple but general format for exchanging all-hazard emergency alerts and public warnings over all kinds of networks; </w:t>
            </w:r>
          </w:p>
          <w:p w14:paraId="497893C1" w14:textId="40619295" w:rsidR="00AF2830" w:rsidRPr="00D27063" w:rsidRDefault="00AF2830" w:rsidP="00DD0F2B">
            <w:pPr>
              <w:tabs>
                <w:tab w:val="clear" w:pos="567"/>
                <w:tab w:val="clear" w:pos="1134"/>
                <w:tab w:val="clear" w:pos="1701"/>
                <w:tab w:val="clear" w:pos="2268"/>
                <w:tab w:val="clear" w:pos="2835"/>
              </w:tabs>
              <w:overflowPunct/>
              <w:autoSpaceDE/>
              <w:autoSpaceDN/>
              <w:adjustRightInd/>
              <w:spacing w:after="120" w:line="259" w:lineRule="auto"/>
              <w:ind w:left="501" w:hanging="357"/>
              <w:jc w:val="both"/>
              <w:textAlignment w:val="auto"/>
              <w:rPr>
                <w:rFonts w:asciiTheme="minorHAnsi" w:eastAsia="DengXian" w:hAnsiTheme="minorHAnsi" w:cstheme="minorBidi"/>
                <w:lang w:eastAsia="zh-CN"/>
              </w:rPr>
            </w:pPr>
            <w:r w:rsidRPr="58BAADD2">
              <w:rPr>
                <w:rFonts w:eastAsia="DengXian" w:cstheme="minorBidi"/>
                <w:lang w:eastAsia="zh-CN"/>
              </w:rPr>
              <w:t>–</w:t>
            </w:r>
            <w:r>
              <w:tab/>
            </w:r>
            <w:r w:rsidRPr="58BAADD2">
              <w:rPr>
                <w:rFonts w:asciiTheme="minorHAnsi" w:eastAsia="DengXian" w:hAnsiTheme="minorHAnsi" w:cstheme="minorBidi"/>
                <w:lang w:eastAsia="zh-CN"/>
              </w:rPr>
              <w:t xml:space="preserve">ITU contributes to target 11.6 and indicator 11.6.1, including through the Global E-waste Statistics Partnership, by helping countries to improve the quality, collection and interpretation of e-waste data using an internationally adopted methodology. ITU is also supporting Member States in the development of environmentally sound national e-waste management regulation. This allows the management of e-waste in urban areas, improve collection and recycling rates, and overall reduce the amount of e-waste being generated; </w:t>
            </w:r>
          </w:p>
          <w:p w14:paraId="31C932DF" w14:textId="7A4131AC" w:rsidR="00AF2830" w:rsidRPr="00D27063" w:rsidRDefault="00AF2830" w:rsidP="00DD0F2B">
            <w:pPr>
              <w:ind w:left="494" w:hanging="360"/>
              <w:jc w:val="both"/>
              <w:rPr>
                <w:rFonts w:asciiTheme="minorHAnsi" w:eastAsia="DengXian" w:hAnsiTheme="minorHAnsi" w:cstheme="minorBidi"/>
                <w:color w:val="000000" w:themeColor="text1"/>
                <w:lang w:eastAsia="zh-CN"/>
              </w:rPr>
            </w:pPr>
            <w:r w:rsidRPr="58BAADD2">
              <w:rPr>
                <w:rFonts w:eastAsia="DengXian" w:cstheme="minorBidi"/>
                <w:color w:val="000000" w:themeColor="text1"/>
                <w:lang w:eastAsia="zh-CN"/>
              </w:rPr>
              <w:t>–</w:t>
            </w:r>
            <w:r>
              <w:tab/>
            </w:r>
            <w:r w:rsidRPr="58BAADD2">
              <w:rPr>
                <w:rFonts w:asciiTheme="minorHAnsi" w:eastAsia="DengXian" w:hAnsiTheme="minorHAnsi" w:cstheme="minorBidi"/>
                <w:color w:val="000000" w:themeColor="text1"/>
                <w:lang w:eastAsia="zh-CN"/>
              </w:rPr>
              <w:t xml:space="preserve">As most e-waste will be generated in cities, it is particularly important to properly manage e-waste in urban areas, improve collection and recycling rates, and to reduce the amount of e-waste that ends up in dumpsites. In contribution to Target 11.6, provided advisory and drafting services and technical assistance resulting in the issuance of a national e-waste regulation, in line with the General Law of Integral Management and Co-processing of Solid Waste. </w:t>
            </w:r>
          </w:p>
          <w:p w14:paraId="0EB17419" w14:textId="59908227" w:rsidR="00AF2830" w:rsidRPr="00D27063" w:rsidRDefault="00AF2830" w:rsidP="00DD0F2B">
            <w:pPr>
              <w:ind w:left="450" w:hanging="450"/>
              <w:jc w:val="both"/>
              <w:rPr>
                <w:rFonts w:asciiTheme="minorHAnsi" w:eastAsia="DengXian" w:hAnsiTheme="minorHAnsi" w:cstheme="minorBidi"/>
                <w:color w:val="000000" w:themeColor="text1"/>
                <w:lang w:eastAsia="zh-CN"/>
              </w:rPr>
            </w:pPr>
            <w:r w:rsidRPr="58BAADD2">
              <w:rPr>
                <w:rFonts w:eastAsia="DengXian" w:cstheme="minorBidi"/>
                <w:color w:val="000000" w:themeColor="text1"/>
                <w:lang w:eastAsia="zh-CN"/>
              </w:rPr>
              <w:t>–</w:t>
            </w:r>
            <w:r w:rsidR="00155FF8">
              <w:rPr>
                <w:rFonts w:eastAsia="DengXian" w:cstheme="minorBidi"/>
                <w:color w:val="000000" w:themeColor="text1"/>
                <w:lang w:eastAsia="zh-CN"/>
              </w:rPr>
              <w:tab/>
            </w:r>
            <w:r w:rsidRPr="58BAADD2">
              <w:rPr>
                <w:rFonts w:asciiTheme="minorHAnsi" w:eastAsia="DengXian" w:hAnsiTheme="minorHAnsi" w:cstheme="minorBidi"/>
                <w:color w:val="000000" w:themeColor="text1"/>
                <w:lang w:eastAsia="zh-CN"/>
              </w:rPr>
              <w:t xml:space="preserve">Furthermore, the ITU has strengthened the policy framework for the environmentally sound management of e-waste in Malawi through a concerted policy drafting and consultation process. This led to the official launch of the national e-waste management policy. </w:t>
            </w:r>
          </w:p>
          <w:p w14:paraId="48BFA9D0" w14:textId="387191DD" w:rsidR="00AF2830" w:rsidRPr="00D27063" w:rsidRDefault="00AF2830" w:rsidP="00DD0F2B">
            <w:pPr>
              <w:ind w:left="450" w:hanging="450"/>
              <w:jc w:val="both"/>
              <w:rPr>
                <w:rFonts w:asciiTheme="minorHAnsi" w:eastAsia="DengXian" w:hAnsiTheme="minorHAnsi" w:cstheme="minorBidi"/>
                <w:color w:val="000000" w:themeColor="text1"/>
                <w:lang w:eastAsia="zh-CN"/>
              </w:rPr>
            </w:pPr>
            <w:r w:rsidRPr="58BAADD2">
              <w:rPr>
                <w:rFonts w:eastAsia="DengXian" w:cstheme="minorBidi"/>
                <w:color w:val="000000" w:themeColor="text1"/>
                <w:lang w:eastAsia="zh-CN"/>
              </w:rPr>
              <w:t>–</w:t>
            </w:r>
            <w:r w:rsidR="00155FF8">
              <w:rPr>
                <w:rFonts w:eastAsia="DengXian" w:cstheme="minorBidi"/>
                <w:color w:val="000000" w:themeColor="text1"/>
                <w:lang w:eastAsia="zh-CN"/>
              </w:rPr>
              <w:tab/>
            </w:r>
            <w:r w:rsidRPr="58BAADD2">
              <w:rPr>
                <w:rFonts w:asciiTheme="minorHAnsi" w:eastAsia="DengXian" w:hAnsiTheme="minorHAnsi" w:cstheme="minorBidi"/>
                <w:color w:val="000000" w:themeColor="text1"/>
                <w:lang w:eastAsia="zh-CN"/>
              </w:rPr>
              <w:t xml:space="preserve">ITU has provided similar capacity building and technical assistance for both government and electronics industry players in Botswana, Burundi, Seychelles, Namibia, Niger, Mongolia and Uganda. Such support has led to an increased understanding of the policymaking process, key provisions of e-waste regulation and more capacity for government and industry to develop effective legal frameworks and to implement these efficiently. A draft decree, resolution and implementation guidelines for the post-consumer management system of electronics have been prepared in Paraguay, through close consultation with stakeholders. In addition to regulatory development, in Paraguay ITU has carried out an analysis of the cost of e-waste management and has determined collection targets and potential EPR fees for producers. These core elements of the e-waste management system have helped the government with having more comprehensive information to support the implementation of the decree once approved. A similar study has been undertaken in Indonesia, Thailand and in Zambia where analysis of the cost of e-waste management </w:t>
            </w:r>
            <w:r w:rsidRPr="58BAADD2">
              <w:rPr>
                <w:rFonts w:asciiTheme="minorHAnsi" w:eastAsia="DengXian" w:hAnsiTheme="minorHAnsi" w:cstheme="minorBidi"/>
                <w:color w:val="000000" w:themeColor="text1"/>
                <w:lang w:eastAsia="zh-CN"/>
              </w:rPr>
              <w:lastRenderedPageBreak/>
              <w:t xml:space="preserve">has been done with local e-waste recycling companies. Like with the other countries, these three aforementioned countries have received advisory services and technical assistance from ITU, either through directly drafting regulations or through issuing policy recommendations. </w:t>
            </w:r>
          </w:p>
          <w:p w14:paraId="7BE27C62" w14:textId="25371506" w:rsidR="00AF2830" w:rsidRPr="00D27063" w:rsidRDefault="00AF2830" w:rsidP="00DD0F2B">
            <w:pPr>
              <w:ind w:left="450" w:hanging="450"/>
              <w:jc w:val="both"/>
              <w:rPr>
                <w:rFonts w:asciiTheme="minorHAnsi" w:eastAsia="DengXian" w:hAnsiTheme="minorHAnsi" w:cstheme="minorBidi"/>
                <w:color w:val="000000"/>
                <w:lang w:eastAsia="zh-CN"/>
              </w:rPr>
            </w:pPr>
            <w:r w:rsidRPr="58BAADD2">
              <w:rPr>
                <w:rFonts w:eastAsia="DengXian" w:cstheme="minorBidi"/>
                <w:color w:val="000000" w:themeColor="text1"/>
                <w:lang w:eastAsia="zh-CN"/>
              </w:rPr>
              <w:t>–</w:t>
            </w:r>
            <w:r w:rsidR="00155FF8">
              <w:rPr>
                <w:rFonts w:eastAsia="DengXian" w:cstheme="minorBidi"/>
                <w:color w:val="000000" w:themeColor="text1"/>
                <w:lang w:eastAsia="zh-CN"/>
              </w:rPr>
              <w:tab/>
            </w:r>
            <w:r w:rsidRPr="58BAADD2">
              <w:rPr>
                <w:rFonts w:asciiTheme="minorHAnsi" w:eastAsia="DengXian" w:hAnsiTheme="minorHAnsi" w:cstheme="minorBidi"/>
                <w:color w:val="000000" w:themeColor="text1"/>
                <w:lang w:eastAsia="zh-CN"/>
              </w:rPr>
              <w:t>Beyond technical assistance, advisory services and awareness, ITU has delivered specific capacity building activities. There have been 2 global trainings, delivered through the ITU Academy. The second edition of the toolkit on Policy Practices for E-waste Management was launched in 2025. This toolkit guides national and local government policymakers in developing an effective, inclusive and fair e-waste management system based on the EPR principle. In addition to the toolkit, ITU guidance on Circular and Sustainable Public Procurement for ICTs has been produced. The guide sets out the systems and process requirements for ICT procurement in a way that supports the transition to circular and sustainable system solutions. ITU also has a suite of online self-paced courses related to e-waste management on the ITU Academy.</w:t>
            </w:r>
          </w:p>
          <w:p w14:paraId="3ACAA40D" w14:textId="77777777" w:rsidR="00AF2830" w:rsidRPr="00D27063" w:rsidRDefault="00AF2830" w:rsidP="00DD0F2B">
            <w:pPr>
              <w:tabs>
                <w:tab w:val="clear" w:pos="567"/>
                <w:tab w:val="clear" w:pos="1134"/>
                <w:tab w:val="clear" w:pos="1701"/>
                <w:tab w:val="clear" w:pos="2268"/>
                <w:tab w:val="clear" w:pos="2835"/>
              </w:tabs>
              <w:overflowPunct/>
              <w:autoSpaceDE/>
              <w:autoSpaceDN/>
              <w:adjustRightInd/>
              <w:spacing w:after="120" w:line="259" w:lineRule="auto"/>
              <w:ind w:left="501" w:hanging="360"/>
              <w:jc w:val="both"/>
              <w:textAlignment w:val="auto"/>
              <w:rPr>
                <w:rFonts w:asciiTheme="minorHAnsi" w:eastAsia="DengXian" w:hAnsiTheme="minorHAnsi" w:cstheme="minorBidi"/>
                <w:lang w:eastAsia="zh-CN"/>
              </w:rPr>
            </w:pPr>
            <w:r w:rsidRPr="58BAADD2">
              <w:rPr>
                <w:rFonts w:eastAsia="DengXian" w:cstheme="minorBidi"/>
                <w:lang w:eastAsia="zh-CN"/>
              </w:rPr>
              <w:t>–</w:t>
            </w:r>
            <w:r>
              <w:tab/>
            </w:r>
            <w:r w:rsidRPr="58BAADD2">
              <w:rPr>
                <w:rFonts w:asciiTheme="minorHAnsi" w:eastAsia="DengXian" w:hAnsiTheme="minorHAnsi" w:cstheme="minorBidi"/>
                <w:lang w:eastAsia="zh-CN"/>
              </w:rPr>
              <w:t>ITU standards supporting the Internet of Things (IoT) will assist both developed and developing countries in transforming city infrastructure, benefiting from the efficiencies of intelligent buildings and transportation systems. In support of SDG target 11.2, ITU is involved in several smart city pilot projects (with cities including Wuxi, Manizales, Dubai, Singapore, Santiago de Chile, Montevideo, and Rimini) to measure the smartness and sustainability of the participating city. The pilot projects are also expected to generate inputs for the refinement of these key performance indicators (</w:t>
            </w:r>
            <w:proofErr w:type="spellStart"/>
            <w:r w:rsidRPr="58BAADD2">
              <w:rPr>
                <w:rFonts w:asciiTheme="minorHAnsi" w:eastAsia="DengXian" w:hAnsiTheme="minorHAnsi" w:cstheme="minorBidi"/>
                <w:lang w:eastAsia="zh-CN"/>
              </w:rPr>
              <w:t>KPIs</w:t>
            </w:r>
            <w:proofErr w:type="spellEnd"/>
            <w:r w:rsidRPr="58BAADD2">
              <w:rPr>
                <w:rFonts w:asciiTheme="minorHAnsi" w:eastAsia="DengXian" w:hAnsiTheme="minorHAnsi" w:cstheme="minorBidi"/>
                <w:lang w:eastAsia="zh-CN"/>
              </w:rPr>
              <w:t xml:space="preserve">); </w:t>
            </w:r>
          </w:p>
          <w:p w14:paraId="0B0468A8" w14:textId="4D2E50D5" w:rsidR="00AF2830" w:rsidRPr="00D27063" w:rsidRDefault="00AF2830" w:rsidP="00DD0F2B">
            <w:pPr>
              <w:tabs>
                <w:tab w:val="clear" w:pos="567"/>
                <w:tab w:val="clear" w:pos="1134"/>
                <w:tab w:val="clear" w:pos="1701"/>
                <w:tab w:val="clear" w:pos="2268"/>
                <w:tab w:val="clear" w:pos="2835"/>
              </w:tabs>
              <w:overflowPunct/>
              <w:autoSpaceDE/>
              <w:autoSpaceDN/>
              <w:adjustRightInd/>
              <w:spacing w:after="120" w:line="259" w:lineRule="auto"/>
              <w:ind w:left="501" w:hanging="360"/>
              <w:jc w:val="both"/>
              <w:textAlignment w:val="auto"/>
              <w:rPr>
                <w:rFonts w:asciiTheme="minorHAnsi" w:eastAsia="DengXian" w:hAnsiTheme="minorHAnsi" w:cstheme="minorBidi"/>
                <w:lang w:eastAsia="zh-CN"/>
              </w:rPr>
            </w:pPr>
            <w:r w:rsidRPr="58BAADD2">
              <w:rPr>
                <w:rFonts w:eastAsia="DengXian" w:cstheme="minorBidi"/>
                <w:lang w:eastAsia="zh-CN"/>
              </w:rPr>
              <w:t>–</w:t>
            </w:r>
            <w:r>
              <w:tab/>
            </w:r>
            <w:r w:rsidRPr="58BAADD2">
              <w:rPr>
                <w:rFonts w:asciiTheme="minorHAnsi" w:eastAsia="DengXian" w:hAnsiTheme="minorHAnsi" w:cstheme="minorBidi"/>
                <w:lang w:eastAsia="zh-CN"/>
              </w:rPr>
              <w:t xml:space="preserve">Policy and strategy advice in building inclusive digital environments were also included in the face-to-face executive training in ICT/digital accessibility delivered to ITU members and policy and decision makers within the Accessible – ICT for all regional knowledge development platforms; </w:t>
            </w:r>
          </w:p>
          <w:p w14:paraId="432FB804" w14:textId="04DFEA6D" w:rsidR="00AF2830" w:rsidRPr="00D27063" w:rsidRDefault="00AF2830" w:rsidP="00DD0F2B">
            <w:pPr>
              <w:tabs>
                <w:tab w:val="clear" w:pos="567"/>
                <w:tab w:val="clear" w:pos="1134"/>
                <w:tab w:val="clear" w:pos="1701"/>
                <w:tab w:val="clear" w:pos="2268"/>
                <w:tab w:val="clear" w:pos="2835"/>
              </w:tabs>
              <w:overflowPunct/>
              <w:autoSpaceDE/>
              <w:autoSpaceDN/>
              <w:adjustRightInd/>
              <w:spacing w:after="120" w:line="259" w:lineRule="auto"/>
              <w:ind w:left="501" w:hanging="360"/>
              <w:jc w:val="both"/>
              <w:textAlignment w:val="auto"/>
              <w:rPr>
                <w:rFonts w:asciiTheme="minorHAnsi" w:eastAsia="DengXian" w:hAnsiTheme="minorHAnsi" w:cstheme="minorBidi"/>
                <w:lang w:eastAsia="zh-CN"/>
              </w:rPr>
            </w:pPr>
            <w:r w:rsidRPr="58BAADD2">
              <w:rPr>
                <w:rFonts w:eastAsia="DengXian" w:cstheme="minorBidi"/>
                <w:lang w:eastAsia="zh-CN"/>
              </w:rPr>
              <w:t>–</w:t>
            </w:r>
            <w:r>
              <w:tab/>
            </w:r>
            <w:r w:rsidRPr="58BAADD2">
              <w:rPr>
                <w:rFonts w:asciiTheme="minorHAnsi" w:eastAsia="DengXian" w:hAnsiTheme="minorHAnsi" w:cstheme="minorBidi"/>
                <w:lang w:eastAsia="zh-CN"/>
              </w:rPr>
              <w:t xml:space="preserve">ITU studies telecommunication/ICT accessibility for persons with disabilities, and in support of SDG target 11.2, has developed a Recommendation which explains how audio-based network navigation systems can be designed to ensure that they are inclusive and meet the needs of persons with visual impairments; </w:t>
            </w:r>
          </w:p>
          <w:p w14:paraId="18B35A21" w14:textId="1D31126B" w:rsidR="00AF2830" w:rsidRPr="00D27063" w:rsidRDefault="00AF2830" w:rsidP="00DD0F2B">
            <w:pPr>
              <w:tabs>
                <w:tab w:val="clear" w:pos="567"/>
                <w:tab w:val="clear" w:pos="1134"/>
                <w:tab w:val="clear" w:pos="1701"/>
                <w:tab w:val="clear" w:pos="2268"/>
                <w:tab w:val="clear" w:pos="2835"/>
              </w:tabs>
              <w:overflowPunct/>
              <w:autoSpaceDE/>
              <w:autoSpaceDN/>
              <w:adjustRightInd/>
              <w:spacing w:after="120" w:line="259" w:lineRule="auto"/>
              <w:ind w:left="501" w:hanging="360"/>
              <w:jc w:val="both"/>
              <w:textAlignment w:val="auto"/>
              <w:rPr>
                <w:rFonts w:asciiTheme="minorHAnsi" w:eastAsia="DengXian" w:hAnsiTheme="minorHAnsi" w:cstheme="minorBidi"/>
                <w:lang w:eastAsia="zh-CN"/>
              </w:rPr>
            </w:pPr>
            <w:r w:rsidRPr="58BAADD2">
              <w:rPr>
                <w:rFonts w:eastAsia="DengXian" w:cstheme="minorBidi"/>
                <w:lang w:eastAsia="zh-CN"/>
              </w:rPr>
              <w:t>–</w:t>
            </w:r>
            <w:r>
              <w:tab/>
            </w:r>
            <w:r w:rsidRPr="58BAADD2">
              <w:rPr>
                <w:rFonts w:asciiTheme="minorHAnsi" w:eastAsia="DengXian" w:hAnsiTheme="minorHAnsi" w:cstheme="minorBidi"/>
                <w:lang w:eastAsia="zh-CN"/>
              </w:rPr>
              <w:t>ITU's Radiocommunication Sector (ITU-R) promotes accessible wireless technological development to improve the accessibility of ICTs and to reduce the digital disabilities divide. It supports the advancement of a global disability-inclusive agenda for radiocommunication and broadcasting matters;</w:t>
            </w:r>
          </w:p>
          <w:p w14:paraId="33957450" w14:textId="7E9C5CE6" w:rsidR="00AF2830" w:rsidRPr="00D27063" w:rsidRDefault="00AF2830" w:rsidP="00DD0F2B">
            <w:pPr>
              <w:tabs>
                <w:tab w:val="clear" w:pos="567"/>
                <w:tab w:val="clear" w:pos="1134"/>
                <w:tab w:val="clear" w:pos="1701"/>
                <w:tab w:val="clear" w:pos="2268"/>
                <w:tab w:val="clear" w:pos="2835"/>
              </w:tabs>
              <w:overflowPunct/>
              <w:autoSpaceDE/>
              <w:autoSpaceDN/>
              <w:adjustRightInd/>
              <w:spacing w:after="120" w:line="259" w:lineRule="auto"/>
              <w:ind w:left="501" w:hanging="360"/>
              <w:jc w:val="both"/>
              <w:textAlignment w:val="auto"/>
              <w:rPr>
                <w:rFonts w:asciiTheme="minorHAnsi" w:eastAsia="DengXian" w:hAnsiTheme="minorHAnsi" w:cstheme="minorBidi"/>
                <w:lang w:eastAsia="zh-CN"/>
              </w:rPr>
            </w:pPr>
            <w:r w:rsidRPr="58BAADD2">
              <w:rPr>
                <w:rFonts w:eastAsia="DengXian" w:cstheme="minorBidi"/>
                <w:lang w:eastAsia="zh-CN"/>
              </w:rPr>
              <w:t>–</w:t>
            </w:r>
            <w:r>
              <w:tab/>
            </w:r>
            <w:r w:rsidRPr="58BAADD2">
              <w:rPr>
                <w:rFonts w:asciiTheme="minorHAnsi" w:eastAsia="DengXian" w:hAnsiTheme="minorHAnsi" w:cstheme="minorBidi"/>
                <w:lang w:eastAsia="zh-CN"/>
              </w:rPr>
              <w:t>A wide number of publications aiming at improving the accessibility for people with disabilities and specific needs have been published and they address several accessible matters, including hearing disabilities; sight impairment; aging audience and receiver user-friendliness;</w:t>
            </w:r>
          </w:p>
          <w:p w14:paraId="079BF01E" w14:textId="77777777" w:rsidR="00AF2830" w:rsidRPr="00D27063" w:rsidRDefault="00AF2830" w:rsidP="00DD0F2B">
            <w:pPr>
              <w:tabs>
                <w:tab w:val="clear" w:pos="567"/>
                <w:tab w:val="clear" w:pos="1134"/>
                <w:tab w:val="clear" w:pos="1701"/>
                <w:tab w:val="clear" w:pos="2268"/>
                <w:tab w:val="clear" w:pos="2835"/>
              </w:tabs>
              <w:overflowPunct/>
              <w:autoSpaceDE/>
              <w:autoSpaceDN/>
              <w:adjustRightInd/>
              <w:spacing w:after="120" w:line="259" w:lineRule="auto"/>
              <w:ind w:left="501" w:hanging="360"/>
              <w:jc w:val="both"/>
              <w:textAlignment w:val="auto"/>
              <w:rPr>
                <w:rFonts w:asciiTheme="minorHAnsi" w:eastAsia="DengXian" w:hAnsiTheme="minorHAnsi" w:cstheme="minorBidi"/>
                <w:lang w:eastAsia="zh-CN"/>
              </w:rPr>
            </w:pPr>
            <w:r w:rsidRPr="58BAADD2">
              <w:rPr>
                <w:rFonts w:eastAsia="DengXian" w:cstheme="minorBidi"/>
                <w:lang w:eastAsia="zh-CN"/>
              </w:rPr>
              <w:t>–</w:t>
            </w:r>
            <w:r>
              <w:tab/>
            </w:r>
            <w:r w:rsidRPr="58BAADD2">
              <w:rPr>
                <w:rFonts w:asciiTheme="minorHAnsi" w:eastAsia="DengXian" w:hAnsiTheme="minorHAnsi" w:cstheme="minorBidi"/>
                <w:lang w:eastAsia="zh-CN"/>
              </w:rPr>
              <w:t xml:space="preserve"> The potential of using artificial intelligence (AI) for accessibility, for example, automation of content recognition, including speech to text and text to speech; </w:t>
            </w:r>
            <w:r w:rsidRPr="58BAADD2">
              <w:rPr>
                <w:rFonts w:asciiTheme="minorHAnsi" w:eastAsia="DengXian" w:hAnsiTheme="minorHAnsi" w:cstheme="minorBidi"/>
                <w:lang w:eastAsia="zh-CN"/>
              </w:rPr>
              <w:lastRenderedPageBreak/>
              <w:t>dialogue tools for audio description; object and scene recognition are also addressed in some ITU-R Recommendations and ITU-R Reports;</w:t>
            </w:r>
          </w:p>
          <w:p w14:paraId="04575437" w14:textId="326E1B85" w:rsidR="00AF2830" w:rsidRPr="00D27063" w:rsidRDefault="00AF2830" w:rsidP="00DD0F2B">
            <w:pPr>
              <w:tabs>
                <w:tab w:val="clear" w:pos="567"/>
                <w:tab w:val="clear" w:pos="1134"/>
                <w:tab w:val="clear" w:pos="1701"/>
                <w:tab w:val="clear" w:pos="2268"/>
                <w:tab w:val="clear" w:pos="2835"/>
              </w:tabs>
              <w:overflowPunct/>
              <w:autoSpaceDE/>
              <w:autoSpaceDN/>
              <w:adjustRightInd/>
              <w:spacing w:after="120" w:line="259" w:lineRule="auto"/>
              <w:ind w:left="501" w:hanging="360"/>
              <w:jc w:val="both"/>
              <w:textAlignment w:val="auto"/>
              <w:rPr>
                <w:rFonts w:asciiTheme="minorHAnsi" w:eastAsia="DengXian" w:hAnsiTheme="minorHAnsi" w:cstheme="minorBidi"/>
                <w:lang w:eastAsia="zh-CN"/>
              </w:rPr>
            </w:pPr>
            <w:r w:rsidRPr="58BAADD2">
              <w:rPr>
                <w:rFonts w:eastAsia="DengXian" w:cstheme="minorBidi"/>
                <w:lang w:eastAsia="zh-CN"/>
              </w:rPr>
              <w:t>–</w:t>
            </w:r>
            <w:r>
              <w:tab/>
            </w:r>
            <w:r w:rsidRPr="58BAADD2">
              <w:rPr>
                <w:rFonts w:asciiTheme="minorHAnsi" w:eastAsia="DengXian" w:hAnsiTheme="minorHAnsi" w:cstheme="minorBidi"/>
                <w:lang w:eastAsia="zh-CN"/>
              </w:rPr>
              <w:t>Short-range device (</w:t>
            </w:r>
            <w:proofErr w:type="spellStart"/>
            <w:r w:rsidRPr="58BAADD2">
              <w:rPr>
                <w:rFonts w:asciiTheme="minorHAnsi" w:eastAsia="DengXian" w:hAnsiTheme="minorHAnsi" w:cstheme="minorBidi"/>
                <w:lang w:eastAsia="zh-CN"/>
              </w:rPr>
              <w:t>SDR</w:t>
            </w:r>
            <w:proofErr w:type="spellEnd"/>
            <w:r w:rsidRPr="58BAADD2">
              <w:rPr>
                <w:rFonts w:asciiTheme="minorHAnsi" w:eastAsia="DengXian" w:hAnsiTheme="minorHAnsi" w:cstheme="minorBidi"/>
                <w:lang w:eastAsia="zh-CN"/>
              </w:rPr>
              <w:t>) applications include bands designated for industrial, scientific and medical (ISM) applications and bands not designated for ISM applications. SRDs may create the potential for harmful interference to radiocommunication services, and some of them can be carried by individuals across national boundaries</w:t>
            </w:r>
            <w:r w:rsidR="00155FF8">
              <w:rPr>
                <w:rFonts w:asciiTheme="minorHAnsi" w:eastAsia="DengXian" w:hAnsiTheme="minorHAnsi" w:cstheme="minorBidi"/>
                <w:lang w:eastAsia="zh-CN"/>
              </w:rPr>
              <w:t>;</w:t>
            </w:r>
          </w:p>
          <w:p w14:paraId="254686FE" w14:textId="6E48503D" w:rsidR="00AF2830" w:rsidRPr="00D27063" w:rsidRDefault="00AF2830" w:rsidP="00DD0F2B">
            <w:pPr>
              <w:tabs>
                <w:tab w:val="clear" w:pos="567"/>
                <w:tab w:val="clear" w:pos="1134"/>
                <w:tab w:val="clear" w:pos="1701"/>
                <w:tab w:val="clear" w:pos="2268"/>
                <w:tab w:val="clear" w:pos="2835"/>
              </w:tabs>
              <w:overflowPunct/>
              <w:autoSpaceDE/>
              <w:autoSpaceDN/>
              <w:adjustRightInd/>
              <w:spacing w:after="120" w:line="259" w:lineRule="auto"/>
              <w:ind w:left="501" w:hanging="360"/>
              <w:jc w:val="both"/>
              <w:textAlignment w:val="auto"/>
              <w:rPr>
                <w:rFonts w:asciiTheme="minorHAnsi" w:eastAsia="DengXian" w:hAnsiTheme="minorHAnsi" w:cstheme="minorBidi"/>
                <w:lang w:eastAsia="zh-CN"/>
              </w:rPr>
            </w:pPr>
            <w:r w:rsidRPr="58BAADD2">
              <w:rPr>
                <w:rFonts w:eastAsia="DengXian" w:cstheme="minorBidi"/>
                <w:color w:val="000000" w:themeColor="text1"/>
                <w:lang w:eastAsia="zh-CN"/>
              </w:rPr>
              <w:t>–</w:t>
            </w:r>
            <w:r w:rsidR="00155FF8">
              <w:rPr>
                <w:rFonts w:eastAsia="DengXian" w:cstheme="minorBidi"/>
                <w:color w:val="000000" w:themeColor="text1"/>
                <w:lang w:eastAsia="zh-CN"/>
              </w:rPr>
              <w:tab/>
            </w:r>
            <w:r w:rsidRPr="58BAADD2">
              <w:rPr>
                <w:rFonts w:asciiTheme="minorHAnsi" w:eastAsia="DengXian" w:hAnsiTheme="minorHAnsi" w:cstheme="minorBidi"/>
                <w:lang w:eastAsia="zh-CN"/>
              </w:rPr>
              <w:t>ITU-R Study Groups have produced Recommendations that provide frequency ranges to be used as recommended ranges for SRD applications requiring operation on a global or regional harmonized basis, including a new harmonized band for “Telecoil Replacement Systems (TRS) for persons with hearing disabilities. They have also published ITU-R Reports that set out common technical and non-technical parameters for short-range radiocommunication devices including wireless applications in healthcare, such as hearing aid, guiding system for the blind and medical implant communications systems (MICS);</w:t>
            </w:r>
          </w:p>
          <w:p w14:paraId="1DB57CEA" w14:textId="673B3051" w:rsidR="00AF2830" w:rsidRPr="00D27063" w:rsidRDefault="00AF2830" w:rsidP="00DD0F2B">
            <w:pPr>
              <w:tabs>
                <w:tab w:val="clear" w:pos="567"/>
                <w:tab w:val="clear" w:pos="1134"/>
                <w:tab w:val="clear" w:pos="1701"/>
                <w:tab w:val="clear" w:pos="2268"/>
                <w:tab w:val="clear" w:pos="2835"/>
              </w:tabs>
              <w:overflowPunct/>
              <w:autoSpaceDE/>
              <w:autoSpaceDN/>
              <w:adjustRightInd/>
              <w:spacing w:after="120" w:line="259" w:lineRule="auto"/>
              <w:ind w:left="501" w:hanging="360"/>
              <w:jc w:val="both"/>
              <w:textAlignment w:val="auto"/>
              <w:rPr>
                <w:rFonts w:asciiTheme="minorHAnsi" w:eastAsia="DengXian" w:hAnsiTheme="minorHAnsi" w:cstheme="minorBidi"/>
                <w:lang w:eastAsia="zh-CN"/>
              </w:rPr>
            </w:pPr>
            <w:r w:rsidRPr="58BAADD2">
              <w:rPr>
                <w:rFonts w:eastAsia="DengXian" w:cstheme="minorBidi"/>
                <w:lang w:eastAsia="zh-CN"/>
              </w:rPr>
              <w:t>–</w:t>
            </w:r>
            <w:r>
              <w:tab/>
            </w:r>
            <w:r w:rsidRPr="58BAADD2">
              <w:rPr>
                <w:rFonts w:asciiTheme="minorHAnsi" w:eastAsia="DengXian" w:hAnsiTheme="minorHAnsi" w:cstheme="minorBidi"/>
                <w:lang w:eastAsia="zh-CN"/>
              </w:rPr>
              <w:t xml:space="preserve">ITU in support of SDG target 11.2 has developed a number of Recommendations on Internet of things (IoT), ubiquitous sensor networks, IoT-based web-of-things, key performance indicators for smart sustainable cities, inter alia, giving general guidance to cities and provides </w:t>
            </w:r>
            <w:proofErr w:type="spellStart"/>
            <w:r w:rsidRPr="58BAADD2">
              <w:rPr>
                <w:rFonts w:asciiTheme="minorHAnsi" w:eastAsia="DengXian" w:hAnsiTheme="minorHAnsi" w:cstheme="minorBidi"/>
                <w:lang w:eastAsia="zh-CN"/>
              </w:rPr>
              <w:t>KPIs</w:t>
            </w:r>
            <w:proofErr w:type="spellEnd"/>
            <w:r w:rsidRPr="58BAADD2">
              <w:rPr>
                <w:rFonts w:asciiTheme="minorHAnsi" w:eastAsia="DengXian" w:hAnsiTheme="minorHAnsi" w:cstheme="minorBidi"/>
                <w:lang w:eastAsia="zh-CN"/>
              </w:rPr>
              <w:t xml:space="preserve"> for smart sustainable cities to help cities achieve Sustainable Development Goals (SDGs), as well as on infrastructure and services for smart sustainable cities; </w:t>
            </w:r>
          </w:p>
          <w:p w14:paraId="5685F127" w14:textId="45229B20" w:rsidR="00AF2830" w:rsidRPr="00D27063" w:rsidRDefault="00AF2830" w:rsidP="00DD0F2B">
            <w:pPr>
              <w:tabs>
                <w:tab w:val="clear" w:pos="567"/>
                <w:tab w:val="clear" w:pos="1134"/>
                <w:tab w:val="clear" w:pos="1701"/>
                <w:tab w:val="clear" w:pos="2268"/>
                <w:tab w:val="clear" w:pos="2835"/>
              </w:tabs>
              <w:overflowPunct/>
              <w:autoSpaceDE/>
              <w:autoSpaceDN/>
              <w:adjustRightInd/>
              <w:spacing w:after="120" w:line="259" w:lineRule="auto"/>
              <w:ind w:left="501" w:hanging="360"/>
              <w:jc w:val="both"/>
              <w:textAlignment w:val="auto"/>
              <w:rPr>
                <w:rFonts w:asciiTheme="minorHAnsi" w:eastAsia="DengXian" w:hAnsiTheme="minorHAnsi" w:cstheme="minorBidi"/>
                <w:lang w:eastAsia="zh-CN"/>
              </w:rPr>
            </w:pPr>
            <w:r w:rsidRPr="58BAADD2">
              <w:rPr>
                <w:rFonts w:eastAsia="DengXian" w:cstheme="minorBidi"/>
                <w:lang w:eastAsia="zh-CN"/>
              </w:rPr>
              <w:t>–</w:t>
            </w:r>
            <w:r>
              <w:tab/>
            </w:r>
            <w:r w:rsidRPr="58BAADD2">
              <w:rPr>
                <w:rFonts w:asciiTheme="minorHAnsi" w:eastAsia="DengXian" w:hAnsiTheme="minorHAnsi" w:cstheme="minorBidi"/>
                <w:lang w:eastAsia="zh-CN"/>
              </w:rPr>
              <w:t xml:space="preserve">Similarly, responsible for IoT security and in support of SDG target 11.2, ITU has developed a Recommendation on a simple encryption procedure for Internet of things (IoT) environments; </w:t>
            </w:r>
          </w:p>
          <w:p w14:paraId="6B813E55" w14:textId="5BA60459" w:rsidR="00AF2830" w:rsidRPr="00D27063" w:rsidRDefault="00AF2830" w:rsidP="00DD0F2B">
            <w:pPr>
              <w:tabs>
                <w:tab w:val="clear" w:pos="567"/>
                <w:tab w:val="clear" w:pos="1134"/>
                <w:tab w:val="clear" w:pos="1701"/>
                <w:tab w:val="clear" w:pos="2268"/>
                <w:tab w:val="clear" w:pos="2835"/>
              </w:tabs>
              <w:overflowPunct/>
              <w:autoSpaceDE/>
              <w:autoSpaceDN/>
              <w:adjustRightInd/>
              <w:spacing w:after="120" w:line="259" w:lineRule="auto"/>
              <w:ind w:left="501" w:hanging="360"/>
              <w:jc w:val="both"/>
              <w:textAlignment w:val="auto"/>
              <w:rPr>
                <w:rFonts w:asciiTheme="minorHAnsi" w:eastAsia="DengXian" w:hAnsiTheme="minorHAnsi" w:cstheme="minorBidi"/>
                <w:lang w:eastAsia="zh-CN"/>
              </w:rPr>
            </w:pPr>
            <w:r w:rsidRPr="58BAADD2">
              <w:rPr>
                <w:rFonts w:eastAsia="DengXian" w:cstheme="minorBidi"/>
                <w:lang w:eastAsia="zh-CN"/>
              </w:rPr>
              <w:t>–</w:t>
            </w:r>
            <w:r>
              <w:tab/>
            </w:r>
            <w:r w:rsidRPr="58BAADD2">
              <w:rPr>
                <w:rFonts w:asciiTheme="minorHAnsi" w:eastAsia="DengXian" w:hAnsiTheme="minorHAnsi" w:cstheme="minorBidi"/>
                <w:lang w:eastAsia="zh-CN"/>
              </w:rPr>
              <w:t xml:space="preserve">ITU, in support of SDG target </w:t>
            </w:r>
            <w:proofErr w:type="spellStart"/>
            <w:r w:rsidRPr="58BAADD2">
              <w:rPr>
                <w:rFonts w:asciiTheme="minorHAnsi" w:eastAsia="DengXian" w:hAnsiTheme="minorHAnsi" w:cstheme="minorBidi"/>
                <w:lang w:eastAsia="zh-CN"/>
              </w:rPr>
              <w:t>11b</w:t>
            </w:r>
            <w:proofErr w:type="spellEnd"/>
            <w:r w:rsidRPr="58BAADD2">
              <w:rPr>
                <w:rFonts w:asciiTheme="minorHAnsi" w:eastAsia="DengXian" w:hAnsiTheme="minorHAnsi" w:cstheme="minorBidi"/>
                <w:lang w:eastAsia="zh-CN"/>
              </w:rPr>
              <w:t xml:space="preserve">, is developing Recommendations to reduce the environmental impact of ICT and how Internet of Things can be applied for the sustainable growth of communities. In the area of emergency communications, a number of Recommendations have been developed for call priority schemes that ensure that relief workers can get communication lines when they need to, whether using traditional or next generation communication networks. Complementary to the need to provide call priority during emergencies is the ability to deliver warnings to users, and standards are fundamental to ensure that warnings are delivered in a timely way, uncorrupted from the source to the end users – no matter how they can be reached;  </w:t>
            </w:r>
          </w:p>
          <w:p w14:paraId="58412290" w14:textId="0B01AF7D" w:rsidR="00AF2830" w:rsidRPr="00D27063" w:rsidRDefault="00AF2830" w:rsidP="00DD0F2B">
            <w:pPr>
              <w:tabs>
                <w:tab w:val="clear" w:pos="567"/>
                <w:tab w:val="clear" w:pos="1134"/>
                <w:tab w:val="clear" w:pos="1701"/>
                <w:tab w:val="clear" w:pos="2268"/>
                <w:tab w:val="clear" w:pos="2835"/>
              </w:tabs>
              <w:overflowPunct/>
              <w:autoSpaceDE/>
              <w:autoSpaceDN/>
              <w:adjustRightInd/>
              <w:spacing w:after="120" w:line="259" w:lineRule="auto"/>
              <w:ind w:left="501" w:hanging="360"/>
              <w:jc w:val="both"/>
              <w:textAlignment w:val="auto"/>
              <w:rPr>
                <w:rFonts w:asciiTheme="minorHAnsi" w:eastAsia="DengXian" w:hAnsiTheme="minorHAnsi" w:cstheme="minorBidi"/>
                <w:lang w:eastAsia="zh-CN"/>
              </w:rPr>
            </w:pPr>
            <w:r w:rsidRPr="58BAADD2">
              <w:rPr>
                <w:rFonts w:eastAsia="DengXian" w:cstheme="minorBidi"/>
                <w:lang w:eastAsia="zh-CN"/>
              </w:rPr>
              <w:t>–</w:t>
            </w:r>
            <w:r>
              <w:tab/>
            </w:r>
            <w:r w:rsidRPr="58BAADD2">
              <w:rPr>
                <w:rFonts w:asciiTheme="minorHAnsi" w:eastAsia="DengXian" w:hAnsiTheme="minorHAnsi" w:cstheme="minorBidi"/>
                <w:lang w:eastAsia="zh-CN"/>
              </w:rPr>
              <w:t xml:space="preserve">In support of SDG target </w:t>
            </w:r>
            <w:proofErr w:type="spellStart"/>
            <w:r w:rsidRPr="58BAADD2">
              <w:rPr>
                <w:rFonts w:asciiTheme="minorHAnsi" w:eastAsia="DengXian" w:hAnsiTheme="minorHAnsi" w:cstheme="minorBidi"/>
                <w:lang w:eastAsia="zh-CN"/>
              </w:rPr>
              <w:t>11.b</w:t>
            </w:r>
            <w:proofErr w:type="spellEnd"/>
            <w:r w:rsidRPr="58BAADD2">
              <w:rPr>
                <w:rFonts w:asciiTheme="minorHAnsi" w:eastAsia="DengXian" w:hAnsiTheme="minorHAnsi" w:cstheme="minorBidi"/>
                <w:lang w:eastAsia="zh-CN"/>
              </w:rPr>
              <w:t xml:space="preserve">, is developing Recommendations to reduce the environmental impact of ICT and how Internet of Things can be applied for the sustainable growth of communities. In the area of emergency communications, several Recommendations have been developed for call priority schemes that ensure that relief workers can get communication lines when they need to, whether using traditional or next generation communication networks. Complementary to the need to provide call priority during emergencies is the ability to deliver warnings to users, </w:t>
            </w:r>
            <w:r w:rsidRPr="58BAADD2">
              <w:rPr>
                <w:rFonts w:asciiTheme="minorHAnsi" w:eastAsia="DengXian" w:hAnsiTheme="minorHAnsi" w:cstheme="minorBidi"/>
                <w:lang w:eastAsia="zh-CN"/>
              </w:rPr>
              <w:lastRenderedPageBreak/>
              <w:t xml:space="preserve">and standards are fundamental to ensure that warnings are delivered in a timely way, uncorrupted from the source to the end users – no matter how they can be reached; </w:t>
            </w:r>
          </w:p>
          <w:p w14:paraId="55D7C681" w14:textId="14AF64EA" w:rsidR="00AF2830" w:rsidRPr="00D27063" w:rsidRDefault="00AF2830" w:rsidP="00DD0F2B">
            <w:pPr>
              <w:tabs>
                <w:tab w:val="clear" w:pos="567"/>
                <w:tab w:val="clear" w:pos="1134"/>
                <w:tab w:val="clear" w:pos="1701"/>
                <w:tab w:val="clear" w:pos="2268"/>
                <w:tab w:val="clear" w:pos="2835"/>
              </w:tabs>
              <w:overflowPunct/>
              <w:autoSpaceDE/>
              <w:autoSpaceDN/>
              <w:adjustRightInd/>
              <w:spacing w:after="120" w:line="259" w:lineRule="auto"/>
              <w:ind w:left="501" w:hanging="360"/>
              <w:jc w:val="both"/>
              <w:textAlignment w:val="auto"/>
              <w:rPr>
                <w:rFonts w:asciiTheme="minorHAnsi" w:eastAsia="DengXian" w:hAnsiTheme="minorHAnsi" w:cstheme="minorBidi"/>
                <w:lang w:eastAsia="zh-CN"/>
              </w:rPr>
            </w:pPr>
            <w:r w:rsidRPr="58BAADD2">
              <w:rPr>
                <w:rFonts w:eastAsia="DengXian" w:cstheme="minorBidi"/>
                <w:lang w:eastAsia="zh-CN"/>
              </w:rPr>
              <w:t>–</w:t>
            </w:r>
            <w:r>
              <w:tab/>
            </w:r>
            <w:r w:rsidRPr="58BAADD2">
              <w:rPr>
                <w:rFonts w:asciiTheme="minorHAnsi" w:eastAsia="DengXian" w:hAnsiTheme="minorHAnsi" w:cstheme="minorBidi"/>
                <w:lang w:eastAsia="zh-CN"/>
              </w:rPr>
              <w:t xml:space="preserve">ITS-GNSS, radars, IoT for road, railway, aviation and maritime transport are all enabled by the activities of ITU on spectrum regulations and standards and their promotion. Earth Exploration satellites, Sound and Television broadcasting and broadband mobile, as enabled by ITU, contribute to the protection of the world’s cultural and natural heritage; </w:t>
            </w:r>
          </w:p>
          <w:p w14:paraId="51E714AF" w14:textId="27BF1F14" w:rsidR="00AF2830" w:rsidRPr="00D27063" w:rsidRDefault="00AF2830" w:rsidP="00DD0F2B">
            <w:pPr>
              <w:tabs>
                <w:tab w:val="clear" w:pos="567"/>
                <w:tab w:val="clear" w:pos="1134"/>
                <w:tab w:val="clear" w:pos="1701"/>
                <w:tab w:val="clear" w:pos="2268"/>
                <w:tab w:val="clear" w:pos="2835"/>
              </w:tabs>
              <w:overflowPunct/>
              <w:autoSpaceDE/>
              <w:autoSpaceDN/>
              <w:adjustRightInd/>
              <w:spacing w:after="120" w:line="259" w:lineRule="auto"/>
              <w:ind w:left="501" w:hanging="360"/>
              <w:jc w:val="both"/>
              <w:textAlignment w:val="auto"/>
              <w:rPr>
                <w:rFonts w:asciiTheme="minorHAnsi" w:eastAsia="DengXian" w:hAnsiTheme="minorHAnsi" w:cstheme="minorBidi"/>
                <w:color w:val="000000"/>
                <w:lang w:eastAsia="zh-CN"/>
              </w:rPr>
            </w:pPr>
            <w:r w:rsidRPr="58BAADD2">
              <w:rPr>
                <w:rFonts w:eastAsia="DengXian" w:cstheme="minorBidi"/>
                <w:color w:val="000000" w:themeColor="text1"/>
                <w:lang w:eastAsia="zh-CN"/>
              </w:rPr>
              <w:t>–</w:t>
            </w:r>
            <w:r>
              <w:tab/>
            </w:r>
            <w:r w:rsidRPr="58BAADD2">
              <w:rPr>
                <w:rFonts w:asciiTheme="minorHAnsi" w:eastAsia="DengXian" w:hAnsiTheme="minorHAnsi" w:cstheme="minorBidi"/>
                <w:lang w:eastAsia="zh-CN"/>
              </w:rPr>
              <w:t xml:space="preserve">By managing spectrum resources and developing standards and best practices on radiocommunications, ITU contributes to ensure more accurate weather predictions, climate change monitoring and mitigation, public protection and disaster relief, as well as search and rescue, thus increasing resilience to disasters and reducing the losses caused by disasters; </w:t>
            </w:r>
          </w:p>
          <w:p w14:paraId="291164E7" w14:textId="6A181356" w:rsidR="00AF2830" w:rsidRPr="00D27063" w:rsidRDefault="00AF2830" w:rsidP="00DD0F2B">
            <w:pPr>
              <w:tabs>
                <w:tab w:val="clear" w:pos="567"/>
                <w:tab w:val="clear" w:pos="1134"/>
                <w:tab w:val="clear" w:pos="1701"/>
                <w:tab w:val="clear" w:pos="2268"/>
                <w:tab w:val="clear" w:pos="2835"/>
              </w:tabs>
              <w:overflowPunct/>
              <w:autoSpaceDE/>
              <w:autoSpaceDN/>
              <w:adjustRightInd/>
              <w:spacing w:after="120" w:line="259" w:lineRule="auto"/>
              <w:ind w:left="501" w:hanging="360"/>
              <w:jc w:val="both"/>
              <w:textAlignment w:val="auto"/>
              <w:rPr>
                <w:rFonts w:asciiTheme="minorHAnsi" w:eastAsia="DengXian" w:hAnsiTheme="minorHAnsi" w:cstheme="minorBidi"/>
                <w:lang w:eastAsia="zh-CN"/>
              </w:rPr>
            </w:pPr>
            <w:r w:rsidRPr="58BAADD2">
              <w:rPr>
                <w:rFonts w:eastAsia="DengXian" w:cstheme="minorBidi"/>
                <w:lang w:eastAsia="zh-CN"/>
              </w:rPr>
              <w:t>–</w:t>
            </w:r>
            <w:r>
              <w:tab/>
            </w:r>
            <w:r w:rsidRPr="58BAADD2">
              <w:rPr>
                <w:rFonts w:asciiTheme="minorHAnsi" w:eastAsia="DengXian" w:hAnsiTheme="minorHAnsi" w:cstheme="minorBidi"/>
                <w:lang w:eastAsia="zh-CN"/>
              </w:rPr>
              <w:t>ITU-R Study Groups keep carrying out studies about the current and possible future use of International Mobile Telecommunications (IMT) in support of broadband public protection and disaster relief (</w:t>
            </w:r>
            <w:proofErr w:type="spellStart"/>
            <w:r w:rsidRPr="58BAADD2">
              <w:rPr>
                <w:rFonts w:asciiTheme="minorHAnsi" w:eastAsia="DengXian" w:hAnsiTheme="minorHAnsi" w:cstheme="minorBidi"/>
                <w:lang w:eastAsia="zh-CN"/>
              </w:rPr>
              <w:t>PPDR</w:t>
            </w:r>
            <w:proofErr w:type="spellEnd"/>
            <w:r w:rsidRPr="58BAADD2">
              <w:rPr>
                <w:rFonts w:asciiTheme="minorHAnsi" w:eastAsia="DengXian" w:hAnsiTheme="minorHAnsi" w:cstheme="minorBidi"/>
                <w:lang w:eastAsia="zh-CN"/>
              </w:rPr>
              <w:t xml:space="preserve">) communications. Some ITU-R Reports also provide examples for deploying IMT for </w:t>
            </w:r>
            <w:proofErr w:type="spellStart"/>
            <w:r w:rsidRPr="58BAADD2">
              <w:rPr>
                <w:rFonts w:asciiTheme="minorHAnsi" w:eastAsia="DengXian" w:hAnsiTheme="minorHAnsi" w:cstheme="minorBidi"/>
                <w:lang w:eastAsia="zh-CN"/>
              </w:rPr>
              <w:t>PPDR</w:t>
            </w:r>
            <w:proofErr w:type="spellEnd"/>
            <w:r w:rsidRPr="58BAADD2">
              <w:rPr>
                <w:rFonts w:asciiTheme="minorHAnsi" w:eastAsia="DengXian" w:hAnsiTheme="minorHAnsi" w:cstheme="minorBidi"/>
                <w:lang w:eastAsia="zh-CN"/>
              </w:rPr>
              <w:t xml:space="preserve"> applications and related case studies;</w:t>
            </w:r>
          </w:p>
          <w:p w14:paraId="1B58B7E7" w14:textId="28EF39F3" w:rsidR="00AF2830" w:rsidRPr="00D27063" w:rsidRDefault="00AF2830" w:rsidP="00DD0F2B">
            <w:pPr>
              <w:tabs>
                <w:tab w:val="clear" w:pos="567"/>
                <w:tab w:val="clear" w:pos="1134"/>
                <w:tab w:val="clear" w:pos="1701"/>
                <w:tab w:val="clear" w:pos="2268"/>
                <w:tab w:val="clear" w:pos="2835"/>
              </w:tabs>
              <w:overflowPunct/>
              <w:autoSpaceDE/>
              <w:autoSpaceDN/>
              <w:adjustRightInd/>
              <w:spacing w:after="120" w:line="259" w:lineRule="auto"/>
              <w:ind w:left="501" w:hanging="360"/>
              <w:jc w:val="both"/>
              <w:textAlignment w:val="auto"/>
              <w:rPr>
                <w:rFonts w:asciiTheme="minorHAnsi" w:eastAsia="DengXian" w:hAnsiTheme="minorHAnsi" w:cstheme="minorBidi"/>
                <w:color w:val="000000"/>
                <w:lang w:eastAsia="zh-CN"/>
              </w:rPr>
            </w:pPr>
            <w:r w:rsidRPr="58BAADD2">
              <w:rPr>
                <w:rFonts w:eastAsia="DengXian" w:cstheme="minorBidi"/>
                <w:color w:val="000000" w:themeColor="text1"/>
                <w:lang w:eastAsia="zh-CN"/>
              </w:rPr>
              <w:t>–</w:t>
            </w:r>
            <w:r>
              <w:tab/>
            </w:r>
            <w:r w:rsidRPr="58BAADD2">
              <w:rPr>
                <w:rFonts w:asciiTheme="minorHAnsi" w:eastAsia="DengXian" w:hAnsiTheme="minorHAnsi" w:cstheme="minorBidi"/>
                <w:lang w:eastAsia="zh-CN"/>
              </w:rPr>
              <w:t>For many decades, terrestrial and satellite broadcasting systems have been the primary source of critical information to the public in the event of disasters, playing a critically important role in disseminating information to the public in times of emergencies. Hence, ITU-R Study Groups continue to develop ITU-R Reports and ITU</w:t>
            </w:r>
            <w:r w:rsidR="00155FF8">
              <w:rPr>
                <w:rFonts w:asciiTheme="minorHAnsi" w:eastAsia="DengXian" w:hAnsiTheme="minorHAnsi" w:cstheme="minorBidi"/>
                <w:lang w:eastAsia="zh-CN"/>
              </w:rPr>
              <w:noBreakHyphen/>
            </w:r>
            <w:r w:rsidRPr="58BAADD2">
              <w:rPr>
                <w:rFonts w:asciiTheme="minorHAnsi" w:eastAsia="DengXian" w:hAnsiTheme="minorHAnsi" w:cstheme="minorBidi"/>
                <w:lang w:eastAsia="zh-CN"/>
              </w:rPr>
              <w:t>R Recommendations that show how the existing broadcast infrastructure is used to support emergency communications. They also describe new broadcasting techniques and systems for distributing emergency information as well as the role of international broadcasting for disaster relief;</w:t>
            </w:r>
          </w:p>
          <w:p w14:paraId="3593E56C" w14:textId="7C8EE4CF" w:rsidR="00AF2830" w:rsidRPr="00D27063" w:rsidRDefault="00AF2830" w:rsidP="00DD0F2B">
            <w:pPr>
              <w:tabs>
                <w:tab w:val="clear" w:pos="567"/>
                <w:tab w:val="clear" w:pos="1134"/>
                <w:tab w:val="clear" w:pos="1701"/>
                <w:tab w:val="clear" w:pos="2268"/>
                <w:tab w:val="clear" w:pos="2835"/>
              </w:tabs>
              <w:overflowPunct/>
              <w:autoSpaceDE/>
              <w:autoSpaceDN/>
              <w:adjustRightInd/>
              <w:spacing w:after="120" w:line="259" w:lineRule="auto"/>
              <w:ind w:left="501" w:hanging="360"/>
              <w:jc w:val="both"/>
              <w:textAlignment w:val="auto"/>
              <w:rPr>
                <w:rFonts w:asciiTheme="minorHAnsi" w:eastAsia="DengXian" w:hAnsiTheme="minorHAnsi" w:cstheme="minorBidi"/>
                <w:color w:val="000000"/>
                <w:lang w:eastAsia="zh-CN"/>
              </w:rPr>
            </w:pPr>
            <w:r w:rsidRPr="58BAADD2">
              <w:rPr>
                <w:rFonts w:eastAsia="DengXian" w:cstheme="minorBidi"/>
                <w:color w:val="000000" w:themeColor="text1"/>
                <w:lang w:eastAsia="zh-CN"/>
              </w:rPr>
              <w:t>–</w:t>
            </w:r>
            <w:r>
              <w:tab/>
            </w:r>
            <w:r w:rsidRPr="58BAADD2">
              <w:rPr>
                <w:rFonts w:asciiTheme="minorHAnsi" w:eastAsia="Calibri" w:hAnsiTheme="minorHAnsi" w:cstheme="minorBidi"/>
                <w:color w:val="000000" w:themeColor="text1"/>
                <w:lang w:eastAsia="zh-CN"/>
              </w:rPr>
              <w:t>SMART Seas -This project sets out to preserve the lives of highly vulnerable small-</w:t>
            </w:r>
            <w:r w:rsidRPr="58BAADD2">
              <w:rPr>
                <w:rFonts w:asciiTheme="minorHAnsi" w:eastAsia="DengXian" w:hAnsiTheme="minorHAnsi" w:cstheme="minorBidi"/>
                <w:lang w:eastAsia="zh-CN"/>
              </w:rPr>
              <w:t xml:space="preserve"> </w:t>
            </w:r>
            <w:r w:rsidRPr="58BAADD2">
              <w:rPr>
                <w:rFonts w:asciiTheme="minorHAnsi" w:eastAsia="DengXian" w:hAnsiTheme="minorHAnsi" w:cstheme="minorBidi"/>
                <w:color w:val="000000" w:themeColor="text1"/>
                <w:lang w:eastAsia="zh-CN"/>
              </w:rPr>
              <w:t xml:space="preserve">scale fishers in the Caribbean through improved emergency communications at sea; </w:t>
            </w:r>
          </w:p>
          <w:p w14:paraId="05D5252C" w14:textId="10ECDFA0" w:rsidR="00AF2830" w:rsidRPr="00D27063" w:rsidRDefault="00AF2830" w:rsidP="00DD0F2B">
            <w:pPr>
              <w:ind w:left="494" w:hanging="360"/>
              <w:jc w:val="both"/>
              <w:rPr>
                <w:lang w:eastAsia="zh-CN"/>
              </w:rPr>
            </w:pPr>
            <w:r w:rsidRPr="58BAADD2">
              <w:rPr>
                <w:rFonts w:eastAsia="Calibri" w:cs="Arial"/>
                <w:lang w:eastAsia="zh-CN"/>
              </w:rPr>
              <w:t>–</w:t>
            </w:r>
            <w:r>
              <w:tab/>
            </w:r>
            <w:r w:rsidRPr="58BAADD2">
              <w:rPr>
                <w:rFonts w:asciiTheme="minorHAnsi" w:eastAsia="DengXian" w:hAnsiTheme="minorHAnsi" w:cstheme="minorBidi"/>
                <w:color w:val="000000" w:themeColor="text1"/>
                <w:lang w:eastAsia="zh-CN"/>
              </w:rPr>
              <w:t>The 1</w:t>
            </w:r>
            <w:r w:rsidRPr="00155FF8">
              <w:rPr>
                <w:rFonts w:asciiTheme="minorHAnsi" w:eastAsia="DengXian" w:hAnsiTheme="minorHAnsi" w:cstheme="minorBidi"/>
                <w:color w:val="000000" w:themeColor="text1"/>
                <w:vertAlign w:val="superscript"/>
                <w:lang w:eastAsia="zh-CN"/>
              </w:rPr>
              <w:t>st</w:t>
            </w:r>
            <w:r w:rsidRPr="58BAADD2">
              <w:rPr>
                <w:rFonts w:asciiTheme="minorHAnsi" w:eastAsia="DengXian" w:hAnsiTheme="minorHAnsi" w:cstheme="minorBidi"/>
                <w:color w:val="000000" w:themeColor="text1"/>
                <w:lang w:eastAsia="zh-CN"/>
              </w:rPr>
              <w:t xml:space="preserve"> UN </w:t>
            </w:r>
            <w:proofErr w:type="spellStart"/>
            <w:r w:rsidRPr="58BAADD2">
              <w:rPr>
                <w:rFonts w:asciiTheme="minorHAnsi" w:eastAsia="DengXian" w:hAnsiTheme="minorHAnsi" w:cstheme="minorBidi"/>
                <w:color w:val="000000" w:themeColor="text1"/>
                <w:lang w:eastAsia="zh-CN"/>
              </w:rPr>
              <w:t>Citiverse</w:t>
            </w:r>
            <w:proofErr w:type="spellEnd"/>
            <w:r w:rsidRPr="58BAADD2">
              <w:rPr>
                <w:rFonts w:asciiTheme="minorHAnsi" w:eastAsia="DengXian" w:hAnsiTheme="minorHAnsi" w:cstheme="minorBidi"/>
                <w:color w:val="000000" w:themeColor="text1"/>
                <w:lang w:eastAsia="zh-CN"/>
              </w:rPr>
              <w:t xml:space="preserve"> Challenge was co-organized in 2025 by ITU, </w:t>
            </w:r>
            <w:proofErr w:type="spellStart"/>
            <w:r w:rsidRPr="58BAADD2">
              <w:rPr>
                <w:rFonts w:asciiTheme="minorHAnsi" w:eastAsia="DengXian" w:hAnsiTheme="minorHAnsi" w:cstheme="minorBidi"/>
                <w:color w:val="000000" w:themeColor="text1"/>
                <w:lang w:eastAsia="zh-CN"/>
              </w:rPr>
              <w:t>UNICC</w:t>
            </w:r>
            <w:proofErr w:type="spellEnd"/>
            <w:r w:rsidRPr="58BAADD2">
              <w:rPr>
                <w:rFonts w:asciiTheme="minorHAnsi" w:eastAsia="DengXian" w:hAnsiTheme="minorHAnsi" w:cstheme="minorBidi"/>
                <w:color w:val="000000" w:themeColor="text1"/>
                <w:lang w:eastAsia="zh-CN"/>
              </w:rPr>
              <w:t xml:space="preserve">, </w:t>
            </w:r>
            <w:proofErr w:type="spellStart"/>
            <w:r w:rsidRPr="58BAADD2">
              <w:rPr>
                <w:rFonts w:asciiTheme="minorHAnsi" w:eastAsia="DengXian" w:hAnsiTheme="minorHAnsi" w:cstheme="minorBidi"/>
                <w:color w:val="000000" w:themeColor="text1"/>
                <w:lang w:eastAsia="zh-CN"/>
              </w:rPr>
              <w:t>ITCILO</w:t>
            </w:r>
            <w:proofErr w:type="spellEnd"/>
            <w:r w:rsidRPr="58BAADD2">
              <w:rPr>
                <w:rFonts w:asciiTheme="minorHAnsi" w:eastAsia="DengXian" w:hAnsiTheme="minorHAnsi" w:cstheme="minorBidi"/>
                <w:color w:val="000000" w:themeColor="text1"/>
                <w:lang w:eastAsia="zh-CN"/>
              </w:rPr>
              <w:t xml:space="preserve">, WIPO, FAO, the World Bank Group, UN Tourism, UNICEF, </w:t>
            </w:r>
            <w:proofErr w:type="spellStart"/>
            <w:r w:rsidRPr="58BAADD2">
              <w:rPr>
                <w:rFonts w:asciiTheme="minorHAnsi" w:eastAsia="DengXian" w:hAnsiTheme="minorHAnsi" w:cstheme="minorBidi"/>
                <w:color w:val="000000" w:themeColor="text1"/>
                <w:lang w:eastAsia="zh-CN"/>
              </w:rPr>
              <w:t>UNECE</w:t>
            </w:r>
            <w:proofErr w:type="spellEnd"/>
            <w:r w:rsidRPr="58BAADD2">
              <w:rPr>
                <w:rFonts w:asciiTheme="minorHAnsi" w:eastAsia="DengXian" w:hAnsiTheme="minorHAnsi" w:cstheme="minorBidi"/>
                <w:color w:val="000000" w:themeColor="text1"/>
                <w:lang w:eastAsia="zh-CN"/>
              </w:rPr>
              <w:t xml:space="preserve">, Digital Dubai, </w:t>
            </w:r>
            <w:proofErr w:type="spellStart"/>
            <w:r w:rsidRPr="58BAADD2">
              <w:rPr>
                <w:rFonts w:asciiTheme="minorHAnsi" w:eastAsia="DengXian" w:hAnsiTheme="minorHAnsi" w:cstheme="minorBidi"/>
                <w:color w:val="000000" w:themeColor="text1"/>
                <w:lang w:eastAsia="zh-CN"/>
              </w:rPr>
              <w:t>OASC</w:t>
            </w:r>
            <w:proofErr w:type="spellEnd"/>
            <w:r w:rsidRPr="58BAADD2">
              <w:rPr>
                <w:rFonts w:asciiTheme="minorHAnsi" w:eastAsia="DengXian" w:hAnsiTheme="minorHAnsi" w:cstheme="minorBidi"/>
                <w:color w:val="000000" w:themeColor="text1"/>
                <w:lang w:eastAsia="zh-CN"/>
              </w:rPr>
              <w:t xml:space="preserve">, World Smart Sustainable Cities Organization, City of Tampere, City of Valencia, University of Birmingham, </w:t>
            </w:r>
            <w:proofErr w:type="spellStart"/>
            <w:r w:rsidRPr="58BAADD2">
              <w:rPr>
                <w:rFonts w:asciiTheme="minorHAnsi" w:eastAsia="DengXian" w:hAnsiTheme="minorHAnsi" w:cstheme="minorBidi"/>
                <w:color w:val="000000" w:themeColor="text1"/>
                <w:lang w:eastAsia="zh-CN"/>
              </w:rPr>
              <w:t>Universitat</w:t>
            </w:r>
            <w:proofErr w:type="spellEnd"/>
            <w:r w:rsidRPr="58BAADD2">
              <w:rPr>
                <w:rFonts w:asciiTheme="minorHAnsi" w:eastAsia="DengXian" w:hAnsiTheme="minorHAnsi" w:cstheme="minorBidi"/>
                <w:color w:val="000000" w:themeColor="text1"/>
                <w:lang w:eastAsia="zh-CN"/>
              </w:rPr>
              <w:t xml:space="preserve"> </w:t>
            </w:r>
            <w:proofErr w:type="spellStart"/>
            <w:r w:rsidRPr="58BAADD2">
              <w:rPr>
                <w:rFonts w:asciiTheme="minorHAnsi" w:eastAsia="DengXian" w:hAnsiTheme="minorHAnsi" w:cstheme="minorBidi"/>
                <w:color w:val="000000" w:themeColor="text1"/>
                <w:lang w:eastAsia="zh-CN"/>
              </w:rPr>
              <w:t>Autònoma</w:t>
            </w:r>
            <w:proofErr w:type="spellEnd"/>
            <w:r w:rsidRPr="58BAADD2">
              <w:rPr>
                <w:rFonts w:asciiTheme="minorHAnsi" w:eastAsia="DengXian" w:hAnsiTheme="minorHAnsi" w:cstheme="minorBidi"/>
                <w:color w:val="000000" w:themeColor="text1"/>
                <w:lang w:eastAsia="zh-CN"/>
              </w:rPr>
              <w:t xml:space="preserve"> de Barcelona, University of Central Lancashire, Cyprus, </w:t>
            </w:r>
            <w:proofErr w:type="spellStart"/>
            <w:r w:rsidRPr="58BAADD2">
              <w:rPr>
                <w:rFonts w:asciiTheme="minorHAnsi" w:eastAsia="DengXian" w:hAnsiTheme="minorHAnsi" w:cstheme="minorBidi"/>
                <w:color w:val="000000" w:themeColor="text1"/>
                <w:lang w:eastAsia="zh-CN"/>
              </w:rPr>
              <w:t>HFT</w:t>
            </w:r>
            <w:proofErr w:type="spellEnd"/>
            <w:r w:rsidRPr="58BAADD2">
              <w:rPr>
                <w:rFonts w:asciiTheme="minorHAnsi" w:eastAsia="DengXian" w:hAnsiTheme="minorHAnsi" w:cstheme="minorBidi"/>
                <w:color w:val="000000" w:themeColor="text1"/>
                <w:lang w:eastAsia="zh-CN"/>
              </w:rPr>
              <w:t xml:space="preserve"> Stuttgart University of Applied Sciences and University for IoT Convergence &amp; Open Sharing. It invited students and startups to design digital public infrastructure solutions using AI-powered virtual worlds, aligned with the Pact for the Future and the Global Digital Compact for prizes of 5,000 USD. </w:t>
            </w:r>
          </w:p>
          <w:p w14:paraId="5CFFC0A8" w14:textId="58E94DB0" w:rsidR="00AF2830" w:rsidRPr="00D27063" w:rsidRDefault="00AF2830" w:rsidP="00DD0F2B">
            <w:pPr>
              <w:ind w:left="494" w:hanging="360"/>
              <w:jc w:val="both"/>
              <w:rPr>
                <w:color w:val="000000"/>
                <w:lang w:eastAsia="zh-CN"/>
              </w:rPr>
            </w:pPr>
            <w:r w:rsidRPr="58BAADD2">
              <w:rPr>
                <w:rFonts w:eastAsia="Calibri" w:cs="Arial"/>
                <w:color w:val="000000" w:themeColor="text1"/>
                <w:lang w:eastAsia="zh-CN"/>
              </w:rPr>
              <w:t>–</w:t>
            </w:r>
            <w:r>
              <w:tab/>
            </w:r>
            <w:r w:rsidRPr="58BAADD2">
              <w:rPr>
                <w:rFonts w:asciiTheme="minorHAnsi" w:eastAsia="DengXian" w:hAnsiTheme="minorHAnsi" w:cstheme="minorBidi"/>
                <w:color w:val="000000" w:themeColor="text1"/>
                <w:lang w:eastAsia="zh-CN"/>
              </w:rPr>
              <w:t xml:space="preserve">ITU, together with </w:t>
            </w:r>
            <w:proofErr w:type="spellStart"/>
            <w:r w:rsidRPr="58BAADD2">
              <w:rPr>
                <w:rFonts w:asciiTheme="minorHAnsi" w:eastAsia="DengXian" w:hAnsiTheme="minorHAnsi" w:cstheme="minorBidi"/>
                <w:color w:val="000000" w:themeColor="text1"/>
                <w:lang w:eastAsia="zh-CN"/>
              </w:rPr>
              <w:t>UNICC</w:t>
            </w:r>
            <w:proofErr w:type="spellEnd"/>
            <w:r w:rsidRPr="58BAADD2">
              <w:rPr>
                <w:rFonts w:asciiTheme="minorHAnsi" w:eastAsia="DengXian" w:hAnsiTheme="minorHAnsi" w:cstheme="minorBidi"/>
                <w:color w:val="000000" w:themeColor="text1"/>
                <w:lang w:eastAsia="zh-CN"/>
              </w:rPr>
              <w:t xml:space="preserve"> and Digital Dubai, has launched Global Initiative on Virtual Worlds and AI – </w:t>
            </w:r>
            <w:r w:rsidRPr="58BAADD2">
              <w:rPr>
                <w:rFonts w:asciiTheme="minorHAnsi" w:eastAsia="DengXian" w:hAnsiTheme="minorHAnsi" w:cstheme="minorBidi"/>
                <w:i/>
                <w:iCs/>
                <w:color w:val="000000" w:themeColor="text1"/>
                <w:lang w:eastAsia="zh-CN"/>
              </w:rPr>
              <w:t xml:space="preserve">Discovering the </w:t>
            </w:r>
            <w:proofErr w:type="spellStart"/>
            <w:r w:rsidRPr="58BAADD2">
              <w:rPr>
                <w:rFonts w:asciiTheme="minorHAnsi" w:eastAsia="DengXian" w:hAnsiTheme="minorHAnsi" w:cstheme="minorBidi"/>
                <w:i/>
                <w:iCs/>
                <w:color w:val="000000" w:themeColor="text1"/>
                <w:lang w:eastAsia="zh-CN"/>
              </w:rPr>
              <w:t>Citiverse</w:t>
            </w:r>
            <w:proofErr w:type="spellEnd"/>
            <w:r w:rsidRPr="58BAADD2">
              <w:rPr>
                <w:rFonts w:asciiTheme="minorHAnsi" w:eastAsia="DengXian" w:hAnsiTheme="minorHAnsi" w:cstheme="minorBidi"/>
                <w:i/>
                <w:iCs/>
                <w:color w:val="000000" w:themeColor="text1"/>
                <w:lang w:eastAsia="zh-CN"/>
              </w:rPr>
              <w:t>.</w:t>
            </w:r>
            <w:r w:rsidRPr="58BAADD2">
              <w:rPr>
                <w:rFonts w:asciiTheme="minorHAnsi" w:eastAsia="DengXian" w:hAnsiTheme="minorHAnsi" w:cstheme="minorBidi"/>
                <w:color w:val="000000" w:themeColor="text1"/>
                <w:lang w:eastAsia="zh-CN"/>
              </w:rPr>
              <w:t xml:space="preserve"> Supported by more than 70 partners, it empowers governments, businesses, cities and communities to harness the </w:t>
            </w:r>
            <w:proofErr w:type="spellStart"/>
            <w:r w:rsidRPr="58BAADD2">
              <w:rPr>
                <w:rFonts w:asciiTheme="minorHAnsi" w:eastAsia="DengXian" w:hAnsiTheme="minorHAnsi" w:cstheme="minorBidi"/>
                <w:color w:val="000000" w:themeColor="text1"/>
                <w:lang w:eastAsia="zh-CN"/>
              </w:rPr>
              <w:t>citiverse</w:t>
            </w:r>
            <w:proofErr w:type="spellEnd"/>
            <w:r w:rsidRPr="58BAADD2">
              <w:rPr>
                <w:rFonts w:asciiTheme="minorHAnsi" w:eastAsia="DengXian" w:hAnsiTheme="minorHAnsi" w:cstheme="minorBidi"/>
                <w:color w:val="000000" w:themeColor="text1"/>
                <w:lang w:eastAsia="zh-CN"/>
              </w:rPr>
              <w:t xml:space="preserve"> for public services, economic growth, and digital trust in an AI-driven future. </w:t>
            </w:r>
          </w:p>
          <w:p w14:paraId="77820408" w14:textId="22A189B6" w:rsidR="00125FE2" w:rsidRPr="00155FF8" w:rsidRDefault="00AF2830" w:rsidP="00155FF8">
            <w:pPr>
              <w:spacing w:after="120"/>
              <w:ind w:left="501" w:hanging="360"/>
              <w:jc w:val="both"/>
              <w:rPr>
                <w:rFonts w:asciiTheme="minorHAnsi" w:eastAsia="DengXian" w:hAnsiTheme="minorHAnsi" w:cstheme="minorBidi"/>
                <w:color w:val="000000"/>
                <w:lang w:eastAsia="zh-CN"/>
              </w:rPr>
            </w:pPr>
            <w:r w:rsidRPr="58BAADD2">
              <w:rPr>
                <w:rFonts w:eastAsia="DengXian" w:cstheme="minorBidi"/>
                <w:color w:val="000000" w:themeColor="text1"/>
                <w:lang w:eastAsia="zh-CN"/>
              </w:rPr>
              <w:t>–</w:t>
            </w:r>
            <w:r>
              <w:tab/>
            </w:r>
            <w:r w:rsidRPr="58BAADD2">
              <w:rPr>
                <w:rFonts w:asciiTheme="minorHAnsi" w:eastAsia="DengXian" w:hAnsiTheme="minorHAnsi" w:cstheme="minorBidi"/>
                <w:color w:val="000000" w:themeColor="text1"/>
                <w:lang w:eastAsia="zh-CN"/>
              </w:rPr>
              <w:t xml:space="preserve">TU develops international standards that help cities deploy environmentally efficient ICT infrastructure and services. These include methodologies to assess and reduce GHG emissions and energy consumption across urban ICT systems (networks, data </w:t>
            </w:r>
            <w:r w:rsidRPr="58BAADD2">
              <w:rPr>
                <w:rFonts w:asciiTheme="minorHAnsi" w:eastAsia="DengXian" w:hAnsiTheme="minorHAnsi" w:cstheme="minorBidi"/>
                <w:color w:val="000000" w:themeColor="text1"/>
                <w:lang w:eastAsia="zh-CN"/>
              </w:rPr>
              <w:lastRenderedPageBreak/>
              <w:t>centres, digital services), as well as standards advancing energy efficiency, circularity, and e-waste management to support resilient, low-carbon urban development.</w:t>
            </w:r>
          </w:p>
        </w:tc>
      </w:tr>
      <w:tr w:rsidR="00125FE2" w:rsidRPr="00D27063" w14:paraId="5D37ACB9" w14:textId="77777777" w:rsidTr="58BAADD2">
        <w:tc>
          <w:tcPr>
            <w:tcW w:w="9016" w:type="dxa"/>
          </w:tcPr>
          <w:p w14:paraId="57B53BDA" w14:textId="77777777" w:rsidR="00125FE2" w:rsidRPr="00D27063" w:rsidRDefault="00125FE2" w:rsidP="00680BB7">
            <w:pPr>
              <w:tabs>
                <w:tab w:val="clear" w:pos="567"/>
                <w:tab w:val="clear" w:pos="1134"/>
                <w:tab w:val="clear" w:pos="1701"/>
                <w:tab w:val="clear" w:pos="2268"/>
                <w:tab w:val="clear" w:pos="2835"/>
              </w:tabs>
              <w:overflowPunct/>
              <w:spacing w:after="120" w:line="259" w:lineRule="auto"/>
              <w:jc w:val="both"/>
              <w:textAlignment w:val="auto"/>
              <w:rPr>
                <w:rFonts w:asciiTheme="minorHAnsi" w:eastAsia="DengXian" w:hAnsiTheme="minorHAnsi" w:cstheme="minorHAnsi"/>
                <w:b/>
                <w:bCs/>
                <w:color w:val="000000"/>
                <w:szCs w:val="24"/>
                <w:lang w:eastAsia="zh-CN"/>
              </w:rPr>
            </w:pPr>
            <w:r w:rsidRPr="00D27063">
              <w:rPr>
                <w:rFonts w:asciiTheme="minorHAnsi" w:eastAsia="DengXian" w:hAnsiTheme="minorHAnsi" w:cstheme="minorHAnsi"/>
                <w:b/>
                <w:color w:val="000000"/>
                <w:szCs w:val="24"/>
                <w:lang w:eastAsia="zh-CN"/>
              </w:rPr>
              <w:lastRenderedPageBreak/>
              <w:t xml:space="preserve">Goal 17. Strengthen the means of implementation and revitalize the global partnership for sustainable development </w:t>
            </w:r>
          </w:p>
          <w:p w14:paraId="5EC5F0A9" w14:textId="77777777" w:rsidR="00125FE2" w:rsidRPr="00D27063" w:rsidRDefault="00125FE2" w:rsidP="00680BB7">
            <w:pPr>
              <w:tabs>
                <w:tab w:val="clear" w:pos="567"/>
                <w:tab w:val="clear" w:pos="1134"/>
                <w:tab w:val="clear" w:pos="1701"/>
                <w:tab w:val="clear" w:pos="2268"/>
                <w:tab w:val="clear" w:pos="2835"/>
              </w:tabs>
              <w:overflowPunct/>
              <w:spacing w:after="120" w:line="259" w:lineRule="auto"/>
              <w:ind w:left="155"/>
              <w:jc w:val="both"/>
              <w:textAlignment w:val="auto"/>
              <w:rPr>
                <w:rFonts w:asciiTheme="minorHAnsi" w:eastAsia="DengXian" w:hAnsiTheme="minorHAnsi" w:cstheme="minorHAnsi"/>
                <w:i/>
                <w:iCs/>
                <w:color w:val="000000"/>
                <w:szCs w:val="24"/>
                <w:lang w:eastAsia="zh-CN"/>
              </w:rPr>
            </w:pPr>
            <w:r w:rsidRPr="00D27063">
              <w:rPr>
                <w:rFonts w:asciiTheme="minorHAnsi" w:eastAsia="DengXian" w:hAnsiTheme="minorHAnsi" w:cstheme="minorHAnsi"/>
                <w:i/>
                <w:color w:val="000000"/>
                <w:szCs w:val="24"/>
                <w:lang w:eastAsia="zh-CN"/>
              </w:rPr>
              <w:t xml:space="preserve">ICTs are specifically mentioned as a means of implementation under </w:t>
            </w:r>
            <w:proofErr w:type="spellStart"/>
            <w:r w:rsidRPr="00D27063">
              <w:rPr>
                <w:rFonts w:asciiTheme="minorHAnsi" w:eastAsia="DengXian" w:hAnsiTheme="minorHAnsi" w:cstheme="minorHAnsi"/>
                <w:i/>
                <w:color w:val="000000"/>
                <w:szCs w:val="24"/>
                <w:lang w:eastAsia="zh-CN"/>
              </w:rPr>
              <w:t>SDG17</w:t>
            </w:r>
            <w:proofErr w:type="spellEnd"/>
            <w:r w:rsidRPr="00D27063">
              <w:rPr>
                <w:rFonts w:asciiTheme="minorHAnsi" w:eastAsia="DengXian" w:hAnsiTheme="minorHAnsi" w:cstheme="minorHAnsi"/>
                <w:i/>
                <w:color w:val="000000"/>
                <w:szCs w:val="24"/>
                <w:lang w:eastAsia="zh-CN"/>
              </w:rPr>
              <w:t xml:space="preserve">, highlighting the cross-cutting transformative potential of ICTs. Indeed, ICTs are crucial in achieving all of the SDGs, since ICTs are catalysts that accelerate all three pillars of sustainable development – economic growth, social inclusion and environmental sustainability – as well as providing an innovative and effective means of implementation in today’s inter-connected world. Paragraph 15 of the 2030 Agenda for Sustainable Development highlights that “the spread of information and communication technology and global interconnectedness has great potential to accelerate human progress, to bridge the digital divide and to develop knowledge societies…” </w:t>
            </w:r>
          </w:p>
          <w:p w14:paraId="6AAE74C2" w14:textId="77777777" w:rsidR="00125FE2" w:rsidRPr="00D27063" w:rsidRDefault="00125FE2" w:rsidP="00680BB7">
            <w:pPr>
              <w:tabs>
                <w:tab w:val="clear" w:pos="567"/>
                <w:tab w:val="clear" w:pos="1134"/>
                <w:tab w:val="clear" w:pos="1701"/>
                <w:tab w:val="clear" w:pos="2268"/>
                <w:tab w:val="clear" w:pos="2835"/>
              </w:tabs>
              <w:overflowPunct/>
              <w:spacing w:after="120" w:line="259" w:lineRule="auto"/>
              <w:jc w:val="both"/>
              <w:textAlignment w:val="auto"/>
              <w:rPr>
                <w:rFonts w:asciiTheme="minorHAnsi" w:eastAsia="DengXian" w:hAnsiTheme="minorHAnsi" w:cstheme="minorHAnsi"/>
                <w:b/>
                <w:bCs/>
                <w:color w:val="000000"/>
                <w:szCs w:val="24"/>
                <w:lang w:eastAsia="zh-CN"/>
              </w:rPr>
            </w:pPr>
            <w:r w:rsidRPr="00D27063">
              <w:rPr>
                <w:rFonts w:asciiTheme="minorHAnsi" w:eastAsia="DengXian" w:hAnsiTheme="minorHAnsi" w:cstheme="minorHAnsi"/>
                <w:b/>
                <w:color w:val="000000"/>
                <w:szCs w:val="24"/>
                <w:lang w:eastAsia="zh-CN"/>
              </w:rPr>
              <w:t xml:space="preserve">ITU contributes to Goal 17:  </w:t>
            </w:r>
          </w:p>
          <w:p w14:paraId="41C22FDC" w14:textId="385CFFF8" w:rsidR="00125FE2" w:rsidRPr="00D27063" w:rsidRDefault="00D27063" w:rsidP="00680BB7">
            <w:pPr>
              <w:tabs>
                <w:tab w:val="clear" w:pos="567"/>
                <w:tab w:val="clear" w:pos="1134"/>
                <w:tab w:val="clear" w:pos="1701"/>
                <w:tab w:val="clear" w:pos="2268"/>
                <w:tab w:val="clear" w:pos="2835"/>
              </w:tabs>
              <w:overflowPunct/>
              <w:autoSpaceDE/>
              <w:autoSpaceDN/>
              <w:adjustRightInd/>
              <w:spacing w:after="120" w:line="259" w:lineRule="auto"/>
              <w:ind w:left="605" w:hanging="360"/>
              <w:jc w:val="both"/>
              <w:textAlignment w:val="auto"/>
              <w:rPr>
                <w:rFonts w:asciiTheme="minorHAnsi" w:eastAsia="DengXian" w:hAnsiTheme="minorHAnsi" w:cstheme="minorBidi"/>
                <w:color w:val="000000"/>
                <w:lang w:eastAsia="zh-CN"/>
              </w:rPr>
            </w:pPr>
            <w:r w:rsidRPr="58BAADD2">
              <w:rPr>
                <w:rFonts w:eastAsia="DengXian" w:cstheme="minorBidi"/>
                <w:color w:val="000000" w:themeColor="text1"/>
                <w:lang w:eastAsia="zh-CN"/>
              </w:rPr>
              <w:t>–</w:t>
            </w:r>
            <w:r>
              <w:tab/>
            </w:r>
            <w:r w:rsidR="00125FE2" w:rsidRPr="58BAADD2">
              <w:rPr>
                <w:rFonts w:asciiTheme="minorHAnsi" w:eastAsia="DengXian" w:hAnsiTheme="minorHAnsi" w:cstheme="minorBidi"/>
                <w:color w:val="000000" w:themeColor="text1"/>
                <w:lang w:eastAsia="zh-CN"/>
              </w:rPr>
              <w:t xml:space="preserve">The “World Telecommunication and Information Society Day” celebrated annually on 17 </w:t>
            </w:r>
            <w:proofErr w:type="gramStart"/>
            <w:r w:rsidR="00125FE2" w:rsidRPr="58BAADD2">
              <w:rPr>
                <w:rFonts w:asciiTheme="minorHAnsi" w:eastAsia="DengXian" w:hAnsiTheme="minorHAnsi" w:cstheme="minorBidi"/>
                <w:color w:val="000000" w:themeColor="text1"/>
                <w:lang w:eastAsia="zh-CN"/>
              </w:rPr>
              <w:t>May,</w:t>
            </w:r>
            <w:proofErr w:type="gramEnd"/>
            <w:r w:rsidR="00125FE2" w:rsidRPr="58BAADD2">
              <w:rPr>
                <w:rFonts w:asciiTheme="minorHAnsi" w:eastAsia="DengXian" w:hAnsiTheme="minorHAnsi" w:cstheme="minorBidi"/>
                <w:color w:val="000000" w:themeColor="text1"/>
                <w:lang w:eastAsia="zh-CN"/>
              </w:rPr>
              <w:t xml:space="preserve"> to raise awareness of the possibilities that the use of the Internet and other ICTs can bring to societies and economies, as well as ways to bridge the digital divide. Since 2020, aligned with the Decade of Action, themes are focused on promoting the Connect 2030 Agenda to follow the progress of ITU membership to deliver on its goals and targets (in line with the SDGs), and to share the guidance of ITU and the contribution of the membership towards connecting the world; </w:t>
            </w:r>
          </w:p>
          <w:p w14:paraId="51B2EEA7" w14:textId="5456B33C" w:rsidR="00125FE2" w:rsidRPr="00D27063" w:rsidRDefault="00D27063" w:rsidP="00680BB7">
            <w:pPr>
              <w:tabs>
                <w:tab w:val="clear" w:pos="567"/>
                <w:tab w:val="clear" w:pos="1134"/>
                <w:tab w:val="clear" w:pos="1701"/>
                <w:tab w:val="clear" w:pos="2268"/>
                <w:tab w:val="clear" w:pos="2835"/>
              </w:tabs>
              <w:overflowPunct/>
              <w:autoSpaceDE/>
              <w:autoSpaceDN/>
              <w:adjustRightInd/>
              <w:spacing w:after="120" w:line="259" w:lineRule="auto"/>
              <w:ind w:left="605" w:hanging="360"/>
              <w:jc w:val="both"/>
              <w:textAlignment w:val="auto"/>
              <w:rPr>
                <w:rFonts w:asciiTheme="minorHAnsi" w:eastAsia="DengXian" w:hAnsiTheme="minorHAnsi" w:cstheme="minorBidi"/>
                <w:color w:val="000000"/>
                <w:lang w:eastAsia="zh-CN"/>
              </w:rPr>
            </w:pPr>
            <w:r w:rsidRPr="58BAADD2">
              <w:rPr>
                <w:rFonts w:eastAsia="DengXian" w:cstheme="minorBidi"/>
                <w:color w:val="000000" w:themeColor="text1"/>
                <w:lang w:eastAsia="zh-CN"/>
              </w:rPr>
              <w:t>–</w:t>
            </w:r>
            <w:r>
              <w:tab/>
            </w:r>
            <w:r w:rsidR="00125FE2" w:rsidRPr="58BAADD2">
              <w:rPr>
                <w:rFonts w:asciiTheme="minorHAnsi" w:eastAsia="DengXian" w:hAnsiTheme="minorHAnsi" w:cstheme="minorBidi"/>
                <w:color w:val="000000" w:themeColor="text1"/>
                <w:lang w:eastAsia="zh-CN"/>
              </w:rPr>
              <w:t xml:space="preserve">ITU provides a neutral platform for ITU members from government, industry and academia to share experiences, present ideas, exchange views and achieve consensus on appropriate strategies to address ICT priorities, as well as strengthening the means of implementation and enhancing access to science, technology and innovation by strengthening international cooperation and knowledge sharing on key ICT topics; </w:t>
            </w:r>
          </w:p>
          <w:p w14:paraId="587A4D71" w14:textId="4FC8F553" w:rsidR="00125FE2" w:rsidRPr="00D27063" w:rsidRDefault="00D27063" w:rsidP="00680BB7">
            <w:pPr>
              <w:tabs>
                <w:tab w:val="clear" w:pos="567"/>
                <w:tab w:val="clear" w:pos="1134"/>
                <w:tab w:val="clear" w:pos="1701"/>
                <w:tab w:val="clear" w:pos="2268"/>
                <w:tab w:val="clear" w:pos="2835"/>
              </w:tabs>
              <w:overflowPunct/>
              <w:autoSpaceDE/>
              <w:autoSpaceDN/>
              <w:adjustRightInd/>
              <w:spacing w:after="120" w:line="259" w:lineRule="auto"/>
              <w:ind w:left="605" w:hanging="360"/>
              <w:jc w:val="both"/>
              <w:textAlignment w:val="auto"/>
              <w:rPr>
                <w:rFonts w:asciiTheme="minorHAnsi" w:eastAsia="DengXian" w:hAnsiTheme="minorHAnsi" w:cstheme="minorBidi"/>
                <w:lang w:eastAsia="zh-CN"/>
              </w:rPr>
            </w:pPr>
            <w:r w:rsidRPr="58BAADD2">
              <w:rPr>
                <w:rFonts w:eastAsia="DengXian" w:cstheme="minorBidi"/>
                <w:lang w:eastAsia="zh-CN"/>
              </w:rPr>
              <w:t>–</w:t>
            </w:r>
            <w:r>
              <w:tab/>
            </w:r>
            <w:r w:rsidR="00125FE2" w:rsidRPr="58BAADD2">
              <w:rPr>
                <w:rFonts w:asciiTheme="minorHAnsi" w:eastAsia="DengXian" w:hAnsiTheme="minorHAnsi" w:cstheme="minorBidi"/>
                <w:color w:val="000000" w:themeColor="text1"/>
                <w:lang w:eastAsia="zh-CN"/>
              </w:rPr>
              <w:t>Open platforms, such as ITU Focus Groups, help determine the way forward, while membership-driven ITU Study Groups develop the international standards that give everyone the opportunity to move forward together. Partnerships also receive key support from collaborative frameworks like AI for Good, United for Smart Sustainable Cities, Global Initiative on Virtual Worlds and AI, the Digital Currency Global Initiative, and the AI for Road Safety initiative;</w:t>
            </w:r>
          </w:p>
          <w:p w14:paraId="66F9BA8B" w14:textId="191092A7" w:rsidR="00125FE2" w:rsidRPr="00D27063" w:rsidRDefault="00D27063" w:rsidP="00680BB7">
            <w:pPr>
              <w:tabs>
                <w:tab w:val="clear" w:pos="567"/>
                <w:tab w:val="clear" w:pos="1134"/>
                <w:tab w:val="clear" w:pos="1701"/>
                <w:tab w:val="clear" w:pos="2268"/>
                <w:tab w:val="clear" w:pos="2835"/>
              </w:tabs>
              <w:overflowPunct/>
              <w:autoSpaceDE/>
              <w:autoSpaceDN/>
              <w:adjustRightInd/>
              <w:spacing w:after="120" w:line="259" w:lineRule="auto"/>
              <w:ind w:left="605" w:hanging="360"/>
              <w:jc w:val="both"/>
              <w:textAlignment w:val="auto"/>
              <w:rPr>
                <w:rFonts w:asciiTheme="minorHAnsi" w:eastAsia="DengXian" w:hAnsiTheme="minorHAnsi" w:cstheme="minorBidi"/>
                <w:lang w:eastAsia="zh-CN"/>
              </w:rPr>
            </w:pPr>
            <w:r w:rsidRPr="58BAADD2">
              <w:rPr>
                <w:rFonts w:eastAsia="DengXian" w:cstheme="minorBidi"/>
                <w:lang w:eastAsia="zh-CN"/>
              </w:rPr>
              <w:t>–</w:t>
            </w:r>
            <w:r>
              <w:tab/>
            </w:r>
            <w:r w:rsidR="00125FE2" w:rsidRPr="58BAADD2">
              <w:rPr>
                <w:rFonts w:asciiTheme="minorHAnsi" w:eastAsia="DengXian" w:hAnsiTheme="minorHAnsi" w:cstheme="minorBidi"/>
                <w:lang w:eastAsia="zh-CN"/>
              </w:rPr>
              <w:t>ITU, together with a coalition of UN entities, organizes the annual UN Virtual Worlds Day to advance the SDGs and deliver on the Pact for the Future and its Global Digital Compact;</w:t>
            </w:r>
          </w:p>
          <w:p w14:paraId="1576662D" w14:textId="6E4E387A" w:rsidR="00125FE2" w:rsidRPr="00D27063" w:rsidRDefault="00D27063" w:rsidP="00680BB7">
            <w:pPr>
              <w:tabs>
                <w:tab w:val="clear" w:pos="567"/>
                <w:tab w:val="clear" w:pos="1134"/>
                <w:tab w:val="clear" w:pos="1701"/>
                <w:tab w:val="clear" w:pos="2268"/>
                <w:tab w:val="clear" w:pos="2835"/>
              </w:tabs>
              <w:overflowPunct/>
              <w:autoSpaceDE/>
              <w:autoSpaceDN/>
              <w:adjustRightInd/>
              <w:spacing w:after="120" w:line="259" w:lineRule="auto"/>
              <w:ind w:left="605" w:hanging="357"/>
              <w:jc w:val="both"/>
              <w:textAlignment w:val="auto"/>
              <w:rPr>
                <w:rFonts w:asciiTheme="minorHAnsi" w:eastAsia="DengXian" w:hAnsiTheme="minorHAnsi" w:cstheme="minorBidi"/>
                <w:lang w:eastAsia="zh-CN"/>
              </w:rPr>
            </w:pPr>
            <w:r w:rsidRPr="58BAADD2">
              <w:rPr>
                <w:rFonts w:eastAsia="DengXian" w:cstheme="minorBidi"/>
                <w:lang w:eastAsia="zh-CN"/>
              </w:rPr>
              <w:t>–</w:t>
            </w:r>
            <w:r>
              <w:tab/>
            </w:r>
            <w:r w:rsidR="00125FE2" w:rsidRPr="58BAADD2">
              <w:rPr>
                <w:rFonts w:asciiTheme="minorHAnsi" w:eastAsia="DengXian" w:hAnsiTheme="minorHAnsi" w:cstheme="minorBidi"/>
                <w:lang w:eastAsia="zh-CN"/>
              </w:rPr>
              <w:t xml:space="preserve">Digital skills development is strengthened in the America region through the Americas Girls Can Code Project, which has trained over 2,300 girls in partnership with Meta for Latin American countries and supports the promotion of gender digital inclusion policies and strategies. ICT capacity development is also promoted for </w:t>
            </w:r>
            <w:r w:rsidR="00125FE2" w:rsidRPr="58BAADD2">
              <w:rPr>
                <w:rFonts w:asciiTheme="minorHAnsi" w:eastAsia="DengXian" w:hAnsiTheme="minorHAnsi" w:cstheme="minorBidi"/>
                <w:lang w:eastAsia="zh-CN"/>
              </w:rPr>
              <w:lastRenderedPageBreak/>
              <w:t xml:space="preserve">youth from local communities, particularly indigenous communities in the Gran Chaco region, through the project entitled “Youth Digital Skills” in line with the needs of the ICT labour market/ecosystem. This initiative is supported through cooperation with the Gran Chaco Foundation, Huawei, FAO, and the European Union, and national strategies for youth innovation and entrepreneurship are supported. Broad participation has been attracted by celebrations of International Girls in ICT Day, raising awareness on gender equality in the digital economy;   </w:t>
            </w:r>
          </w:p>
          <w:p w14:paraId="7A3A939A" w14:textId="441676A2" w:rsidR="00125FE2" w:rsidRPr="00D27063" w:rsidRDefault="00D27063" w:rsidP="00680BB7">
            <w:pPr>
              <w:tabs>
                <w:tab w:val="clear" w:pos="567"/>
                <w:tab w:val="clear" w:pos="1134"/>
                <w:tab w:val="clear" w:pos="1701"/>
                <w:tab w:val="clear" w:pos="2268"/>
                <w:tab w:val="clear" w:pos="2835"/>
              </w:tabs>
              <w:overflowPunct/>
              <w:autoSpaceDE/>
              <w:autoSpaceDN/>
              <w:adjustRightInd/>
              <w:spacing w:after="120" w:line="259" w:lineRule="auto"/>
              <w:ind w:left="605" w:hanging="360"/>
              <w:jc w:val="both"/>
              <w:textAlignment w:val="auto"/>
              <w:rPr>
                <w:rFonts w:asciiTheme="minorHAnsi" w:eastAsia="DengXian" w:hAnsiTheme="minorHAnsi" w:cstheme="minorBidi"/>
                <w:color w:val="000000"/>
                <w:lang w:eastAsia="zh-CN"/>
              </w:rPr>
            </w:pPr>
            <w:r w:rsidRPr="58BAADD2">
              <w:rPr>
                <w:rFonts w:eastAsia="DengXian" w:cstheme="minorBidi"/>
                <w:color w:val="000000" w:themeColor="text1"/>
                <w:lang w:eastAsia="zh-CN"/>
              </w:rPr>
              <w:t>–</w:t>
            </w:r>
            <w:r>
              <w:tab/>
            </w:r>
            <w:r w:rsidR="00125FE2" w:rsidRPr="58BAADD2">
              <w:rPr>
                <w:rFonts w:asciiTheme="minorHAnsi" w:eastAsia="DengXian" w:hAnsiTheme="minorHAnsi" w:cstheme="minorBidi"/>
                <w:color w:val="000000" w:themeColor="text1"/>
                <w:lang w:eastAsia="zh-CN"/>
              </w:rPr>
              <w:t xml:space="preserve">Mobilizing in-cash and in-kind resources through partnership with various stakeholders from the ICT ecosystem for the implementation of ICT activities, projects and initiatives in developing countries at national and regional levels, including by developing strategies and related tools and services (databases sponsorship packages, dedicated websites, concept notes, promotional vehicles, etc.); </w:t>
            </w:r>
          </w:p>
          <w:p w14:paraId="343D712F" w14:textId="33F50B42" w:rsidR="00125FE2" w:rsidRPr="00D27063" w:rsidRDefault="00D27063" w:rsidP="00680BB7">
            <w:pPr>
              <w:tabs>
                <w:tab w:val="clear" w:pos="567"/>
                <w:tab w:val="clear" w:pos="1134"/>
                <w:tab w:val="clear" w:pos="1701"/>
                <w:tab w:val="clear" w:pos="2268"/>
                <w:tab w:val="clear" w:pos="2835"/>
              </w:tabs>
              <w:overflowPunct/>
              <w:autoSpaceDE/>
              <w:autoSpaceDN/>
              <w:adjustRightInd/>
              <w:spacing w:after="120" w:line="259" w:lineRule="auto"/>
              <w:ind w:left="605" w:hanging="360"/>
              <w:jc w:val="both"/>
              <w:textAlignment w:val="auto"/>
              <w:rPr>
                <w:rFonts w:asciiTheme="minorHAnsi" w:eastAsia="DengXian" w:hAnsiTheme="minorHAnsi" w:cstheme="minorBidi"/>
                <w:color w:val="000000"/>
                <w:lang w:eastAsia="zh-CN"/>
              </w:rPr>
            </w:pPr>
            <w:r w:rsidRPr="58BAADD2">
              <w:rPr>
                <w:rFonts w:eastAsia="DengXian" w:cstheme="minorBidi"/>
                <w:color w:val="000000" w:themeColor="text1"/>
                <w:lang w:eastAsia="zh-CN"/>
              </w:rPr>
              <w:t>–</w:t>
            </w:r>
            <w:r>
              <w:tab/>
            </w:r>
            <w:r w:rsidR="00125FE2" w:rsidRPr="58BAADD2">
              <w:rPr>
                <w:rFonts w:asciiTheme="minorHAnsi" w:eastAsia="DengXian" w:hAnsiTheme="minorHAnsi" w:cstheme="minorBidi"/>
                <w:color w:val="000000" w:themeColor="text1"/>
                <w:lang w:eastAsia="zh-CN"/>
              </w:rPr>
              <w:t>ITU is promoting ICT regulatory policies enhancing policy coherence, notably by making knowledge exchange tools and platforms available, raising awareness about the importance of an enabling environment; organizing global and regional forums and seminars to discuss global trends in digital regulation for Sector Members and other national and international ICT and intersectoral stakeholders, through events such as the Global Symposium for Regulators (</w:t>
            </w:r>
            <w:proofErr w:type="spellStart"/>
            <w:r w:rsidR="00125FE2" w:rsidRPr="58BAADD2">
              <w:rPr>
                <w:rFonts w:asciiTheme="minorHAnsi" w:eastAsia="DengXian" w:hAnsiTheme="minorHAnsi" w:cstheme="minorBidi"/>
                <w:color w:val="000000" w:themeColor="text1"/>
                <w:lang w:eastAsia="zh-CN"/>
              </w:rPr>
              <w:t>GSR</w:t>
            </w:r>
            <w:proofErr w:type="spellEnd"/>
            <w:r w:rsidR="00125FE2" w:rsidRPr="58BAADD2">
              <w:rPr>
                <w:rFonts w:asciiTheme="minorHAnsi" w:eastAsia="DengXian" w:hAnsiTheme="minorHAnsi" w:cstheme="minorBidi"/>
                <w:color w:val="000000" w:themeColor="text1"/>
                <w:lang w:eastAsia="zh-CN"/>
              </w:rPr>
              <w:t>) as well as strategic dialogues on topical policy, legal, regulatory, as well as on economic and financial issues and market developments, and the World Telecommunication/ICT Indicators Symposium (</w:t>
            </w:r>
            <w:proofErr w:type="spellStart"/>
            <w:r w:rsidR="00125FE2" w:rsidRPr="58BAADD2">
              <w:rPr>
                <w:rFonts w:asciiTheme="minorHAnsi" w:eastAsia="DengXian" w:hAnsiTheme="minorHAnsi" w:cstheme="minorBidi"/>
                <w:color w:val="000000" w:themeColor="text1"/>
                <w:lang w:eastAsia="zh-CN"/>
              </w:rPr>
              <w:t>WTIS</w:t>
            </w:r>
            <w:proofErr w:type="spellEnd"/>
            <w:r w:rsidR="00125FE2" w:rsidRPr="58BAADD2">
              <w:rPr>
                <w:rFonts w:asciiTheme="minorHAnsi" w:eastAsia="DengXian" w:hAnsiTheme="minorHAnsi" w:cstheme="minorBidi"/>
                <w:color w:val="000000" w:themeColor="text1"/>
                <w:lang w:eastAsia="zh-CN"/>
              </w:rPr>
              <w:t>);</w:t>
            </w:r>
          </w:p>
          <w:p w14:paraId="342BE3D4" w14:textId="1A746EF4" w:rsidR="00125FE2" w:rsidRPr="00D27063" w:rsidRDefault="00D27063" w:rsidP="00680BB7">
            <w:pPr>
              <w:tabs>
                <w:tab w:val="clear" w:pos="567"/>
                <w:tab w:val="clear" w:pos="1134"/>
                <w:tab w:val="clear" w:pos="1701"/>
                <w:tab w:val="clear" w:pos="2268"/>
                <w:tab w:val="clear" w:pos="2835"/>
              </w:tabs>
              <w:overflowPunct/>
              <w:autoSpaceDE/>
              <w:autoSpaceDN/>
              <w:adjustRightInd/>
              <w:spacing w:after="120" w:line="259" w:lineRule="auto"/>
              <w:ind w:left="605" w:hanging="357"/>
              <w:jc w:val="both"/>
              <w:textAlignment w:val="auto"/>
              <w:rPr>
                <w:rFonts w:asciiTheme="minorHAnsi" w:eastAsia="DengXian" w:hAnsiTheme="minorHAnsi" w:cstheme="minorBidi"/>
                <w:color w:val="000000"/>
                <w:lang w:eastAsia="zh-CN"/>
              </w:rPr>
            </w:pPr>
            <w:r w:rsidRPr="58BAADD2">
              <w:rPr>
                <w:rFonts w:eastAsia="DengXian" w:cstheme="minorBidi"/>
                <w:color w:val="000000" w:themeColor="text1"/>
                <w:lang w:eastAsia="zh-CN"/>
              </w:rPr>
              <w:t>–</w:t>
            </w:r>
            <w:r>
              <w:tab/>
            </w:r>
            <w:r w:rsidR="00125FE2" w:rsidRPr="58BAADD2">
              <w:rPr>
                <w:rFonts w:asciiTheme="minorHAnsi" w:eastAsia="DengXian" w:hAnsiTheme="minorHAnsi" w:cstheme="minorBidi"/>
                <w:color w:val="000000" w:themeColor="text1"/>
                <w:lang w:eastAsia="zh-CN"/>
              </w:rPr>
              <w:t>ITU is proposing guidelines and recommendations addressed to the regulatory community and industry stakeholders (policy-makers, national regulatory authorities (NRAs), network operators/service providers, equipment manufacturers, digital players, governments, academics, international and regional associations, civil society) to promote and encourage cooperation and collaboration at regional and global level on policy, regulatory and economic issues notably through ITU Research publications, the Global Symposium for Regulators (</w:t>
            </w:r>
            <w:proofErr w:type="spellStart"/>
            <w:r w:rsidR="00125FE2" w:rsidRPr="58BAADD2">
              <w:rPr>
                <w:rFonts w:asciiTheme="minorHAnsi" w:eastAsia="DengXian" w:hAnsiTheme="minorHAnsi" w:cstheme="minorBidi"/>
                <w:color w:val="000000" w:themeColor="text1"/>
                <w:lang w:eastAsia="zh-CN"/>
              </w:rPr>
              <w:t>GSR</w:t>
            </w:r>
            <w:proofErr w:type="spellEnd"/>
            <w:r w:rsidR="00125FE2" w:rsidRPr="58BAADD2">
              <w:rPr>
                <w:rFonts w:asciiTheme="minorHAnsi" w:eastAsia="DengXian" w:hAnsiTheme="minorHAnsi" w:cstheme="minorBidi"/>
                <w:color w:val="000000" w:themeColor="text1"/>
                <w:lang w:eastAsia="zh-CN"/>
              </w:rPr>
              <w:t xml:space="preserve">) Best Practices Guidelines, ITU Datahub, ITU-World Bank digital regulation </w:t>
            </w:r>
            <w:proofErr w:type="spellStart"/>
            <w:r w:rsidR="00125FE2" w:rsidRPr="58BAADD2">
              <w:rPr>
                <w:rFonts w:asciiTheme="minorHAnsi" w:eastAsia="DengXian" w:hAnsiTheme="minorHAnsi" w:cstheme="minorBidi"/>
                <w:color w:val="000000" w:themeColor="text1"/>
                <w:lang w:eastAsia="zh-CN"/>
              </w:rPr>
              <w:t>platform,G5</w:t>
            </w:r>
            <w:proofErr w:type="spellEnd"/>
            <w:r w:rsidR="00125FE2" w:rsidRPr="58BAADD2">
              <w:rPr>
                <w:rFonts w:asciiTheme="minorHAnsi" w:eastAsia="DengXian" w:hAnsiTheme="minorHAnsi" w:cstheme="minorBidi"/>
                <w:color w:val="000000" w:themeColor="text1"/>
                <w:lang w:eastAsia="zh-CN"/>
              </w:rPr>
              <w:t xml:space="preserve"> Accelerator, etc.; </w:t>
            </w:r>
          </w:p>
          <w:p w14:paraId="12D007FF" w14:textId="5E017075" w:rsidR="00125FE2" w:rsidRPr="00D27063" w:rsidRDefault="00D27063" w:rsidP="00680BB7">
            <w:pPr>
              <w:tabs>
                <w:tab w:val="clear" w:pos="567"/>
                <w:tab w:val="clear" w:pos="1134"/>
                <w:tab w:val="clear" w:pos="1701"/>
                <w:tab w:val="clear" w:pos="2268"/>
                <w:tab w:val="clear" w:pos="2835"/>
              </w:tabs>
              <w:overflowPunct/>
              <w:autoSpaceDE/>
              <w:autoSpaceDN/>
              <w:adjustRightInd/>
              <w:spacing w:after="120" w:line="259" w:lineRule="auto"/>
              <w:ind w:left="605" w:hanging="357"/>
              <w:jc w:val="both"/>
              <w:textAlignment w:val="auto"/>
              <w:rPr>
                <w:rFonts w:asciiTheme="minorHAnsi" w:eastAsia="DengXian" w:hAnsiTheme="minorHAnsi" w:cstheme="minorBidi"/>
                <w:color w:val="000000"/>
                <w:lang w:eastAsia="zh-CN"/>
              </w:rPr>
            </w:pPr>
            <w:r w:rsidRPr="58BAADD2">
              <w:rPr>
                <w:rFonts w:eastAsia="DengXian" w:cstheme="minorBidi"/>
                <w:color w:val="000000" w:themeColor="text1"/>
                <w:lang w:eastAsia="zh-CN"/>
              </w:rPr>
              <w:t>–</w:t>
            </w:r>
            <w:r>
              <w:tab/>
            </w:r>
            <w:r w:rsidR="00125FE2" w:rsidRPr="58BAADD2">
              <w:rPr>
                <w:rFonts w:asciiTheme="minorHAnsi" w:eastAsia="DengXian" w:hAnsiTheme="minorHAnsi" w:cstheme="minorBidi"/>
                <w:color w:val="000000" w:themeColor="text1"/>
                <w:lang w:eastAsia="zh-CN"/>
              </w:rPr>
              <w:t xml:space="preserve">Providing a neutral platform for international cooperation towards building a harmonized and coordinated approach to fast-forward the evolution of the information society; </w:t>
            </w:r>
          </w:p>
          <w:p w14:paraId="51CF7C28" w14:textId="0739820C" w:rsidR="00125FE2" w:rsidRPr="00D27063" w:rsidRDefault="00D27063" w:rsidP="00680BB7">
            <w:pPr>
              <w:tabs>
                <w:tab w:val="clear" w:pos="567"/>
                <w:tab w:val="clear" w:pos="1134"/>
                <w:tab w:val="clear" w:pos="1701"/>
                <w:tab w:val="clear" w:pos="2268"/>
                <w:tab w:val="clear" w:pos="2835"/>
              </w:tabs>
              <w:overflowPunct/>
              <w:autoSpaceDE/>
              <w:autoSpaceDN/>
              <w:adjustRightInd/>
              <w:spacing w:after="120" w:line="259" w:lineRule="auto"/>
              <w:ind w:left="605" w:hanging="360"/>
              <w:jc w:val="both"/>
              <w:textAlignment w:val="auto"/>
              <w:rPr>
                <w:rFonts w:asciiTheme="minorHAnsi" w:eastAsia="DengXian" w:hAnsiTheme="minorHAnsi" w:cstheme="minorBidi"/>
                <w:color w:val="000000"/>
                <w:lang w:eastAsia="zh-CN"/>
              </w:rPr>
            </w:pPr>
            <w:r w:rsidRPr="58BAADD2">
              <w:rPr>
                <w:rFonts w:eastAsia="DengXian" w:cstheme="minorBidi"/>
                <w:color w:val="000000" w:themeColor="text1"/>
                <w:lang w:eastAsia="zh-CN"/>
              </w:rPr>
              <w:t>–</w:t>
            </w:r>
            <w:r>
              <w:tab/>
            </w:r>
            <w:r w:rsidR="00125FE2" w:rsidRPr="58BAADD2">
              <w:rPr>
                <w:rFonts w:asciiTheme="minorHAnsi" w:eastAsia="DengXian" w:hAnsiTheme="minorHAnsi" w:cstheme="minorBidi"/>
                <w:color w:val="000000" w:themeColor="text1"/>
                <w:lang w:eastAsia="zh-CN"/>
              </w:rPr>
              <w:t xml:space="preserve">Monitoring of Target 17.6 by collecting and disseminating data on Internet access and usage, in particular fixed broadband access, which is a key requirement for enhanced access to science, technology and innovation networks; </w:t>
            </w:r>
          </w:p>
          <w:p w14:paraId="1FDADF0D" w14:textId="1A99067F" w:rsidR="00125FE2" w:rsidRPr="00D27063" w:rsidRDefault="00D27063" w:rsidP="00680BB7">
            <w:pPr>
              <w:tabs>
                <w:tab w:val="clear" w:pos="567"/>
                <w:tab w:val="clear" w:pos="1134"/>
                <w:tab w:val="clear" w:pos="1701"/>
                <w:tab w:val="clear" w:pos="2268"/>
                <w:tab w:val="clear" w:pos="2835"/>
              </w:tabs>
              <w:overflowPunct/>
              <w:autoSpaceDE/>
              <w:autoSpaceDN/>
              <w:adjustRightInd/>
              <w:spacing w:after="120" w:line="259" w:lineRule="auto"/>
              <w:ind w:left="605" w:hanging="360"/>
              <w:jc w:val="both"/>
              <w:textAlignment w:val="auto"/>
              <w:rPr>
                <w:rFonts w:asciiTheme="minorHAnsi" w:eastAsia="DengXian" w:hAnsiTheme="minorHAnsi" w:cstheme="minorBidi"/>
                <w:color w:val="000000"/>
                <w:lang w:eastAsia="zh-CN"/>
              </w:rPr>
            </w:pPr>
            <w:r w:rsidRPr="58BAADD2">
              <w:rPr>
                <w:rFonts w:eastAsia="DengXian" w:cstheme="minorBidi"/>
                <w:color w:val="000000" w:themeColor="text1"/>
                <w:lang w:eastAsia="zh-CN"/>
              </w:rPr>
              <w:t>–</w:t>
            </w:r>
            <w:r>
              <w:tab/>
            </w:r>
            <w:r w:rsidR="00125FE2" w:rsidRPr="58BAADD2">
              <w:rPr>
                <w:rFonts w:asciiTheme="minorHAnsi" w:eastAsia="DengXian" w:hAnsiTheme="minorHAnsi" w:cstheme="minorBidi"/>
                <w:color w:val="000000" w:themeColor="text1"/>
                <w:lang w:eastAsia="zh-CN"/>
              </w:rPr>
              <w:t xml:space="preserve">The establishment of Mutual Recognition Agreements for a common and harmonized Conformance and Interoperability (C&amp;I) programme at international and regional levels. Through the share and efficient use of C&amp;I infrastructures – as laboratories, accreditation bodies and regulatory practices – technical requirements </w:t>
            </w:r>
            <w:r w:rsidR="00125FE2" w:rsidRPr="58BAADD2">
              <w:rPr>
                <w:rFonts w:asciiTheme="minorHAnsi" w:eastAsia="DengXian" w:hAnsiTheme="minorHAnsi" w:cstheme="minorBidi"/>
                <w:color w:val="000000" w:themeColor="text1"/>
                <w:lang w:eastAsia="zh-CN"/>
              </w:rPr>
              <w:lastRenderedPageBreak/>
              <w:t xml:space="preserve">can be harmonized and the transit of ICT goods and services can be facilitated, increasing trade and regional development; </w:t>
            </w:r>
          </w:p>
          <w:p w14:paraId="2AABCB5E" w14:textId="13B5A227" w:rsidR="00125FE2" w:rsidRPr="00D27063" w:rsidRDefault="00D27063" w:rsidP="00680BB7">
            <w:pPr>
              <w:tabs>
                <w:tab w:val="clear" w:pos="567"/>
                <w:tab w:val="clear" w:pos="1134"/>
                <w:tab w:val="clear" w:pos="1701"/>
                <w:tab w:val="clear" w:pos="2268"/>
                <w:tab w:val="clear" w:pos="2835"/>
              </w:tabs>
              <w:overflowPunct/>
              <w:autoSpaceDE/>
              <w:autoSpaceDN/>
              <w:adjustRightInd/>
              <w:spacing w:after="120" w:line="259" w:lineRule="auto"/>
              <w:ind w:left="605" w:hanging="360"/>
              <w:jc w:val="both"/>
              <w:textAlignment w:val="auto"/>
              <w:rPr>
                <w:rFonts w:asciiTheme="minorHAnsi" w:eastAsia="DengXian" w:hAnsiTheme="minorHAnsi" w:cstheme="minorBidi"/>
                <w:color w:val="000000"/>
                <w:lang w:eastAsia="zh-CN"/>
              </w:rPr>
            </w:pPr>
            <w:r w:rsidRPr="58BAADD2">
              <w:rPr>
                <w:rFonts w:eastAsia="DengXian" w:cstheme="minorBidi"/>
                <w:color w:val="000000" w:themeColor="text1"/>
                <w:lang w:eastAsia="zh-CN"/>
              </w:rPr>
              <w:t>–</w:t>
            </w:r>
            <w:r>
              <w:tab/>
            </w:r>
            <w:r w:rsidR="00125FE2" w:rsidRPr="58BAADD2">
              <w:rPr>
                <w:rFonts w:asciiTheme="minorHAnsi" w:eastAsia="DengXian" w:hAnsiTheme="minorHAnsi" w:cstheme="minorBidi"/>
                <w:color w:val="000000" w:themeColor="text1"/>
                <w:lang w:eastAsia="zh-CN"/>
              </w:rPr>
              <w:t xml:space="preserve">The monitoring of Target 17.8 by collecting and disseminating a number of relevant ICT indicators that enable assessment of progress made by countries, including on Internet access and usage by households and individuals, international bandwidth and ICT prices. Activities are carried out in close collaboration with the Partnership on Measuring ICT for Development; </w:t>
            </w:r>
          </w:p>
          <w:p w14:paraId="1BA5A03B" w14:textId="7E31B6D3" w:rsidR="00125FE2" w:rsidRPr="00D27063" w:rsidRDefault="00D27063" w:rsidP="00680BB7">
            <w:pPr>
              <w:tabs>
                <w:tab w:val="clear" w:pos="567"/>
                <w:tab w:val="clear" w:pos="1134"/>
                <w:tab w:val="clear" w:pos="1701"/>
                <w:tab w:val="clear" w:pos="2268"/>
                <w:tab w:val="clear" w:pos="2835"/>
              </w:tabs>
              <w:overflowPunct/>
              <w:autoSpaceDE/>
              <w:autoSpaceDN/>
              <w:adjustRightInd/>
              <w:spacing w:after="120" w:line="259" w:lineRule="auto"/>
              <w:ind w:left="605" w:hanging="360"/>
              <w:jc w:val="both"/>
              <w:textAlignment w:val="auto"/>
              <w:rPr>
                <w:rFonts w:asciiTheme="minorHAnsi" w:eastAsia="DengXian" w:hAnsiTheme="minorHAnsi" w:cstheme="minorBidi"/>
                <w:color w:val="000000"/>
                <w:lang w:eastAsia="zh-CN"/>
              </w:rPr>
            </w:pPr>
            <w:r w:rsidRPr="58BAADD2">
              <w:rPr>
                <w:rFonts w:eastAsia="DengXian" w:cstheme="minorBidi"/>
                <w:color w:val="000000" w:themeColor="text1"/>
                <w:lang w:eastAsia="zh-CN"/>
              </w:rPr>
              <w:t>–</w:t>
            </w:r>
            <w:r>
              <w:tab/>
            </w:r>
            <w:r w:rsidR="00125FE2" w:rsidRPr="58BAADD2">
              <w:rPr>
                <w:rFonts w:asciiTheme="minorHAnsi" w:eastAsia="DengXian" w:hAnsiTheme="minorHAnsi" w:cstheme="minorBidi"/>
                <w:color w:val="000000" w:themeColor="text1"/>
                <w:lang w:eastAsia="zh-CN"/>
              </w:rPr>
              <w:t xml:space="preserve">Promoting ICT regulatory policies enhancing policy coherence, notably by making knowledge exchange tools and platforms available, raising awareness about the importance of an enabling environment; </w:t>
            </w:r>
          </w:p>
          <w:p w14:paraId="3C00AB0F" w14:textId="410BA297" w:rsidR="00125FE2" w:rsidRPr="00D27063" w:rsidRDefault="00D27063" w:rsidP="00680BB7">
            <w:pPr>
              <w:tabs>
                <w:tab w:val="clear" w:pos="567"/>
                <w:tab w:val="clear" w:pos="1134"/>
                <w:tab w:val="clear" w:pos="1701"/>
                <w:tab w:val="clear" w:pos="2268"/>
                <w:tab w:val="clear" w:pos="2835"/>
              </w:tabs>
              <w:overflowPunct/>
              <w:autoSpaceDE/>
              <w:autoSpaceDN/>
              <w:adjustRightInd/>
              <w:spacing w:after="120" w:line="259" w:lineRule="auto"/>
              <w:ind w:left="605" w:hanging="360"/>
              <w:jc w:val="both"/>
              <w:textAlignment w:val="auto"/>
              <w:rPr>
                <w:rFonts w:asciiTheme="minorHAnsi" w:eastAsia="DengXian" w:hAnsiTheme="minorHAnsi" w:cstheme="minorBidi"/>
                <w:color w:val="000000"/>
                <w:lang w:eastAsia="zh-CN"/>
              </w:rPr>
            </w:pPr>
            <w:r w:rsidRPr="58BAADD2">
              <w:rPr>
                <w:rFonts w:eastAsia="DengXian" w:cstheme="minorBidi"/>
                <w:color w:val="000000" w:themeColor="text1"/>
                <w:lang w:eastAsia="zh-CN"/>
              </w:rPr>
              <w:t>–</w:t>
            </w:r>
            <w:r>
              <w:tab/>
            </w:r>
            <w:r w:rsidR="00125FE2" w:rsidRPr="58BAADD2">
              <w:rPr>
                <w:rFonts w:asciiTheme="minorHAnsi" w:eastAsia="DengXian" w:hAnsiTheme="minorHAnsi" w:cstheme="minorBidi"/>
                <w:color w:val="000000" w:themeColor="text1"/>
                <w:lang w:eastAsia="zh-CN"/>
              </w:rPr>
              <w:t xml:space="preserve">Building harmonized regulatory frameworks within and across regions, and establishing a broader and inclusive dialogue and enhanced cooperation among all stakeholders; </w:t>
            </w:r>
          </w:p>
          <w:p w14:paraId="00AF3E10" w14:textId="17452C4A" w:rsidR="00125FE2" w:rsidRPr="00D27063" w:rsidRDefault="00D27063" w:rsidP="00680BB7">
            <w:pPr>
              <w:tabs>
                <w:tab w:val="clear" w:pos="567"/>
                <w:tab w:val="clear" w:pos="1134"/>
                <w:tab w:val="clear" w:pos="1701"/>
                <w:tab w:val="clear" w:pos="2268"/>
                <w:tab w:val="clear" w:pos="2835"/>
              </w:tabs>
              <w:overflowPunct/>
              <w:autoSpaceDE/>
              <w:autoSpaceDN/>
              <w:adjustRightInd/>
              <w:spacing w:after="120" w:line="259" w:lineRule="auto"/>
              <w:ind w:left="605" w:hanging="360"/>
              <w:jc w:val="both"/>
              <w:textAlignment w:val="auto"/>
              <w:rPr>
                <w:rFonts w:asciiTheme="minorHAnsi" w:eastAsia="DengXian" w:hAnsiTheme="minorHAnsi" w:cstheme="minorBidi"/>
                <w:color w:val="000000"/>
                <w:lang w:eastAsia="zh-CN"/>
              </w:rPr>
            </w:pPr>
            <w:r w:rsidRPr="58BAADD2">
              <w:rPr>
                <w:rFonts w:eastAsia="DengXian" w:cstheme="minorBidi"/>
                <w:color w:val="000000" w:themeColor="text1"/>
                <w:lang w:eastAsia="zh-CN"/>
              </w:rPr>
              <w:t>–</w:t>
            </w:r>
            <w:r>
              <w:tab/>
            </w:r>
            <w:r w:rsidR="00125FE2" w:rsidRPr="58BAADD2">
              <w:rPr>
                <w:rFonts w:asciiTheme="minorHAnsi" w:eastAsia="DengXian" w:hAnsiTheme="minorHAnsi" w:cstheme="minorBidi"/>
                <w:color w:val="000000" w:themeColor="text1"/>
                <w:lang w:eastAsia="zh-CN"/>
              </w:rPr>
              <w:t xml:space="preserve">Enhancing the global partnership for sustainable development by working with governments, through their policy making and development of institutional frameworks for the ICT sector as well as with the private sector, to lay the foundation of modern digital economies; </w:t>
            </w:r>
          </w:p>
          <w:p w14:paraId="5DEC9698" w14:textId="46FFCD38" w:rsidR="00125FE2" w:rsidRPr="00D27063" w:rsidRDefault="00D27063" w:rsidP="00680BB7">
            <w:pPr>
              <w:tabs>
                <w:tab w:val="clear" w:pos="567"/>
                <w:tab w:val="clear" w:pos="1134"/>
                <w:tab w:val="clear" w:pos="1701"/>
                <w:tab w:val="clear" w:pos="2268"/>
                <w:tab w:val="clear" w:pos="2835"/>
              </w:tabs>
              <w:overflowPunct/>
              <w:autoSpaceDE/>
              <w:autoSpaceDN/>
              <w:adjustRightInd/>
              <w:spacing w:after="120" w:line="259" w:lineRule="auto"/>
              <w:ind w:left="605" w:hanging="357"/>
              <w:jc w:val="both"/>
              <w:textAlignment w:val="auto"/>
              <w:rPr>
                <w:rFonts w:asciiTheme="minorHAnsi" w:eastAsia="DengXian" w:hAnsiTheme="minorHAnsi" w:cstheme="minorBidi"/>
                <w:color w:val="000000"/>
                <w:lang w:eastAsia="zh-CN"/>
              </w:rPr>
            </w:pPr>
            <w:r w:rsidRPr="58BAADD2">
              <w:rPr>
                <w:rFonts w:eastAsia="DengXian" w:cstheme="minorBidi"/>
                <w:color w:val="000000" w:themeColor="text1"/>
                <w:lang w:eastAsia="zh-CN"/>
              </w:rPr>
              <w:t>–</w:t>
            </w:r>
            <w:r>
              <w:tab/>
            </w:r>
            <w:r w:rsidR="00125FE2" w:rsidRPr="58BAADD2">
              <w:rPr>
                <w:rFonts w:asciiTheme="minorHAnsi" w:eastAsia="DengXian" w:hAnsiTheme="minorHAnsi" w:cstheme="minorBidi"/>
                <w:color w:val="000000" w:themeColor="text1"/>
                <w:lang w:eastAsia="zh-CN"/>
              </w:rPr>
              <w:t>The ITU and United Kingdom’s FCDO partnership around four streams of work to support digital inclusion in Digital Access Partnership countries in Kenya, Nigeria, South Africa, Indonesia and Brazil, namely support toward a strengthened enabling policy and regulatory environment, sustainable connectivity models, partnerships, and digital skills, saw stakeholders engaged through the work in each of the five countries. The platform provided for stakeholders in the national ecosystem to engage, share, and tap into each other’s expertise and insights for future joint work. The coordination and bringing together of initiatives also saw the crystallization of gaps, opportunities, and co-creation of guidance that could inform further interventions;</w:t>
            </w:r>
          </w:p>
          <w:p w14:paraId="585A3A8E" w14:textId="5EA0E545" w:rsidR="00125FE2" w:rsidRPr="00D27063" w:rsidRDefault="00D27063" w:rsidP="00680BB7">
            <w:pPr>
              <w:tabs>
                <w:tab w:val="clear" w:pos="567"/>
                <w:tab w:val="clear" w:pos="1134"/>
                <w:tab w:val="clear" w:pos="1701"/>
                <w:tab w:val="clear" w:pos="2268"/>
                <w:tab w:val="clear" w:pos="2835"/>
              </w:tabs>
              <w:overflowPunct/>
              <w:autoSpaceDE/>
              <w:autoSpaceDN/>
              <w:adjustRightInd/>
              <w:spacing w:after="120" w:line="259" w:lineRule="auto"/>
              <w:ind w:left="607" w:hanging="360"/>
              <w:jc w:val="both"/>
              <w:textAlignment w:val="auto"/>
              <w:rPr>
                <w:rFonts w:asciiTheme="minorHAnsi" w:eastAsia="DengXian" w:hAnsiTheme="minorHAnsi" w:cstheme="minorBidi"/>
                <w:color w:val="000000"/>
                <w:lang w:eastAsia="zh-CN"/>
              </w:rPr>
            </w:pPr>
            <w:r w:rsidRPr="58BAADD2">
              <w:rPr>
                <w:rFonts w:eastAsia="DengXian" w:cstheme="minorBidi"/>
                <w:color w:val="000000" w:themeColor="text1"/>
                <w:lang w:eastAsia="zh-CN"/>
              </w:rPr>
              <w:t>–</w:t>
            </w:r>
            <w:r>
              <w:tab/>
            </w:r>
            <w:r w:rsidR="00125FE2" w:rsidRPr="58BAADD2">
              <w:rPr>
                <w:rFonts w:asciiTheme="minorHAnsi" w:eastAsia="DengXian" w:hAnsiTheme="minorHAnsi" w:cstheme="minorBidi"/>
                <w:color w:val="000000" w:themeColor="text1"/>
                <w:lang w:eastAsia="zh-CN"/>
              </w:rPr>
              <w:t>ITU has collaborated in circular economy projects on e-waste policy and regulation with international funding partners that include UN Environment Programme and UN Institute for Training and Research, GIZ, Government of the Kingdom of Saudi Arabia, Government of Australia and Government of Colombia to provide technical assistance. ITU continued to convene global thought-leaders, experts and the public and private sector organisations critical to addressing the global e-waste challenge and circular economy, through its continued participation in the E-waste Coalition, Global E-waste Statistics Partnership, Circular Electronics Partnership and the Solving the E-waste Problem initiative. Under the climate change programme, ITU has collaborated in projects with international funding partners that include the Government of the Republic of South Korea, the World Benchmarking Alliance (WBA), the World Bank and GIZ to provide technical assistance to countries in the areas of data and policy for greenhouse gas (GHG) emissions and energy use from the ICT sector;</w:t>
            </w:r>
          </w:p>
          <w:p w14:paraId="18855020" w14:textId="43443E7C" w:rsidR="00125FE2" w:rsidRPr="00D27063" w:rsidRDefault="00D27063" w:rsidP="00680BB7">
            <w:pPr>
              <w:tabs>
                <w:tab w:val="clear" w:pos="567"/>
                <w:tab w:val="clear" w:pos="1134"/>
                <w:tab w:val="clear" w:pos="1701"/>
                <w:tab w:val="clear" w:pos="2268"/>
                <w:tab w:val="clear" w:pos="2835"/>
              </w:tabs>
              <w:overflowPunct/>
              <w:autoSpaceDE/>
              <w:autoSpaceDN/>
              <w:adjustRightInd/>
              <w:spacing w:after="120" w:line="259" w:lineRule="auto"/>
              <w:ind w:left="607" w:hanging="247"/>
              <w:jc w:val="both"/>
              <w:textAlignment w:val="auto"/>
              <w:rPr>
                <w:rFonts w:asciiTheme="minorHAnsi" w:eastAsia="DengXian" w:hAnsiTheme="minorHAnsi" w:cstheme="minorBidi"/>
                <w:color w:val="000000"/>
                <w:lang w:eastAsia="zh-CN"/>
              </w:rPr>
            </w:pPr>
            <w:r w:rsidRPr="58BAADD2">
              <w:rPr>
                <w:rFonts w:eastAsia="DengXian" w:cstheme="minorBidi"/>
                <w:color w:val="000000" w:themeColor="text1"/>
                <w:lang w:eastAsia="zh-CN"/>
              </w:rPr>
              <w:lastRenderedPageBreak/>
              <w:t>–</w:t>
            </w:r>
            <w:r>
              <w:tab/>
            </w:r>
            <w:r w:rsidR="00125FE2" w:rsidRPr="58BAADD2">
              <w:rPr>
                <w:rFonts w:asciiTheme="minorHAnsi" w:eastAsia="DengXian" w:hAnsiTheme="minorHAnsi" w:cstheme="minorBidi"/>
                <w:color w:val="000000" w:themeColor="text1"/>
                <w:lang w:eastAsia="zh-CN"/>
              </w:rPr>
              <w:t xml:space="preserve">The UN Secretary-General launched the </w:t>
            </w:r>
            <w:proofErr w:type="spellStart"/>
            <w:r w:rsidR="00125FE2" w:rsidRPr="58BAADD2">
              <w:rPr>
                <w:rFonts w:asciiTheme="minorHAnsi" w:eastAsia="DengXian" w:hAnsiTheme="minorHAnsi" w:cstheme="minorBidi"/>
                <w:color w:val="000000" w:themeColor="text1"/>
                <w:lang w:eastAsia="zh-CN"/>
              </w:rPr>
              <w:t>EW4All</w:t>
            </w:r>
            <w:proofErr w:type="spellEnd"/>
            <w:r w:rsidR="00125FE2" w:rsidRPr="58BAADD2">
              <w:rPr>
                <w:rFonts w:asciiTheme="minorHAnsi" w:eastAsia="DengXian" w:hAnsiTheme="minorHAnsi" w:cstheme="minorBidi"/>
                <w:color w:val="000000" w:themeColor="text1"/>
                <w:lang w:eastAsia="zh-CN"/>
              </w:rPr>
              <w:t xml:space="preserve"> initiative in 2022, with the ambitious goal that every person on Earth will be protected by an early warning system (</w:t>
            </w:r>
            <w:proofErr w:type="spellStart"/>
            <w:r w:rsidR="00125FE2" w:rsidRPr="58BAADD2">
              <w:rPr>
                <w:rFonts w:asciiTheme="minorHAnsi" w:eastAsia="DengXian" w:hAnsiTheme="minorHAnsi" w:cstheme="minorBidi"/>
                <w:color w:val="000000" w:themeColor="text1"/>
                <w:lang w:eastAsia="zh-CN"/>
              </w:rPr>
              <w:t>EWS</w:t>
            </w:r>
            <w:proofErr w:type="spellEnd"/>
            <w:r w:rsidR="00125FE2" w:rsidRPr="58BAADD2">
              <w:rPr>
                <w:rFonts w:asciiTheme="minorHAnsi" w:eastAsia="DengXian" w:hAnsiTheme="minorHAnsi" w:cstheme="minorBidi"/>
                <w:color w:val="000000" w:themeColor="text1"/>
                <w:lang w:eastAsia="zh-CN"/>
              </w:rPr>
              <w:t xml:space="preserve">). It is built on four pillars co-led by: Pillar 1: Disaster risk and knowledge management led by </w:t>
            </w:r>
            <w:proofErr w:type="spellStart"/>
            <w:r w:rsidR="00125FE2" w:rsidRPr="58BAADD2">
              <w:rPr>
                <w:rFonts w:asciiTheme="minorHAnsi" w:eastAsia="DengXian" w:hAnsiTheme="minorHAnsi" w:cstheme="minorBidi"/>
                <w:color w:val="000000" w:themeColor="text1"/>
                <w:lang w:eastAsia="zh-CN"/>
              </w:rPr>
              <w:t>UNDRR</w:t>
            </w:r>
            <w:proofErr w:type="spellEnd"/>
            <w:r w:rsidR="00125FE2" w:rsidRPr="58BAADD2">
              <w:rPr>
                <w:rFonts w:asciiTheme="minorHAnsi" w:eastAsia="DengXian" w:hAnsiTheme="minorHAnsi" w:cstheme="minorBidi"/>
                <w:color w:val="000000" w:themeColor="text1"/>
                <w:lang w:eastAsia="zh-CN"/>
              </w:rPr>
              <w:t xml:space="preserve">; Pillar 2: Detection, observation, monitoring, analysis and forecasting led by WMO; Pillar 3: Warning dissemination and communication led by ITU; and Pillar 4: Preparedness and response capabilities led by IFRC. In leading the initiative’s Pillar 3, ITU targets to ensure that alerts reach all people at risk—timely, reliably, and at scale and works closely with a variety of public and private sector partners. The </w:t>
            </w:r>
            <w:proofErr w:type="spellStart"/>
            <w:r w:rsidR="00125FE2" w:rsidRPr="58BAADD2">
              <w:rPr>
                <w:rFonts w:asciiTheme="minorHAnsi" w:eastAsia="DengXian" w:hAnsiTheme="minorHAnsi" w:cstheme="minorBidi"/>
                <w:color w:val="000000" w:themeColor="text1"/>
                <w:lang w:eastAsia="zh-CN"/>
              </w:rPr>
              <w:t>EW4All</w:t>
            </w:r>
            <w:proofErr w:type="spellEnd"/>
            <w:r w:rsidR="00125FE2" w:rsidRPr="58BAADD2">
              <w:rPr>
                <w:rFonts w:asciiTheme="minorHAnsi" w:eastAsia="DengXian" w:hAnsiTheme="minorHAnsi" w:cstheme="minorBidi"/>
                <w:color w:val="000000" w:themeColor="text1"/>
                <w:lang w:eastAsia="zh-CN"/>
              </w:rPr>
              <w:t xml:space="preserve"> has an Advisory Pane which includes representatives from WMO, </w:t>
            </w:r>
            <w:proofErr w:type="spellStart"/>
            <w:r w:rsidR="00125FE2" w:rsidRPr="58BAADD2">
              <w:rPr>
                <w:rFonts w:asciiTheme="minorHAnsi" w:eastAsia="DengXian" w:hAnsiTheme="minorHAnsi" w:cstheme="minorBidi"/>
                <w:color w:val="000000" w:themeColor="text1"/>
                <w:lang w:eastAsia="zh-CN"/>
              </w:rPr>
              <w:t>UNDRR</w:t>
            </w:r>
            <w:proofErr w:type="spellEnd"/>
            <w:r w:rsidR="00125FE2" w:rsidRPr="58BAADD2">
              <w:rPr>
                <w:rFonts w:asciiTheme="minorHAnsi" w:eastAsia="DengXian" w:hAnsiTheme="minorHAnsi" w:cstheme="minorBidi"/>
                <w:color w:val="000000" w:themeColor="text1"/>
                <w:lang w:eastAsia="zh-CN"/>
              </w:rPr>
              <w:t xml:space="preserve">, ITU, IFRC, the UN, UNDP, UNDP, UNICEF, Green Climate Fund, Microsoft, GSMA, CREWS, SOFF, UNFCCC, OCHA, Women's Environment &amp; Development Organization, Insurance Development Forum and </w:t>
            </w:r>
            <w:proofErr w:type="spellStart"/>
            <w:r w:rsidR="00125FE2" w:rsidRPr="58BAADD2">
              <w:rPr>
                <w:rFonts w:asciiTheme="minorHAnsi" w:eastAsia="DengXian" w:hAnsiTheme="minorHAnsi" w:cstheme="minorBidi"/>
                <w:color w:val="000000" w:themeColor="text1"/>
                <w:lang w:eastAsia="zh-CN"/>
              </w:rPr>
              <w:t>IDB</w:t>
            </w:r>
            <w:proofErr w:type="spellEnd"/>
            <w:r w:rsidR="00125FE2" w:rsidRPr="58BAADD2">
              <w:rPr>
                <w:rFonts w:asciiTheme="minorHAnsi" w:eastAsia="DengXian" w:hAnsiTheme="minorHAnsi" w:cstheme="minorBidi"/>
                <w:color w:val="000000" w:themeColor="text1"/>
                <w:lang w:eastAsia="zh-CN"/>
              </w:rPr>
              <w:t>. The Early Warnings for All is financially supported by the Ministry of Internal Affairs and Communications (MIC) of Japan, the Swedish International Development Agency (SIDA), the Ministry of Foreign Affairs of Denmark, and the Climate Risk and Early Warning Systems (CREWS) Fund. Through this initiative, ITU provided support to Member States in their efforts to strengthen the capacity to use ICTs to build effective early warning systems and save lives;</w:t>
            </w:r>
          </w:p>
          <w:p w14:paraId="4D5F9CBD" w14:textId="13C50155" w:rsidR="00125FE2" w:rsidRPr="00D27063" w:rsidRDefault="00D27063" w:rsidP="00680BB7">
            <w:pPr>
              <w:tabs>
                <w:tab w:val="clear" w:pos="567"/>
                <w:tab w:val="clear" w:pos="1134"/>
                <w:tab w:val="clear" w:pos="1701"/>
                <w:tab w:val="clear" w:pos="2268"/>
                <w:tab w:val="clear" w:pos="2835"/>
              </w:tabs>
              <w:overflowPunct/>
              <w:autoSpaceDE/>
              <w:autoSpaceDN/>
              <w:adjustRightInd/>
              <w:spacing w:after="120" w:line="259" w:lineRule="auto"/>
              <w:ind w:left="607" w:hanging="360"/>
              <w:jc w:val="both"/>
              <w:textAlignment w:val="auto"/>
              <w:rPr>
                <w:rFonts w:asciiTheme="minorHAnsi" w:eastAsia="DengXian" w:hAnsiTheme="minorHAnsi" w:cstheme="minorBidi"/>
                <w:color w:val="000000"/>
                <w:lang w:eastAsia="zh-CN"/>
              </w:rPr>
            </w:pPr>
            <w:r w:rsidRPr="58BAADD2">
              <w:rPr>
                <w:rFonts w:eastAsia="DengXian" w:cstheme="minorBidi"/>
                <w:color w:val="000000" w:themeColor="text1"/>
                <w:lang w:eastAsia="zh-CN"/>
              </w:rPr>
              <w:t>–</w:t>
            </w:r>
            <w:r>
              <w:tab/>
            </w:r>
            <w:r w:rsidR="00125FE2" w:rsidRPr="58BAADD2">
              <w:rPr>
                <w:rFonts w:asciiTheme="minorHAnsi" w:eastAsia="DengXian" w:hAnsiTheme="minorHAnsi" w:cstheme="minorBidi"/>
                <w:color w:val="000000" w:themeColor="text1"/>
                <w:lang w:eastAsia="zh-CN"/>
              </w:rPr>
              <w:t xml:space="preserve">ITU leads the coordination of the AI Sub-group of </w:t>
            </w:r>
            <w:proofErr w:type="spellStart"/>
            <w:r w:rsidR="00125FE2" w:rsidRPr="58BAADD2">
              <w:rPr>
                <w:rFonts w:asciiTheme="minorHAnsi" w:eastAsia="DengXian" w:hAnsiTheme="minorHAnsi" w:cstheme="minorBidi"/>
                <w:color w:val="000000" w:themeColor="text1"/>
                <w:lang w:eastAsia="zh-CN"/>
              </w:rPr>
              <w:t>EW4All</w:t>
            </w:r>
            <w:proofErr w:type="spellEnd"/>
            <w:r w:rsidR="00125FE2" w:rsidRPr="58BAADD2">
              <w:rPr>
                <w:rFonts w:asciiTheme="minorHAnsi" w:eastAsia="DengXian" w:hAnsiTheme="minorHAnsi" w:cstheme="minorBidi"/>
                <w:color w:val="000000" w:themeColor="text1"/>
                <w:lang w:eastAsia="zh-CN"/>
              </w:rPr>
              <w:t xml:space="preserve">, in partnership with WMO, IFRC and </w:t>
            </w:r>
            <w:proofErr w:type="spellStart"/>
            <w:r w:rsidR="00125FE2" w:rsidRPr="58BAADD2">
              <w:rPr>
                <w:rFonts w:asciiTheme="minorHAnsi" w:eastAsia="DengXian" w:hAnsiTheme="minorHAnsi" w:cstheme="minorBidi"/>
                <w:color w:val="000000" w:themeColor="text1"/>
                <w:lang w:eastAsia="zh-CN"/>
              </w:rPr>
              <w:t>UNDRR</w:t>
            </w:r>
            <w:proofErr w:type="spellEnd"/>
            <w:r w:rsidR="00125FE2" w:rsidRPr="58BAADD2">
              <w:rPr>
                <w:rFonts w:asciiTheme="minorHAnsi" w:eastAsia="DengXian" w:hAnsiTheme="minorHAnsi" w:cstheme="minorBidi"/>
                <w:color w:val="000000" w:themeColor="text1"/>
                <w:lang w:eastAsia="zh-CN"/>
              </w:rPr>
              <w:t xml:space="preserve">. This group brings together the </w:t>
            </w:r>
            <w:proofErr w:type="spellStart"/>
            <w:r w:rsidR="00125FE2" w:rsidRPr="58BAADD2">
              <w:rPr>
                <w:rFonts w:asciiTheme="minorHAnsi" w:eastAsia="DengXian" w:hAnsiTheme="minorHAnsi" w:cstheme="minorBidi"/>
                <w:color w:val="000000" w:themeColor="text1"/>
                <w:lang w:eastAsia="zh-CN"/>
              </w:rPr>
              <w:t>EW4All</w:t>
            </w:r>
            <w:proofErr w:type="spellEnd"/>
            <w:r w:rsidR="00125FE2" w:rsidRPr="58BAADD2">
              <w:rPr>
                <w:rFonts w:asciiTheme="minorHAnsi" w:eastAsia="DengXian" w:hAnsiTheme="minorHAnsi" w:cstheme="minorBidi"/>
                <w:color w:val="000000" w:themeColor="text1"/>
                <w:lang w:eastAsia="zh-CN"/>
              </w:rPr>
              <w:t xml:space="preserve"> partners and 140+ members from both private and public sectors. The sub-group identifies gaps in early warning systems o explores AI-based solutions that respond to country needs </w:t>
            </w:r>
            <w:proofErr w:type="spellStart"/>
            <w:r w:rsidR="00125FE2" w:rsidRPr="58BAADD2">
              <w:rPr>
                <w:rFonts w:asciiTheme="minorHAnsi" w:eastAsia="DengXian" w:hAnsiTheme="minorHAnsi" w:cstheme="minorBidi"/>
                <w:color w:val="000000" w:themeColor="text1"/>
                <w:lang w:eastAsia="zh-CN"/>
              </w:rPr>
              <w:t>o</w:t>
            </w:r>
            <w:proofErr w:type="spellEnd"/>
            <w:r w:rsidR="00125FE2" w:rsidRPr="58BAADD2">
              <w:rPr>
                <w:rFonts w:asciiTheme="minorHAnsi" w:eastAsia="DengXian" w:hAnsiTheme="minorHAnsi" w:cstheme="minorBidi"/>
                <w:color w:val="000000" w:themeColor="text1"/>
                <w:lang w:eastAsia="zh-CN"/>
              </w:rPr>
              <w:t xml:space="preserve"> aims to scale the solutions through country pilots to close gaps and use AI to strengthen early warning systems;</w:t>
            </w:r>
          </w:p>
          <w:p w14:paraId="680CD294" w14:textId="061E0762" w:rsidR="00125FE2" w:rsidRPr="00D27063" w:rsidRDefault="007A24D8" w:rsidP="00680BB7">
            <w:pPr>
              <w:tabs>
                <w:tab w:val="clear" w:pos="567"/>
                <w:tab w:val="clear" w:pos="1134"/>
                <w:tab w:val="clear" w:pos="1701"/>
                <w:tab w:val="clear" w:pos="2268"/>
                <w:tab w:val="clear" w:pos="2835"/>
              </w:tabs>
              <w:overflowPunct/>
              <w:autoSpaceDE/>
              <w:autoSpaceDN/>
              <w:adjustRightInd/>
              <w:spacing w:after="120" w:line="259" w:lineRule="auto"/>
              <w:ind w:left="607" w:hanging="360"/>
              <w:jc w:val="both"/>
              <w:textAlignment w:val="auto"/>
              <w:rPr>
                <w:rFonts w:asciiTheme="minorHAnsi" w:eastAsia="DengXian" w:hAnsiTheme="minorHAnsi" w:cstheme="minorBidi"/>
                <w:color w:val="000000"/>
                <w:lang w:eastAsia="zh-CN"/>
              </w:rPr>
            </w:pPr>
            <w:r w:rsidRPr="58BAADD2">
              <w:rPr>
                <w:rFonts w:eastAsia="DengXian" w:cstheme="minorBidi"/>
                <w:color w:val="000000" w:themeColor="text1"/>
                <w:lang w:eastAsia="zh-CN"/>
              </w:rPr>
              <w:t>–</w:t>
            </w:r>
            <w:r>
              <w:tab/>
            </w:r>
            <w:r w:rsidR="00125FE2" w:rsidRPr="58BAADD2">
              <w:rPr>
                <w:rFonts w:asciiTheme="minorHAnsi" w:eastAsia="DengXian" w:hAnsiTheme="minorHAnsi" w:cstheme="minorBidi"/>
                <w:color w:val="000000" w:themeColor="text1"/>
                <w:lang w:eastAsia="zh-CN"/>
              </w:rPr>
              <w:t xml:space="preserve">The </w:t>
            </w:r>
            <w:proofErr w:type="spellStart"/>
            <w:r w:rsidR="00125FE2" w:rsidRPr="58BAADD2">
              <w:rPr>
                <w:rFonts w:asciiTheme="minorHAnsi" w:eastAsia="DengXian" w:hAnsiTheme="minorHAnsi" w:cstheme="minorBidi"/>
                <w:color w:val="000000" w:themeColor="text1"/>
                <w:lang w:eastAsia="zh-CN"/>
              </w:rPr>
              <w:t>EW4All</w:t>
            </w:r>
            <w:proofErr w:type="spellEnd"/>
            <w:r w:rsidR="00125FE2" w:rsidRPr="58BAADD2">
              <w:rPr>
                <w:rFonts w:asciiTheme="minorHAnsi" w:eastAsia="DengXian" w:hAnsiTheme="minorHAnsi" w:cstheme="minorBidi"/>
                <w:color w:val="000000" w:themeColor="text1"/>
                <w:lang w:eastAsia="zh-CN"/>
              </w:rPr>
              <w:t xml:space="preserve"> Technical Expert Group on Mobile Early Warning Systems was established as part of ITU’s lead of Pillar 3. This online-based group, which brings together early warning system experts from national governments, fosters experience-sharing and expertise-building in setting up and enhancing public </w:t>
            </w:r>
            <w:proofErr w:type="spellStart"/>
            <w:r w:rsidR="00125FE2" w:rsidRPr="58BAADD2">
              <w:rPr>
                <w:rFonts w:asciiTheme="minorHAnsi" w:eastAsia="DengXian" w:hAnsiTheme="minorHAnsi" w:cstheme="minorBidi"/>
                <w:color w:val="000000" w:themeColor="text1"/>
                <w:lang w:eastAsia="zh-CN"/>
              </w:rPr>
              <w:t>EWS</w:t>
            </w:r>
            <w:proofErr w:type="spellEnd"/>
            <w:r w:rsidR="00125FE2" w:rsidRPr="58BAADD2">
              <w:rPr>
                <w:rFonts w:asciiTheme="minorHAnsi" w:eastAsia="DengXian" w:hAnsiTheme="minorHAnsi" w:cstheme="minorBidi"/>
                <w:color w:val="000000" w:themeColor="text1"/>
                <w:lang w:eastAsia="zh-CN"/>
              </w:rPr>
              <w:t xml:space="preserve"> and last-mile communication and improving resilience. Topics covered under TEG-Mobile: Public warning systems (</w:t>
            </w:r>
            <w:proofErr w:type="spellStart"/>
            <w:r w:rsidR="00125FE2" w:rsidRPr="58BAADD2">
              <w:rPr>
                <w:rFonts w:asciiTheme="minorHAnsi" w:eastAsia="DengXian" w:hAnsiTheme="minorHAnsi" w:cstheme="minorBidi"/>
                <w:color w:val="000000" w:themeColor="text1"/>
                <w:lang w:eastAsia="zh-CN"/>
              </w:rPr>
              <w:t>PWS</w:t>
            </w:r>
            <w:proofErr w:type="spellEnd"/>
            <w:r w:rsidR="00125FE2" w:rsidRPr="58BAADD2">
              <w:rPr>
                <w:rFonts w:asciiTheme="minorHAnsi" w:eastAsia="DengXian" w:hAnsiTheme="minorHAnsi" w:cstheme="minorBidi"/>
                <w:color w:val="000000" w:themeColor="text1"/>
                <w:lang w:eastAsia="zh-CN"/>
              </w:rPr>
              <w:t>) architecture and regulation; and Cell-broadcast implementation; Multi-channel deployment; Satellite adaptation; Standardization, including, for example, for handset and chip manufacturers; and Awareness raising and communication to communities;</w:t>
            </w:r>
          </w:p>
          <w:p w14:paraId="4EF76263" w14:textId="285EDCC6" w:rsidR="00125FE2" w:rsidRPr="00D27063" w:rsidRDefault="007A24D8" w:rsidP="00680BB7">
            <w:pPr>
              <w:tabs>
                <w:tab w:val="clear" w:pos="567"/>
                <w:tab w:val="clear" w:pos="1134"/>
                <w:tab w:val="clear" w:pos="1701"/>
                <w:tab w:val="clear" w:pos="2268"/>
                <w:tab w:val="clear" w:pos="2835"/>
              </w:tabs>
              <w:overflowPunct/>
              <w:autoSpaceDE/>
              <w:autoSpaceDN/>
              <w:adjustRightInd/>
              <w:spacing w:after="120" w:line="259" w:lineRule="auto"/>
              <w:ind w:left="605" w:hanging="360"/>
              <w:jc w:val="both"/>
              <w:textAlignment w:val="auto"/>
              <w:rPr>
                <w:rFonts w:asciiTheme="minorHAnsi" w:eastAsia="DengXian" w:hAnsiTheme="minorHAnsi" w:cstheme="minorBidi"/>
                <w:color w:val="000000"/>
                <w:lang w:eastAsia="zh-CN"/>
              </w:rPr>
            </w:pPr>
            <w:r w:rsidRPr="58BAADD2">
              <w:rPr>
                <w:rFonts w:eastAsia="DengXian" w:cstheme="minorBidi"/>
                <w:color w:val="000000" w:themeColor="text1"/>
                <w:lang w:eastAsia="zh-CN"/>
              </w:rPr>
              <w:t>–</w:t>
            </w:r>
            <w:r>
              <w:tab/>
            </w:r>
            <w:r w:rsidR="00125FE2" w:rsidRPr="58BAADD2">
              <w:rPr>
                <w:rFonts w:asciiTheme="minorHAnsi" w:eastAsia="DengXian" w:hAnsiTheme="minorHAnsi" w:cstheme="minorBidi"/>
                <w:color w:val="000000" w:themeColor="text1"/>
                <w:lang w:eastAsia="zh-CN"/>
              </w:rPr>
              <w:t xml:space="preserve">Encouraging and promoting effective public, public-private and civil society partnerships by partnering with a range of stakeholders to empower women, girls, youth, children, indigenous peoples and persons with disabilities(e.g. for example by leading the Thematic Area on Digital Skills of the Global Initiative for Decent Jobs for Youth, and through the ITU-ILO Digital Skills Campaign for Decent Jobs for Youth; by leading the global Child Online Protection (COP) Initiative, by leading the International Girls in ICT Campaign; by hosting EQUALS: the global partnership to bridge the gender digital divide or by contributing to the regional initiatives and events in ICT accessibility – ICT for all); </w:t>
            </w:r>
          </w:p>
          <w:p w14:paraId="03865C04" w14:textId="5DF5BB70" w:rsidR="00125FE2" w:rsidRPr="00D27063" w:rsidRDefault="007A24D8" w:rsidP="00680BB7">
            <w:pPr>
              <w:tabs>
                <w:tab w:val="clear" w:pos="567"/>
                <w:tab w:val="clear" w:pos="1134"/>
                <w:tab w:val="clear" w:pos="1701"/>
                <w:tab w:val="clear" w:pos="2268"/>
                <w:tab w:val="clear" w:pos="2835"/>
              </w:tabs>
              <w:overflowPunct/>
              <w:autoSpaceDE/>
              <w:autoSpaceDN/>
              <w:adjustRightInd/>
              <w:spacing w:after="120" w:line="259" w:lineRule="auto"/>
              <w:ind w:left="605" w:hanging="360"/>
              <w:jc w:val="both"/>
              <w:textAlignment w:val="auto"/>
              <w:rPr>
                <w:rFonts w:asciiTheme="minorHAnsi" w:eastAsia="DengXian" w:hAnsiTheme="minorHAnsi" w:cstheme="minorBidi"/>
                <w:lang w:eastAsia="zh-CN"/>
              </w:rPr>
            </w:pPr>
            <w:r w:rsidRPr="58BAADD2">
              <w:rPr>
                <w:rFonts w:eastAsia="DengXian" w:cstheme="minorBidi"/>
                <w:lang w:eastAsia="zh-CN"/>
              </w:rPr>
              <w:lastRenderedPageBreak/>
              <w:t>–</w:t>
            </w:r>
            <w:r>
              <w:tab/>
            </w:r>
            <w:r w:rsidR="00125FE2" w:rsidRPr="58BAADD2">
              <w:rPr>
                <w:rFonts w:asciiTheme="minorHAnsi" w:eastAsia="DengXian" w:hAnsiTheme="minorHAnsi" w:cstheme="minorBidi"/>
                <w:color w:val="000000" w:themeColor="text1"/>
                <w:lang w:eastAsia="zh-CN"/>
              </w:rPr>
              <w:t>An ongoing track record of inviting experts from developing countries to ITU meetings, workshops etc. Also, the Focus Group on Innovation studied cases of ICT innovations for developing countries and developed proposals for new standardization activities for ITU study groups and the ICT Innovation Panel;</w:t>
            </w:r>
          </w:p>
          <w:p w14:paraId="5484B615" w14:textId="4746374A" w:rsidR="00125FE2" w:rsidRPr="00D27063" w:rsidRDefault="007A24D8" w:rsidP="00680BB7">
            <w:pPr>
              <w:tabs>
                <w:tab w:val="clear" w:pos="567"/>
                <w:tab w:val="clear" w:pos="1134"/>
                <w:tab w:val="clear" w:pos="1701"/>
                <w:tab w:val="clear" w:pos="2268"/>
                <w:tab w:val="clear" w:pos="2835"/>
              </w:tabs>
              <w:overflowPunct/>
              <w:autoSpaceDE/>
              <w:autoSpaceDN/>
              <w:adjustRightInd/>
              <w:spacing w:after="120" w:line="259" w:lineRule="auto"/>
              <w:ind w:left="605" w:hanging="360"/>
              <w:jc w:val="both"/>
              <w:textAlignment w:val="auto"/>
              <w:rPr>
                <w:rFonts w:asciiTheme="minorHAnsi" w:eastAsia="DengXian" w:hAnsiTheme="minorHAnsi" w:cstheme="minorBidi"/>
                <w:color w:val="000000"/>
                <w:lang w:eastAsia="zh-CN"/>
              </w:rPr>
            </w:pPr>
            <w:r w:rsidRPr="58BAADD2">
              <w:rPr>
                <w:rFonts w:eastAsia="DengXian" w:cstheme="minorBidi"/>
                <w:color w:val="000000" w:themeColor="text1"/>
                <w:lang w:eastAsia="zh-CN"/>
              </w:rPr>
              <w:t>–</w:t>
            </w:r>
            <w:r>
              <w:tab/>
            </w:r>
            <w:r w:rsidR="00125FE2" w:rsidRPr="58BAADD2">
              <w:rPr>
                <w:rFonts w:asciiTheme="minorHAnsi" w:eastAsia="DengXian" w:hAnsiTheme="minorHAnsi" w:cstheme="minorBidi"/>
                <w:color w:val="000000" w:themeColor="text1"/>
                <w:lang w:eastAsia="zh-CN"/>
              </w:rPr>
              <w:t xml:space="preserve">Developing and disseminating best practices on the use of radiocommunications and organizing seminars and workshops, ITU contributes to enhance the use of enabling technologies, in particular information and communications technologies; </w:t>
            </w:r>
          </w:p>
          <w:p w14:paraId="024A190D" w14:textId="56726F31" w:rsidR="00125FE2" w:rsidRPr="00D27063" w:rsidRDefault="007A24D8" w:rsidP="00680BB7">
            <w:pPr>
              <w:tabs>
                <w:tab w:val="clear" w:pos="567"/>
                <w:tab w:val="clear" w:pos="1134"/>
                <w:tab w:val="clear" w:pos="1701"/>
                <w:tab w:val="clear" w:pos="2268"/>
                <w:tab w:val="clear" w:pos="2835"/>
              </w:tabs>
              <w:overflowPunct/>
              <w:autoSpaceDE/>
              <w:autoSpaceDN/>
              <w:adjustRightInd/>
              <w:spacing w:after="120" w:line="259" w:lineRule="auto"/>
              <w:ind w:left="605" w:hanging="360"/>
              <w:jc w:val="both"/>
              <w:textAlignment w:val="auto"/>
              <w:rPr>
                <w:rFonts w:asciiTheme="minorHAnsi" w:eastAsia="DengXian" w:hAnsiTheme="minorHAnsi" w:cstheme="minorBidi"/>
                <w:color w:val="000000"/>
                <w:lang w:eastAsia="zh-CN"/>
              </w:rPr>
            </w:pPr>
            <w:r w:rsidRPr="58BAADD2">
              <w:rPr>
                <w:rFonts w:eastAsia="DengXian" w:cstheme="minorBidi"/>
                <w:color w:val="000000" w:themeColor="text1"/>
                <w:lang w:eastAsia="zh-CN"/>
              </w:rPr>
              <w:t>–</w:t>
            </w:r>
            <w:r>
              <w:tab/>
            </w:r>
            <w:r w:rsidR="00125FE2" w:rsidRPr="58BAADD2">
              <w:rPr>
                <w:rFonts w:asciiTheme="minorHAnsi" w:eastAsia="DengXian" w:hAnsiTheme="minorHAnsi" w:cstheme="minorBidi"/>
                <w:color w:val="000000" w:themeColor="text1"/>
                <w:lang w:eastAsia="zh-CN"/>
              </w:rPr>
              <w:t xml:space="preserve">Cooperation and coordination with other standards developing organizations, such as through ITU Focus Groups, workshops and seminars, liaison activities etc.; </w:t>
            </w:r>
          </w:p>
          <w:p w14:paraId="6FAFBDE5" w14:textId="5E6C756B" w:rsidR="00125FE2" w:rsidRPr="00D27063" w:rsidRDefault="007A24D8" w:rsidP="00680BB7">
            <w:pPr>
              <w:tabs>
                <w:tab w:val="clear" w:pos="567"/>
                <w:tab w:val="clear" w:pos="1134"/>
                <w:tab w:val="clear" w:pos="1701"/>
                <w:tab w:val="clear" w:pos="2268"/>
                <w:tab w:val="clear" w:pos="2835"/>
              </w:tabs>
              <w:overflowPunct/>
              <w:autoSpaceDE/>
              <w:autoSpaceDN/>
              <w:adjustRightInd/>
              <w:spacing w:after="120" w:line="259" w:lineRule="auto"/>
              <w:ind w:left="605" w:hanging="360"/>
              <w:jc w:val="both"/>
              <w:textAlignment w:val="auto"/>
              <w:rPr>
                <w:rFonts w:asciiTheme="minorHAnsi" w:eastAsia="DengXian" w:hAnsiTheme="minorHAnsi" w:cstheme="minorBidi"/>
                <w:color w:val="000000"/>
                <w:lang w:eastAsia="zh-CN"/>
              </w:rPr>
            </w:pPr>
            <w:r w:rsidRPr="58BAADD2">
              <w:rPr>
                <w:rFonts w:eastAsia="DengXian" w:cstheme="minorBidi"/>
                <w:color w:val="000000" w:themeColor="text1"/>
                <w:lang w:eastAsia="zh-CN"/>
              </w:rPr>
              <w:t>–</w:t>
            </w:r>
            <w:r>
              <w:tab/>
            </w:r>
            <w:r w:rsidR="00125FE2" w:rsidRPr="58BAADD2">
              <w:rPr>
                <w:rFonts w:asciiTheme="minorHAnsi" w:eastAsia="DengXian" w:hAnsiTheme="minorHAnsi" w:cstheme="minorBidi"/>
                <w:color w:val="000000" w:themeColor="text1"/>
                <w:lang w:eastAsia="zh-CN"/>
              </w:rPr>
              <w:t xml:space="preserve">ITU has contributed to the development of capacities in regulatory and economic matters, and in the generation of digital skills for digital transformation, both to governments, regulators, and civil society, with an inclusion approach, through strategic alliances with subregional organizations such as </w:t>
            </w:r>
            <w:proofErr w:type="spellStart"/>
            <w:r w:rsidR="00125FE2" w:rsidRPr="58BAADD2">
              <w:rPr>
                <w:rFonts w:asciiTheme="minorHAnsi" w:eastAsia="DengXian" w:hAnsiTheme="minorHAnsi" w:cstheme="minorBidi"/>
                <w:color w:val="000000" w:themeColor="text1"/>
                <w:lang w:eastAsia="zh-CN"/>
              </w:rPr>
              <w:t>COMTELCA</w:t>
            </w:r>
            <w:proofErr w:type="spellEnd"/>
            <w:r w:rsidR="00125FE2" w:rsidRPr="58BAADD2">
              <w:rPr>
                <w:rFonts w:asciiTheme="minorHAnsi" w:eastAsia="DengXian" w:hAnsiTheme="minorHAnsi" w:cstheme="minorBidi"/>
                <w:color w:val="000000" w:themeColor="text1"/>
                <w:lang w:eastAsia="zh-CN"/>
              </w:rPr>
              <w:t xml:space="preserve">, in the case of Central America, and in coordination with other United Nations agencies such as UN Women, UNDP, WFP, among others.  In the framework of the ITU Policy and Economic Colloquium for the Americas, Regional Economic Dialogues have been organized together with different specialized training to seek partnership with UN agencies, government and private sector, academia and civil society. The objective of these dialogues is to discuss on modernization of regulation and economic approaches in the telecommunications/ICT market; </w:t>
            </w:r>
          </w:p>
          <w:p w14:paraId="4414E08C" w14:textId="2F06FE13" w:rsidR="00125FE2" w:rsidRPr="00D27063" w:rsidRDefault="007A24D8" w:rsidP="00680BB7">
            <w:pPr>
              <w:tabs>
                <w:tab w:val="clear" w:pos="567"/>
                <w:tab w:val="clear" w:pos="1134"/>
                <w:tab w:val="clear" w:pos="1701"/>
                <w:tab w:val="clear" w:pos="2268"/>
                <w:tab w:val="clear" w:pos="2835"/>
              </w:tabs>
              <w:overflowPunct/>
              <w:autoSpaceDE/>
              <w:autoSpaceDN/>
              <w:adjustRightInd/>
              <w:spacing w:after="120" w:line="259" w:lineRule="auto"/>
              <w:ind w:left="605" w:hanging="360"/>
              <w:jc w:val="both"/>
              <w:textAlignment w:val="auto"/>
              <w:rPr>
                <w:rFonts w:asciiTheme="minorHAnsi" w:eastAsia="DengXian" w:hAnsiTheme="minorHAnsi" w:cstheme="minorBidi"/>
                <w:color w:val="000000"/>
                <w:lang w:eastAsia="zh-CN"/>
              </w:rPr>
            </w:pPr>
            <w:r w:rsidRPr="58BAADD2">
              <w:rPr>
                <w:rFonts w:eastAsia="DengXian" w:cstheme="minorBidi"/>
                <w:color w:val="000000" w:themeColor="text1"/>
                <w:lang w:eastAsia="zh-CN"/>
              </w:rPr>
              <w:t>–</w:t>
            </w:r>
            <w:r>
              <w:tab/>
            </w:r>
            <w:r w:rsidR="00125FE2" w:rsidRPr="58BAADD2">
              <w:rPr>
                <w:rFonts w:asciiTheme="minorHAnsi" w:eastAsia="DengXian" w:hAnsiTheme="minorHAnsi" w:cstheme="minorBidi"/>
                <w:color w:val="000000" w:themeColor="text1"/>
                <w:lang w:eastAsia="zh-CN"/>
              </w:rPr>
              <w:t>In November 2022, and in preparation for the World Radiocommunication Conference in 2023 (WRC-23), the Network of Women for WRC-23 (</w:t>
            </w:r>
            <w:proofErr w:type="spellStart"/>
            <w:r w:rsidR="00125FE2" w:rsidRPr="58BAADD2">
              <w:rPr>
                <w:rFonts w:asciiTheme="minorHAnsi" w:eastAsia="DengXian" w:hAnsiTheme="minorHAnsi" w:cstheme="minorBidi"/>
                <w:color w:val="000000" w:themeColor="text1"/>
                <w:lang w:eastAsia="zh-CN"/>
              </w:rPr>
              <w:t>NOW4WRC23</w:t>
            </w:r>
            <w:proofErr w:type="spellEnd"/>
            <w:r w:rsidR="00125FE2" w:rsidRPr="58BAADD2">
              <w:rPr>
                <w:rFonts w:asciiTheme="minorHAnsi" w:eastAsia="DengXian" w:hAnsiTheme="minorHAnsi" w:cstheme="minorBidi"/>
                <w:color w:val="000000" w:themeColor="text1"/>
                <w:lang w:eastAsia="zh-CN"/>
              </w:rPr>
              <w:t xml:space="preserve">) was launched with the objective to implement the concrete actions in the WRC-19 Gender Declaration. The </w:t>
            </w:r>
            <w:proofErr w:type="spellStart"/>
            <w:r w:rsidR="00125FE2" w:rsidRPr="58BAADD2">
              <w:rPr>
                <w:rFonts w:asciiTheme="minorHAnsi" w:eastAsia="DengXian" w:hAnsiTheme="minorHAnsi" w:cstheme="minorBidi"/>
                <w:color w:val="000000" w:themeColor="text1"/>
                <w:lang w:eastAsia="zh-CN"/>
              </w:rPr>
              <w:t>NOW4WRC</w:t>
            </w:r>
            <w:proofErr w:type="spellEnd"/>
            <w:r w:rsidR="00125FE2" w:rsidRPr="58BAADD2">
              <w:rPr>
                <w:rFonts w:asciiTheme="minorHAnsi" w:eastAsia="DengXian" w:hAnsiTheme="minorHAnsi" w:cstheme="minorBidi"/>
                <w:color w:val="000000" w:themeColor="text1"/>
                <w:lang w:eastAsia="zh-CN"/>
              </w:rPr>
              <w:t xml:space="preserve"> Mentoring Programme aims at increasing the number of women participating in and taking on leading roles, such as committee chairs and conference chairs, in the technical conferences of ITU’s Radiocommunication Sector. A key component of the initiative is mentoring;</w:t>
            </w:r>
          </w:p>
          <w:p w14:paraId="6FF72A0E" w14:textId="039125E9" w:rsidR="00125FE2" w:rsidRPr="00D27063" w:rsidRDefault="007A24D8" w:rsidP="00680BB7">
            <w:pPr>
              <w:tabs>
                <w:tab w:val="clear" w:pos="567"/>
                <w:tab w:val="clear" w:pos="1134"/>
                <w:tab w:val="clear" w:pos="1701"/>
                <w:tab w:val="clear" w:pos="2268"/>
                <w:tab w:val="clear" w:pos="2835"/>
              </w:tabs>
              <w:overflowPunct/>
              <w:autoSpaceDE/>
              <w:autoSpaceDN/>
              <w:adjustRightInd/>
              <w:spacing w:after="120" w:line="259" w:lineRule="auto"/>
              <w:ind w:left="605" w:hanging="357"/>
              <w:jc w:val="both"/>
              <w:textAlignment w:val="auto"/>
              <w:rPr>
                <w:rFonts w:asciiTheme="minorHAnsi" w:eastAsia="DengXian" w:hAnsiTheme="minorHAnsi" w:cstheme="minorBidi"/>
                <w:color w:val="000000"/>
                <w:lang w:eastAsia="zh-CN"/>
              </w:rPr>
            </w:pPr>
            <w:r w:rsidRPr="58BAADD2">
              <w:rPr>
                <w:rFonts w:eastAsia="DengXian" w:cstheme="minorBidi"/>
                <w:color w:val="000000" w:themeColor="text1"/>
                <w:lang w:eastAsia="zh-CN"/>
              </w:rPr>
              <w:t>–</w:t>
            </w:r>
            <w:r>
              <w:tab/>
            </w:r>
            <w:r w:rsidR="00125FE2" w:rsidRPr="58BAADD2">
              <w:rPr>
                <w:rFonts w:asciiTheme="minorHAnsi" w:eastAsia="DengXian" w:hAnsiTheme="minorHAnsi" w:cstheme="minorBidi"/>
                <w:color w:val="000000" w:themeColor="text1"/>
                <w:lang w:eastAsia="zh-CN"/>
              </w:rPr>
              <w:t xml:space="preserve">ITU-R cooperates with the relevant international and regional organizations dealing with the use of spectrum, including the Regional Telecommunication Organizations recognized by the ITU for regional coordination (APT, </w:t>
            </w:r>
            <w:proofErr w:type="spellStart"/>
            <w:r w:rsidR="00125FE2" w:rsidRPr="58BAADD2">
              <w:rPr>
                <w:rFonts w:asciiTheme="minorHAnsi" w:eastAsia="DengXian" w:hAnsiTheme="minorHAnsi" w:cstheme="minorBidi"/>
                <w:color w:val="000000" w:themeColor="text1"/>
                <w:lang w:eastAsia="zh-CN"/>
              </w:rPr>
              <w:t>ASMG</w:t>
            </w:r>
            <w:proofErr w:type="spellEnd"/>
            <w:r w:rsidR="00125FE2" w:rsidRPr="58BAADD2">
              <w:rPr>
                <w:rFonts w:asciiTheme="minorHAnsi" w:eastAsia="DengXian" w:hAnsiTheme="minorHAnsi" w:cstheme="minorBidi"/>
                <w:color w:val="000000" w:themeColor="text1"/>
                <w:lang w:eastAsia="zh-CN"/>
              </w:rPr>
              <w:t xml:space="preserve">, ATU, CEPT, CITEL and RCC); broadcasting organizations (ABU, </w:t>
            </w:r>
            <w:proofErr w:type="spellStart"/>
            <w:r w:rsidR="00125FE2" w:rsidRPr="58BAADD2">
              <w:rPr>
                <w:rFonts w:asciiTheme="minorHAnsi" w:eastAsia="DengXian" w:hAnsiTheme="minorHAnsi" w:cstheme="minorBidi"/>
                <w:color w:val="000000" w:themeColor="text1"/>
                <w:lang w:eastAsia="zh-CN"/>
              </w:rPr>
              <w:t>ASBU</w:t>
            </w:r>
            <w:proofErr w:type="spellEnd"/>
            <w:r w:rsidR="00125FE2" w:rsidRPr="58BAADD2">
              <w:rPr>
                <w:rFonts w:asciiTheme="minorHAnsi" w:eastAsia="DengXian" w:hAnsiTheme="minorHAnsi" w:cstheme="minorBidi"/>
                <w:color w:val="000000" w:themeColor="text1"/>
                <w:lang w:eastAsia="zh-CN"/>
              </w:rPr>
              <w:t xml:space="preserve">, EBU and </w:t>
            </w:r>
            <w:proofErr w:type="spellStart"/>
            <w:r w:rsidR="00125FE2" w:rsidRPr="58BAADD2">
              <w:rPr>
                <w:rFonts w:asciiTheme="minorHAnsi" w:eastAsia="DengXian" w:hAnsiTheme="minorHAnsi" w:cstheme="minorBidi"/>
                <w:color w:val="000000" w:themeColor="text1"/>
                <w:lang w:eastAsia="zh-CN"/>
              </w:rPr>
              <w:t>HFCC</w:t>
            </w:r>
            <w:proofErr w:type="spellEnd"/>
            <w:r w:rsidR="00125FE2" w:rsidRPr="58BAADD2">
              <w:rPr>
                <w:rFonts w:asciiTheme="minorHAnsi" w:eastAsia="DengXian" w:hAnsiTheme="minorHAnsi" w:cstheme="minorBidi"/>
                <w:color w:val="000000" w:themeColor="text1"/>
                <w:lang w:eastAsia="zh-CN"/>
              </w:rPr>
              <w:t xml:space="preserve">); and those focused on the use of specific radiocommunication systems and services (e.g., </w:t>
            </w:r>
            <w:proofErr w:type="spellStart"/>
            <w:r w:rsidR="00125FE2" w:rsidRPr="58BAADD2">
              <w:rPr>
                <w:rFonts w:asciiTheme="minorHAnsi" w:eastAsia="DengXian" w:hAnsiTheme="minorHAnsi" w:cstheme="minorBidi"/>
                <w:color w:val="000000" w:themeColor="text1"/>
                <w:lang w:eastAsia="zh-CN"/>
              </w:rPr>
              <w:t>ITSO</w:t>
            </w:r>
            <w:proofErr w:type="spellEnd"/>
            <w:r w:rsidR="00125FE2" w:rsidRPr="58BAADD2">
              <w:rPr>
                <w:rFonts w:asciiTheme="minorHAnsi" w:eastAsia="DengXian" w:hAnsiTheme="minorHAnsi" w:cstheme="minorBidi"/>
                <w:color w:val="000000" w:themeColor="text1"/>
                <w:lang w:eastAsia="zh-CN"/>
              </w:rPr>
              <w:t xml:space="preserve">, </w:t>
            </w:r>
            <w:proofErr w:type="spellStart"/>
            <w:r w:rsidR="00125FE2" w:rsidRPr="58BAADD2">
              <w:rPr>
                <w:rFonts w:asciiTheme="minorHAnsi" w:eastAsia="DengXian" w:hAnsiTheme="minorHAnsi" w:cstheme="minorBidi"/>
                <w:color w:val="000000" w:themeColor="text1"/>
                <w:lang w:eastAsia="zh-CN"/>
              </w:rPr>
              <w:t>ESOA</w:t>
            </w:r>
            <w:proofErr w:type="spellEnd"/>
            <w:r w:rsidR="00125FE2" w:rsidRPr="58BAADD2">
              <w:rPr>
                <w:rFonts w:asciiTheme="minorHAnsi" w:eastAsia="DengXian" w:hAnsiTheme="minorHAnsi" w:cstheme="minorBidi"/>
                <w:color w:val="000000" w:themeColor="text1"/>
                <w:lang w:eastAsia="zh-CN"/>
              </w:rPr>
              <w:t>, GVF, GSMA) by organizing, promoting and participating in events to build capacity on the use of the Radio Regulations, including World Radiocommunication Seminars and Regional Radiocommunication Seminars;</w:t>
            </w:r>
          </w:p>
          <w:p w14:paraId="78155B0F" w14:textId="676EDF9E" w:rsidR="00125FE2" w:rsidRPr="00D27063" w:rsidRDefault="007A24D8" w:rsidP="00680BB7">
            <w:pPr>
              <w:tabs>
                <w:tab w:val="clear" w:pos="567"/>
                <w:tab w:val="clear" w:pos="1134"/>
                <w:tab w:val="clear" w:pos="1701"/>
                <w:tab w:val="clear" w:pos="2268"/>
                <w:tab w:val="clear" w:pos="2835"/>
              </w:tabs>
              <w:overflowPunct/>
              <w:autoSpaceDE/>
              <w:autoSpaceDN/>
              <w:adjustRightInd/>
              <w:spacing w:after="120" w:line="259" w:lineRule="auto"/>
              <w:ind w:left="605" w:hanging="357"/>
              <w:jc w:val="both"/>
              <w:textAlignment w:val="auto"/>
              <w:rPr>
                <w:rFonts w:asciiTheme="minorHAnsi" w:eastAsia="DengXian" w:hAnsiTheme="minorHAnsi" w:cstheme="minorBidi"/>
                <w:color w:val="000000"/>
                <w:lang w:eastAsia="zh-CN"/>
              </w:rPr>
            </w:pPr>
            <w:r w:rsidRPr="58BAADD2">
              <w:rPr>
                <w:rFonts w:eastAsia="DengXian" w:cstheme="minorBidi"/>
                <w:color w:val="000000" w:themeColor="text1"/>
                <w:lang w:eastAsia="zh-CN"/>
              </w:rPr>
              <w:t>–</w:t>
            </w:r>
            <w:r>
              <w:tab/>
            </w:r>
            <w:r w:rsidR="00125FE2" w:rsidRPr="58BAADD2">
              <w:rPr>
                <w:rFonts w:asciiTheme="minorHAnsi" w:eastAsia="DengXian" w:hAnsiTheme="minorHAnsi" w:cstheme="minorBidi"/>
                <w:color w:val="000000" w:themeColor="text1"/>
                <w:lang w:eastAsia="zh-CN"/>
              </w:rPr>
              <w:t xml:space="preserve">ITU-R continues to participate in the activities of other international and regional standardization organizations, such as Global Standards Collaboration (GSC), </w:t>
            </w:r>
            <w:proofErr w:type="spellStart"/>
            <w:r w:rsidR="00125FE2" w:rsidRPr="58BAADD2">
              <w:rPr>
                <w:rFonts w:asciiTheme="minorHAnsi" w:eastAsia="DengXian" w:hAnsiTheme="minorHAnsi" w:cstheme="minorBidi"/>
                <w:color w:val="000000" w:themeColor="text1"/>
                <w:lang w:eastAsia="zh-CN"/>
              </w:rPr>
              <w:t>3GPP</w:t>
            </w:r>
            <w:proofErr w:type="spellEnd"/>
            <w:r w:rsidR="00125FE2" w:rsidRPr="58BAADD2">
              <w:rPr>
                <w:rFonts w:asciiTheme="minorHAnsi" w:eastAsia="DengXian" w:hAnsiTheme="minorHAnsi" w:cstheme="minorBidi"/>
                <w:color w:val="000000" w:themeColor="text1"/>
                <w:lang w:eastAsia="zh-CN"/>
              </w:rPr>
              <w:t xml:space="preserve"> and IEEE. Other organizations we liaise with include the World Health Organization (WHO), ISO and IEC (including </w:t>
            </w:r>
            <w:proofErr w:type="spellStart"/>
            <w:r w:rsidR="00125FE2" w:rsidRPr="58BAADD2">
              <w:rPr>
                <w:rFonts w:asciiTheme="minorHAnsi" w:eastAsia="DengXian" w:hAnsiTheme="minorHAnsi" w:cstheme="minorBidi"/>
                <w:color w:val="000000" w:themeColor="text1"/>
                <w:lang w:eastAsia="zh-CN"/>
              </w:rPr>
              <w:t>CISPR</w:t>
            </w:r>
            <w:proofErr w:type="spellEnd"/>
            <w:r w:rsidR="00125FE2" w:rsidRPr="58BAADD2">
              <w:rPr>
                <w:rFonts w:asciiTheme="minorHAnsi" w:eastAsia="DengXian" w:hAnsiTheme="minorHAnsi" w:cstheme="minorBidi"/>
                <w:color w:val="000000" w:themeColor="text1"/>
                <w:lang w:eastAsia="zh-CN"/>
              </w:rPr>
              <w:t>), Space Frequency Coordination Group;</w:t>
            </w:r>
          </w:p>
          <w:p w14:paraId="665357F1" w14:textId="18FCFBA4" w:rsidR="00125FE2" w:rsidRPr="00D27063" w:rsidRDefault="007A24D8" w:rsidP="00680BB7">
            <w:pPr>
              <w:tabs>
                <w:tab w:val="clear" w:pos="567"/>
                <w:tab w:val="clear" w:pos="1134"/>
                <w:tab w:val="clear" w:pos="1701"/>
                <w:tab w:val="clear" w:pos="2268"/>
                <w:tab w:val="clear" w:pos="2835"/>
              </w:tabs>
              <w:overflowPunct/>
              <w:autoSpaceDE/>
              <w:autoSpaceDN/>
              <w:adjustRightInd/>
              <w:spacing w:after="120" w:line="259" w:lineRule="auto"/>
              <w:ind w:left="605" w:hanging="357"/>
              <w:jc w:val="both"/>
              <w:textAlignment w:val="auto"/>
              <w:rPr>
                <w:rFonts w:asciiTheme="minorHAnsi" w:eastAsia="DengXian" w:hAnsiTheme="minorHAnsi" w:cstheme="minorBidi"/>
                <w:color w:val="000000"/>
                <w:lang w:eastAsia="zh-CN"/>
              </w:rPr>
            </w:pPr>
            <w:r w:rsidRPr="58BAADD2">
              <w:rPr>
                <w:rFonts w:eastAsia="DengXian" w:cstheme="minorBidi"/>
                <w:color w:val="000000" w:themeColor="text1"/>
                <w:lang w:eastAsia="zh-CN"/>
              </w:rPr>
              <w:t>–</w:t>
            </w:r>
            <w:r>
              <w:tab/>
            </w:r>
            <w:r w:rsidR="00125FE2" w:rsidRPr="58BAADD2">
              <w:rPr>
                <w:rFonts w:asciiTheme="minorHAnsi" w:eastAsia="DengXian" w:hAnsiTheme="minorHAnsi" w:cstheme="minorBidi"/>
                <w:color w:val="000000" w:themeColor="text1"/>
                <w:lang w:eastAsia="zh-CN"/>
              </w:rPr>
              <w:t>The ITU-R also cooperates with the UN Committee on the Peaceful Uses of Outer Space (UN-</w:t>
            </w:r>
            <w:proofErr w:type="spellStart"/>
            <w:r w:rsidR="00125FE2" w:rsidRPr="58BAADD2">
              <w:rPr>
                <w:rFonts w:asciiTheme="minorHAnsi" w:eastAsia="DengXian" w:hAnsiTheme="minorHAnsi" w:cstheme="minorBidi"/>
                <w:color w:val="000000" w:themeColor="text1"/>
                <w:lang w:eastAsia="zh-CN"/>
              </w:rPr>
              <w:t>COPUOS</w:t>
            </w:r>
            <w:proofErr w:type="spellEnd"/>
            <w:r w:rsidR="00125FE2" w:rsidRPr="58BAADD2">
              <w:rPr>
                <w:rFonts w:asciiTheme="minorHAnsi" w:eastAsia="DengXian" w:hAnsiTheme="minorHAnsi" w:cstheme="minorBidi"/>
                <w:color w:val="000000" w:themeColor="text1"/>
                <w:lang w:eastAsia="zh-CN"/>
              </w:rPr>
              <w:t xml:space="preserve">), the International Maritime Organization (IMO), , the </w:t>
            </w:r>
            <w:r w:rsidR="00125FE2" w:rsidRPr="58BAADD2">
              <w:rPr>
                <w:rFonts w:asciiTheme="minorHAnsi" w:eastAsia="DengXian" w:hAnsiTheme="minorHAnsi" w:cstheme="minorBidi"/>
                <w:color w:val="000000" w:themeColor="text1"/>
                <w:lang w:eastAsia="zh-CN"/>
              </w:rPr>
              <w:lastRenderedPageBreak/>
              <w:t>International Civil Aviation Organization (ICAO), the International Mobile Satellite Organization (</w:t>
            </w:r>
            <w:proofErr w:type="spellStart"/>
            <w:r w:rsidR="00125FE2" w:rsidRPr="58BAADD2">
              <w:rPr>
                <w:rFonts w:asciiTheme="minorHAnsi" w:eastAsia="DengXian" w:hAnsiTheme="minorHAnsi" w:cstheme="minorBidi"/>
                <w:color w:val="000000" w:themeColor="text1"/>
                <w:lang w:eastAsia="zh-CN"/>
              </w:rPr>
              <w:t>IMSO</w:t>
            </w:r>
            <w:proofErr w:type="spellEnd"/>
            <w:r w:rsidR="00125FE2" w:rsidRPr="58BAADD2">
              <w:rPr>
                <w:rFonts w:asciiTheme="minorHAnsi" w:eastAsia="DengXian" w:hAnsiTheme="minorHAnsi" w:cstheme="minorBidi"/>
                <w:color w:val="000000" w:themeColor="text1"/>
                <w:lang w:eastAsia="zh-CN"/>
              </w:rPr>
              <w:t xml:space="preserve">), the Bureau International des </w:t>
            </w:r>
            <w:proofErr w:type="spellStart"/>
            <w:r w:rsidR="00125FE2" w:rsidRPr="58BAADD2">
              <w:rPr>
                <w:rFonts w:asciiTheme="minorHAnsi" w:eastAsia="DengXian" w:hAnsiTheme="minorHAnsi" w:cstheme="minorBidi"/>
                <w:color w:val="000000" w:themeColor="text1"/>
                <w:lang w:eastAsia="zh-CN"/>
              </w:rPr>
              <w:t>Poids</w:t>
            </w:r>
            <w:proofErr w:type="spellEnd"/>
            <w:r w:rsidR="00125FE2" w:rsidRPr="58BAADD2">
              <w:rPr>
                <w:rFonts w:asciiTheme="minorHAnsi" w:eastAsia="DengXian" w:hAnsiTheme="minorHAnsi" w:cstheme="minorBidi"/>
                <w:color w:val="000000" w:themeColor="text1"/>
                <w:lang w:eastAsia="zh-CN"/>
              </w:rPr>
              <w:t xml:space="preserve"> et </w:t>
            </w:r>
            <w:proofErr w:type="spellStart"/>
            <w:r w:rsidR="00125FE2" w:rsidRPr="58BAADD2">
              <w:rPr>
                <w:rFonts w:asciiTheme="minorHAnsi" w:eastAsia="DengXian" w:hAnsiTheme="minorHAnsi" w:cstheme="minorBidi"/>
                <w:color w:val="000000" w:themeColor="text1"/>
                <w:lang w:eastAsia="zh-CN"/>
              </w:rPr>
              <w:t>Mesures</w:t>
            </w:r>
            <w:proofErr w:type="spellEnd"/>
            <w:r w:rsidR="00125FE2" w:rsidRPr="58BAADD2">
              <w:rPr>
                <w:rFonts w:asciiTheme="minorHAnsi" w:eastAsia="DengXian" w:hAnsiTheme="minorHAnsi" w:cstheme="minorBidi"/>
                <w:color w:val="000000" w:themeColor="text1"/>
                <w:lang w:eastAsia="zh-CN"/>
              </w:rPr>
              <w:t xml:space="preserve"> (BIPM), the International Telecommunications Satellite Organization (</w:t>
            </w:r>
            <w:proofErr w:type="spellStart"/>
            <w:r w:rsidR="00125FE2" w:rsidRPr="58BAADD2">
              <w:rPr>
                <w:rFonts w:asciiTheme="minorHAnsi" w:eastAsia="DengXian" w:hAnsiTheme="minorHAnsi" w:cstheme="minorBidi"/>
                <w:color w:val="000000" w:themeColor="text1"/>
                <w:lang w:eastAsia="zh-CN"/>
              </w:rPr>
              <w:t>ITSO</w:t>
            </w:r>
            <w:proofErr w:type="spellEnd"/>
            <w:r w:rsidR="00125FE2" w:rsidRPr="58BAADD2">
              <w:rPr>
                <w:rFonts w:asciiTheme="minorHAnsi" w:eastAsia="DengXian" w:hAnsiTheme="minorHAnsi" w:cstheme="minorBidi"/>
                <w:color w:val="000000" w:themeColor="text1"/>
                <w:lang w:eastAsia="zh-CN"/>
              </w:rPr>
              <w:t>), COSPAS-SARSAT, the World Meteorological Organization (WMO) and the International Committee of the Red Cross (</w:t>
            </w:r>
            <w:proofErr w:type="spellStart"/>
            <w:r w:rsidR="00125FE2" w:rsidRPr="58BAADD2">
              <w:rPr>
                <w:rFonts w:asciiTheme="minorHAnsi" w:eastAsia="DengXian" w:hAnsiTheme="minorHAnsi" w:cstheme="minorBidi"/>
                <w:color w:val="000000" w:themeColor="text1"/>
                <w:lang w:eastAsia="zh-CN"/>
              </w:rPr>
              <w:t>CICR</w:t>
            </w:r>
            <w:proofErr w:type="spellEnd"/>
            <w:r w:rsidR="00125FE2" w:rsidRPr="58BAADD2">
              <w:rPr>
                <w:rFonts w:asciiTheme="minorHAnsi" w:eastAsia="DengXian" w:hAnsiTheme="minorHAnsi" w:cstheme="minorBidi"/>
                <w:color w:val="000000" w:themeColor="text1"/>
                <w:lang w:eastAsia="zh-CN"/>
              </w:rPr>
              <w:t>) with regards to the application of ITU treaty texts and in some cases to deliver capacity-building/training;</w:t>
            </w:r>
          </w:p>
          <w:p w14:paraId="26619E61" w14:textId="5B70321E" w:rsidR="00125FE2" w:rsidRPr="00D27063" w:rsidRDefault="007A24D8" w:rsidP="00680BB7">
            <w:pPr>
              <w:tabs>
                <w:tab w:val="clear" w:pos="567"/>
                <w:tab w:val="clear" w:pos="1134"/>
                <w:tab w:val="clear" w:pos="1701"/>
                <w:tab w:val="clear" w:pos="2268"/>
                <w:tab w:val="clear" w:pos="2835"/>
              </w:tabs>
              <w:overflowPunct/>
              <w:autoSpaceDE/>
              <w:autoSpaceDN/>
              <w:adjustRightInd/>
              <w:spacing w:after="120" w:line="259" w:lineRule="auto"/>
              <w:ind w:left="605" w:hanging="357"/>
              <w:jc w:val="both"/>
              <w:textAlignment w:val="auto"/>
              <w:rPr>
                <w:rFonts w:asciiTheme="minorHAnsi" w:eastAsia="DengXian" w:hAnsiTheme="minorHAnsi" w:cstheme="minorBidi"/>
                <w:lang w:eastAsia="zh-CN"/>
              </w:rPr>
            </w:pPr>
            <w:r w:rsidRPr="58BAADD2">
              <w:rPr>
                <w:rFonts w:eastAsia="DengXian" w:cstheme="minorBidi"/>
                <w:lang w:eastAsia="zh-CN"/>
              </w:rPr>
              <w:t>–</w:t>
            </w:r>
            <w:r>
              <w:tab/>
            </w:r>
            <w:r w:rsidR="00125FE2" w:rsidRPr="58BAADD2">
              <w:rPr>
                <w:rFonts w:asciiTheme="minorHAnsi" w:eastAsia="DengXian" w:hAnsiTheme="minorHAnsi" w:cstheme="minorBidi"/>
                <w:color w:val="000000" w:themeColor="text1"/>
                <w:lang w:eastAsia="zh-CN"/>
              </w:rPr>
              <w:t>In the Americas region more than seven National CIRT Readiness Assessments were deployed and more than 10 specialized cybersecurity capacity building workshops and raising awareness were deployed in coordination with the main regional organizations and cybersecurity stakeholders;</w:t>
            </w:r>
          </w:p>
          <w:p w14:paraId="0A05C350" w14:textId="78B10E2C" w:rsidR="00125FE2" w:rsidRPr="00D27063" w:rsidRDefault="007A24D8" w:rsidP="00155FF8">
            <w:pPr>
              <w:tabs>
                <w:tab w:val="clear" w:pos="567"/>
                <w:tab w:val="clear" w:pos="1134"/>
                <w:tab w:val="clear" w:pos="1701"/>
                <w:tab w:val="clear" w:pos="2268"/>
                <w:tab w:val="clear" w:pos="2835"/>
              </w:tabs>
              <w:overflowPunct/>
              <w:autoSpaceDE/>
              <w:autoSpaceDN/>
              <w:adjustRightInd/>
              <w:spacing w:after="120" w:line="259" w:lineRule="auto"/>
              <w:ind w:left="605" w:hanging="357"/>
              <w:jc w:val="both"/>
              <w:textAlignment w:val="auto"/>
              <w:rPr>
                <w:rFonts w:asciiTheme="minorHAnsi" w:eastAsia="DengXian" w:hAnsiTheme="minorHAnsi" w:cstheme="minorBidi"/>
                <w:color w:val="000000"/>
                <w:lang w:eastAsia="zh-CN"/>
              </w:rPr>
            </w:pPr>
            <w:r w:rsidRPr="58BAADD2">
              <w:rPr>
                <w:rFonts w:eastAsia="DengXian" w:cstheme="minorBidi"/>
                <w:color w:val="000000" w:themeColor="text1"/>
                <w:lang w:eastAsia="zh-CN"/>
              </w:rPr>
              <w:t>–</w:t>
            </w:r>
            <w:r>
              <w:tab/>
            </w:r>
            <w:r w:rsidR="00125FE2" w:rsidRPr="58BAADD2">
              <w:rPr>
                <w:rFonts w:asciiTheme="minorHAnsi" w:eastAsia="DengXian" w:hAnsiTheme="minorHAnsi" w:cstheme="minorBidi"/>
                <w:lang w:eastAsia="zh-CN"/>
              </w:rPr>
              <w:t xml:space="preserve">In </w:t>
            </w:r>
            <w:r w:rsidR="00125FE2" w:rsidRPr="00155FF8">
              <w:rPr>
                <w:rFonts w:asciiTheme="minorHAnsi" w:eastAsia="DengXian" w:hAnsiTheme="minorHAnsi" w:cstheme="minorBidi"/>
                <w:color w:val="000000" w:themeColor="text1"/>
                <w:lang w:eastAsia="zh-CN"/>
              </w:rPr>
              <w:t>the</w:t>
            </w:r>
            <w:r w:rsidR="00125FE2" w:rsidRPr="58BAADD2">
              <w:rPr>
                <w:rFonts w:asciiTheme="minorHAnsi" w:eastAsia="DengXian" w:hAnsiTheme="minorHAnsi" w:cstheme="minorBidi"/>
                <w:lang w:eastAsia="zh-CN"/>
              </w:rPr>
              <w:t xml:space="preserve"> framework of Infrastructure and Network development, identifying connectivity gaps to ICT infrastructure is key, </w:t>
            </w:r>
            <w:hyperlink r:id="rId43">
              <w:r w:rsidR="00125FE2" w:rsidRPr="58BAADD2">
                <w:rPr>
                  <w:rStyle w:val="Hyperlink"/>
                  <w:rFonts w:asciiTheme="minorHAnsi" w:eastAsia="DengXian" w:hAnsiTheme="minorHAnsi" w:cstheme="minorBidi"/>
                  <w:lang w:eastAsia="zh-CN"/>
                </w:rPr>
                <w:t>the ITU Broadband Mapping</w:t>
              </w:r>
            </w:hyperlink>
            <w:r w:rsidR="00125FE2" w:rsidRPr="58BAADD2">
              <w:rPr>
                <w:rFonts w:asciiTheme="minorHAnsi" w:eastAsia="DengXian" w:hAnsiTheme="minorHAnsi" w:cstheme="minorBidi"/>
                <w:lang w:eastAsia="zh-CN"/>
              </w:rPr>
              <w:t xml:space="preserve"> activities make use of geospatial tools related to telecom infrastructure, together with relevant data for identifying missing links on regional/subregional basis. This enables the development of projects and case studies for planning broadband infrastructure deployment. Examples of ITU activities and partnerships on this includes: the infrastructure mapping, </w:t>
            </w:r>
            <w:proofErr w:type="spellStart"/>
            <w:r w:rsidR="00125FE2" w:rsidRPr="58BAADD2">
              <w:rPr>
                <w:rFonts w:asciiTheme="minorHAnsi" w:eastAsia="DengXian" w:hAnsiTheme="minorHAnsi" w:cstheme="minorBidi"/>
                <w:lang w:eastAsia="zh-CN"/>
              </w:rPr>
              <w:t>modeling</w:t>
            </w:r>
            <w:proofErr w:type="spellEnd"/>
            <w:r w:rsidR="00125FE2" w:rsidRPr="58BAADD2">
              <w:rPr>
                <w:rFonts w:asciiTheme="minorHAnsi" w:eastAsia="DengXian" w:hAnsiTheme="minorHAnsi" w:cstheme="minorBidi"/>
                <w:lang w:eastAsia="zh-CN"/>
              </w:rPr>
              <w:t xml:space="preserve"> and costing work carried out under the Giga initiative, including analysis of the current infrastructure, identifying of infrastructure gaps and associated costs, and provision of a connectivity plan that allows governments to assess connectivity options and costs to achieve high-quality, sustainable school connectivity</w:t>
            </w:r>
            <w:r w:rsidR="00155FF8">
              <w:rPr>
                <w:rFonts w:asciiTheme="minorHAnsi" w:eastAsia="DengXian" w:hAnsiTheme="minorHAnsi" w:cstheme="minorBidi"/>
                <w:lang w:eastAsia="zh-CN"/>
              </w:rPr>
              <w:t>;</w:t>
            </w:r>
          </w:p>
          <w:p w14:paraId="1A227FE6" w14:textId="1CC7E64D" w:rsidR="00125FE2" w:rsidRPr="00D27063" w:rsidRDefault="007A24D8" w:rsidP="00680BB7">
            <w:pPr>
              <w:tabs>
                <w:tab w:val="clear" w:pos="567"/>
                <w:tab w:val="clear" w:pos="1134"/>
                <w:tab w:val="clear" w:pos="1701"/>
                <w:tab w:val="clear" w:pos="2268"/>
                <w:tab w:val="clear" w:pos="2835"/>
              </w:tabs>
              <w:kinsoku w:val="0"/>
              <w:overflowPunct/>
              <w:autoSpaceDE/>
              <w:autoSpaceDN/>
              <w:adjustRightInd/>
              <w:spacing w:after="120" w:line="259" w:lineRule="auto"/>
              <w:ind w:left="605" w:right="271" w:hanging="360"/>
              <w:jc w:val="both"/>
              <w:textAlignment w:val="auto"/>
              <w:rPr>
                <w:rFonts w:asciiTheme="minorHAnsi" w:eastAsia="DengXian" w:hAnsiTheme="minorHAnsi" w:cstheme="minorBidi"/>
                <w:color w:val="000000"/>
                <w:lang w:eastAsia="zh-CN"/>
              </w:rPr>
            </w:pPr>
            <w:r w:rsidRPr="58BAADD2">
              <w:rPr>
                <w:rFonts w:eastAsia="DengXian" w:cstheme="minorBidi"/>
                <w:color w:val="000000" w:themeColor="text1"/>
                <w:lang w:eastAsia="zh-CN"/>
              </w:rPr>
              <w:t>–</w:t>
            </w:r>
            <w:r>
              <w:tab/>
            </w:r>
            <w:r w:rsidR="00125FE2" w:rsidRPr="58BAADD2">
              <w:rPr>
                <w:rFonts w:asciiTheme="minorHAnsi" w:eastAsia="DengXian" w:hAnsiTheme="minorHAnsi" w:cstheme="minorBidi"/>
                <w:color w:val="000000" w:themeColor="text1"/>
                <w:lang w:eastAsia="zh-CN"/>
              </w:rPr>
              <w:t>The Green Digital Action (</w:t>
            </w:r>
            <w:proofErr w:type="spellStart"/>
            <w:r w:rsidR="00125FE2" w:rsidRPr="58BAADD2">
              <w:rPr>
                <w:rFonts w:asciiTheme="minorHAnsi" w:eastAsia="DengXian" w:hAnsiTheme="minorHAnsi" w:cstheme="minorBidi"/>
                <w:color w:val="000000" w:themeColor="text1"/>
                <w:lang w:eastAsia="zh-CN"/>
              </w:rPr>
              <w:t>GDA</w:t>
            </w:r>
            <w:proofErr w:type="spellEnd"/>
            <w:r w:rsidR="00125FE2" w:rsidRPr="58BAADD2">
              <w:rPr>
                <w:rFonts w:asciiTheme="minorHAnsi" w:eastAsia="DengXian" w:hAnsiTheme="minorHAnsi" w:cstheme="minorBidi"/>
                <w:color w:val="000000" w:themeColor="text1"/>
                <w:lang w:eastAsia="zh-CN"/>
              </w:rPr>
              <w:t xml:space="preserve">), led by ITU, is a global multistakeholder initiative that brings together more than 40 partners, including UN organizations, governments, standards bodies, NGOs, academia, and private sector actors. </w:t>
            </w:r>
            <w:proofErr w:type="spellStart"/>
            <w:r w:rsidR="00125FE2" w:rsidRPr="58BAADD2">
              <w:rPr>
                <w:rFonts w:asciiTheme="minorHAnsi" w:eastAsia="DengXian" w:hAnsiTheme="minorHAnsi" w:cstheme="minorBidi"/>
                <w:color w:val="000000" w:themeColor="text1"/>
                <w:lang w:eastAsia="zh-CN"/>
              </w:rPr>
              <w:t>GDA</w:t>
            </w:r>
            <w:proofErr w:type="spellEnd"/>
            <w:r w:rsidR="00125FE2" w:rsidRPr="58BAADD2">
              <w:rPr>
                <w:rFonts w:asciiTheme="minorHAnsi" w:eastAsia="DengXian" w:hAnsiTheme="minorHAnsi" w:cstheme="minorBidi"/>
                <w:color w:val="000000" w:themeColor="text1"/>
                <w:lang w:eastAsia="zh-CN"/>
              </w:rPr>
              <w:t xml:space="preserve"> aims to mobilize the digital sector for climate action by connecting digital innovation with measurable environmental outcomes. Through its interconnected pillars—on Green Standards, ICT sector GHG Emissions, circular economy, emergency telecommunication, open data, industry enablement and green computing—</w:t>
            </w:r>
            <w:proofErr w:type="spellStart"/>
            <w:r w:rsidR="00125FE2" w:rsidRPr="58BAADD2">
              <w:rPr>
                <w:rFonts w:asciiTheme="minorHAnsi" w:eastAsia="DengXian" w:hAnsiTheme="minorHAnsi" w:cstheme="minorBidi"/>
                <w:color w:val="000000" w:themeColor="text1"/>
                <w:lang w:eastAsia="zh-CN"/>
              </w:rPr>
              <w:t>GDA</w:t>
            </w:r>
            <w:proofErr w:type="spellEnd"/>
            <w:r w:rsidR="00125FE2" w:rsidRPr="58BAADD2">
              <w:rPr>
                <w:rFonts w:asciiTheme="minorHAnsi" w:eastAsia="DengXian" w:hAnsiTheme="minorHAnsi" w:cstheme="minorBidi"/>
                <w:color w:val="000000" w:themeColor="text1"/>
                <w:lang w:eastAsia="zh-CN"/>
              </w:rPr>
              <w:t xml:space="preserve"> provides a collaborative platform to advance the role of digital technologies in achieving global climate goals. It contributes to discussions under the UNFCCC process, including through activities such as the Standards Pavilion at COP, and promotes coordinated action on mitigation, adaptation, circular economy, and biodiversity protection.</w:t>
            </w:r>
          </w:p>
          <w:p w14:paraId="389157FF" w14:textId="544A0986" w:rsidR="00125FE2" w:rsidRPr="00D27063" w:rsidRDefault="007A24D8" w:rsidP="00680BB7">
            <w:pPr>
              <w:tabs>
                <w:tab w:val="clear" w:pos="567"/>
                <w:tab w:val="clear" w:pos="1134"/>
                <w:tab w:val="clear" w:pos="1701"/>
                <w:tab w:val="clear" w:pos="2268"/>
                <w:tab w:val="clear" w:pos="2835"/>
              </w:tabs>
              <w:kinsoku w:val="0"/>
              <w:overflowPunct/>
              <w:autoSpaceDE/>
              <w:autoSpaceDN/>
              <w:adjustRightInd/>
              <w:spacing w:after="120" w:line="259" w:lineRule="auto"/>
              <w:ind w:left="605" w:right="271" w:hanging="360"/>
              <w:jc w:val="both"/>
              <w:textAlignment w:val="auto"/>
              <w:rPr>
                <w:rFonts w:asciiTheme="minorHAnsi" w:eastAsia="DengXian" w:hAnsiTheme="minorHAnsi" w:cstheme="minorBidi"/>
                <w:color w:val="000000"/>
                <w:lang w:eastAsia="zh-CN"/>
              </w:rPr>
            </w:pPr>
            <w:r w:rsidRPr="58BAADD2">
              <w:rPr>
                <w:rFonts w:eastAsia="DengXian" w:cstheme="minorBidi"/>
                <w:color w:val="000000" w:themeColor="text1"/>
                <w:lang w:eastAsia="zh-CN"/>
              </w:rPr>
              <w:t>–</w:t>
            </w:r>
            <w:r>
              <w:tab/>
            </w:r>
            <w:r w:rsidR="00125FE2" w:rsidRPr="58BAADD2">
              <w:rPr>
                <w:rFonts w:asciiTheme="minorHAnsi" w:eastAsia="DengXian" w:hAnsiTheme="minorHAnsi" w:cstheme="minorBidi"/>
                <w:color w:val="000000" w:themeColor="text1"/>
                <w:lang w:eastAsia="zh-CN"/>
              </w:rPr>
              <w:t>ITU actively contributes to the Digitalization for Circular Economy (</w:t>
            </w:r>
            <w:proofErr w:type="spellStart"/>
            <w:r w:rsidR="00125FE2" w:rsidRPr="58BAADD2">
              <w:rPr>
                <w:rFonts w:asciiTheme="minorHAnsi" w:eastAsia="DengXian" w:hAnsiTheme="minorHAnsi" w:cstheme="minorBidi"/>
                <w:color w:val="000000" w:themeColor="text1"/>
                <w:lang w:eastAsia="zh-CN"/>
              </w:rPr>
              <w:t>D4CE</w:t>
            </w:r>
            <w:proofErr w:type="spellEnd"/>
            <w:r w:rsidR="00125FE2" w:rsidRPr="58BAADD2">
              <w:rPr>
                <w:rFonts w:asciiTheme="minorHAnsi" w:eastAsia="DengXian" w:hAnsiTheme="minorHAnsi" w:cstheme="minorBidi"/>
                <w:color w:val="000000" w:themeColor="text1"/>
                <w:lang w:eastAsia="zh-CN"/>
              </w:rPr>
              <w:t>) Impact Initiative, led by UNEP under the One Planet Network. The initiative seeks to harness digital technologies and data systems to accelerate the global transition to a circular economy, supporting more efficient resource use and responsible production and consumption patterns. ITU’s work focuses on developing interoperable standards and frameworks—such as for Digital Product Information Systems (</w:t>
            </w:r>
            <w:proofErr w:type="spellStart"/>
            <w:r w:rsidR="00125FE2" w:rsidRPr="58BAADD2">
              <w:rPr>
                <w:rFonts w:asciiTheme="minorHAnsi" w:eastAsia="DengXian" w:hAnsiTheme="minorHAnsi" w:cstheme="minorBidi"/>
                <w:color w:val="000000" w:themeColor="text1"/>
                <w:lang w:eastAsia="zh-CN"/>
              </w:rPr>
              <w:t>DPIS</w:t>
            </w:r>
            <w:proofErr w:type="spellEnd"/>
            <w:r w:rsidR="00125FE2" w:rsidRPr="58BAADD2">
              <w:rPr>
                <w:rFonts w:asciiTheme="minorHAnsi" w:eastAsia="DengXian" w:hAnsiTheme="minorHAnsi" w:cstheme="minorBidi"/>
                <w:color w:val="000000" w:themeColor="text1"/>
                <w:lang w:eastAsia="zh-CN"/>
              </w:rPr>
              <w:t>) and Digital Product Passports (DPP)—that enable transparency, traceability, and harmonization across value chains, empowering governments and businesses to scale circular solutions globally.</w:t>
            </w:r>
          </w:p>
          <w:p w14:paraId="3AE9A961" w14:textId="21B5F5F9" w:rsidR="00125FE2" w:rsidRPr="00D27063" w:rsidRDefault="007A24D8" w:rsidP="00680BB7">
            <w:pPr>
              <w:tabs>
                <w:tab w:val="clear" w:pos="567"/>
                <w:tab w:val="clear" w:pos="1134"/>
                <w:tab w:val="clear" w:pos="1701"/>
                <w:tab w:val="clear" w:pos="2268"/>
                <w:tab w:val="clear" w:pos="2835"/>
              </w:tabs>
              <w:kinsoku w:val="0"/>
              <w:overflowPunct/>
              <w:autoSpaceDE/>
              <w:autoSpaceDN/>
              <w:adjustRightInd/>
              <w:spacing w:after="120" w:line="259" w:lineRule="auto"/>
              <w:ind w:left="605" w:right="271" w:hanging="360"/>
              <w:jc w:val="both"/>
              <w:textAlignment w:val="auto"/>
              <w:rPr>
                <w:rFonts w:asciiTheme="minorHAnsi" w:eastAsia="DengXian" w:hAnsiTheme="minorHAnsi" w:cstheme="minorBidi"/>
                <w:color w:val="000000"/>
                <w:lang w:eastAsia="zh-CN"/>
              </w:rPr>
            </w:pPr>
            <w:r w:rsidRPr="58BAADD2">
              <w:rPr>
                <w:rFonts w:eastAsia="DengXian" w:cstheme="minorBidi"/>
                <w:color w:val="000000" w:themeColor="text1"/>
                <w:lang w:eastAsia="zh-CN"/>
              </w:rPr>
              <w:lastRenderedPageBreak/>
              <w:t>–</w:t>
            </w:r>
            <w:r>
              <w:tab/>
            </w:r>
            <w:r w:rsidR="00125FE2" w:rsidRPr="58BAADD2">
              <w:rPr>
                <w:rFonts w:asciiTheme="minorHAnsi" w:eastAsia="DengXian" w:hAnsiTheme="minorHAnsi" w:cstheme="minorBidi"/>
                <w:color w:val="000000" w:themeColor="text1"/>
                <w:lang w:eastAsia="zh-CN"/>
              </w:rPr>
              <w:t>ITU is also an active partner of the Coalition for Digital Environmental Sustainability (CODES), a multi-stakeholder alliance launched under the UN Secretary-General’s Roadmap for Digital Cooperation. Through CODES, ITU contributes to advancing policy coherence and shared action frameworks that ensure digital transformation supports environmental sustainability. This includes input on metrics, governance mechanisms, and international standards that strengthen accountability and promote the alignment of digital policies with global sustainability objectives.</w:t>
            </w:r>
          </w:p>
          <w:p w14:paraId="3113BC9D" w14:textId="0B081F30" w:rsidR="00125FE2" w:rsidRPr="00D27063" w:rsidRDefault="007A24D8" w:rsidP="00680BB7">
            <w:pPr>
              <w:ind w:left="605" w:hanging="360"/>
              <w:jc w:val="both"/>
              <w:rPr>
                <w:szCs w:val="24"/>
                <w:lang w:eastAsia="zh-CN"/>
              </w:rPr>
            </w:pPr>
            <w:r>
              <w:rPr>
                <w:rFonts w:eastAsia="Calibri" w:cs="Arial"/>
                <w:szCs w:val="24"/>
                <w:lang w:eastAsia="zh-CN"/>
              </w:rPr>
              <w:t>–</w:t>
            </w:r>
            <w:r w:rsidR="0016155B" w:rsidRPr="00D27063">
              <w:rPr>
                <w:rFonts w:eastAsia="Calibri" w:cs="Arial"/>
                <w:szCs w:val="24"/>
                <w:lang w:eastAsia="zh-CN"/>
              </w:rPr>
              <w:tab/>
            </w:r>
            <w:r w:rsidR="00125FE2" w:rsidRPr="00D27063">
              <w:rPr>
                <w:rFonts w:asciiTheme="minorHAnsi" w:eastAsia="DengXian" w:hAnsiTheme="minorHAnsi" w:cstheme="minorHAnsi"/>
                <w:color w:val="000000"/>
                <w:szCs w:val="24"/>
                <w:lang w:eastAsia="zh-CN"/>
              </w:rPr>
              <w:t>ITU collaborates within the Sustainable AI Coalition, coordinated by the French Ministry of Environment, to promote the development and adoption of environmentally sustainable artificial intelligence. The coalition brings together governments, research institutions, and industry to explore ways to measure, mitigate, and reduce AI’s environmental footprint, while enhancing its potential as an enabler of climate and environmental solutions. ITU contributes by developing standards and methodologies to assess the environmental impact of AI systems and to support responsible and resource-efficient AI deployment worldwide.</w:t>
            </w:r>
          </w:p>
        </w:tc>
      </w:tr>
    </w:tbl>
    <w:p w14:paraId="3BEA1F4E" w14:textId="77777777" w:rsidR="00125FE2" w:rsidRPr="002132E3" w:rsidRDefault="00125FE2">
      <w:pPr>
        <w:tabs>
          <w:tab w:val="clear" w:pos="567"/>
          <w:tab w:val="clear" w:pos="1134"/>
          <w:tab w:val="clear" w:pos="1701"/>
          <w:tab w:val="clear" w:pos="2268"/>
          <w:tab w:val="clear" w:pos="2835"/>
        </w:tabs>
        <w:overflowPunct/>
        <w:autoSpaceDE/>
        <w:autoSpaceDN/>
        <w:adjustRightInd/>
        <w:spacing w:before="0" w:after="160" w:line="259" w:lineRule="auto"/>
        <w:textAlignment w:val="auto"/>
        <w:rPr>
          <w:rFonts w:asciiTheme="minorHAnsi" w:eastAsia="DengXian" w:hAnsiTheme="minorHAnsi" w:cstheme="minorHAnsi"/>
          <w:sz w:val="22"/>
          <w:szCs w:val="22"/>
          <w:lang w:eastAsia="zh-CN"/>
        </w:rPr>
      </w:pPr>
    </w:p>
    <w:p w14:paraId="1FBFD4F8" w14:textId="77777777" w:rsidR="00125FE2" w:rsidRPr="002132E3" w:rsidRDefault="00125FE2">
      <w:pPr>
        <w:tabs>
          <w:tab w:val="clear" w:pos="567"/>
          <w:tab w:val="clear" w:pos="1134"/>
          <w:tab w:val="clear" w:pos="1701"/>
          <w:tab w:val="clear" w:pos="2268"/>
          <w:tab w:val="clear" w:pos="2835"/>
        </w:tabs>
        <w:overflowPunct/>
        <w:autoSpaceDE/>
        <w:autoSpaceDN/>
        <w:adjustRightInd/>
        <w:spacing w:before="0" w:after="160" w:line="259" w:lineRule="auto"/>
        <w:textAlignment w:val="auto"/>
        <w:rPr>
          <w:rFonts w:asciiTheme="minorHAnsi" w:eastAsia="DengXian" w:hAnsiTheme="minorHAnsi" w:cstheme="minorHAnsi"/>
          <w:sz w:val="22"/>
          <w:szCs w:val="22"/>
          <w:lang w:eastAsia="zh-CN"/>
        </w:rPr>
      </w:pPr>
      <w:r w:rsidRPr="002132E3">
        <w:rPr>
          <w:rFonts w:asciiTheme="minorHAnsi" w:eastAsia="DengXian" w:hAnsiTheme="minorHAnsi" w:cstheme="minorHAnsi"/>
          <w:sz w:val="22"/>
          <w:szCs w:val="22"/>
          <w:lang w:eastAsia="zh-CN"/>
        </w:rPr>
        <w:br w:type="page"/>
      </w:r>
    </w:p>
    <w:p w14:paraId="1D59FB92" w14:textId="77777777" w:rsidR="00125FE2" w:rsidRPr="007A24D8" w:rsidRDefault="00125FE2" w:rsidP="007A24D8">
      <w:pPr>
        <w:pStyle w:val="AnnexNo"/>
      </w:pPr>
      <w:bookmarkStart w:id="12" w:name="Annex2"/>
      <w:r w:rsidRPr="002132E3">
        <w:lastRenderedPageBreak/>
        <w:t>ANNEX 2</w:t>
      </w:r>
      <w:bookmarkEnd w:id="12"/>
    </w:p>
    <w:p w14:paraId="2014E2D6" w14:textId="77777777" w:rsidR="00125FE2" w:rsidRPr="007A24D8" w:rsidRDefault="00125FE2" w:rsidP="007A24D8">
      <w:pPr>
        <w:pStyle w:val="Figure"/>
      </w:pPr>
      <w:r w:rsidRPr="007A24D8">
        <w:drawing>
          <wp:inline distT="0" distB="0" distL="0" distR="0" wp14:anchorId="6EDB2519" wp14:editId="682B20B2">
            <wp:extent cx="6068291" cy="7807006"/>
            <wp:effectExtent l="19050" t="19050" r="27940" b="22860"/>
            <wp:docPr id="1813353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extLst>
                        <a:ext uri="{BEBA8EAE-BF5A-486C-A8C5-ECC9F3942E4B}">
                          <a14:imgProps xmlns:a14="http://schemas.microsoft.com/office/drawing/2010/main">
                            <a14:imgLayer r:embed="rId45">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6084224" cy="7827505"/>
                    </a:xfrm>
                    <a:prstGeom prst="rect">
                      <a:avLst/>
                    </a:prstGeom>
                    <a:noFill/>
                    <a:ln w="3175">
                      <a:solidFill>
                        <a:schemeClr val="tx1"/>
                      </a:solidFill>
                    </a:ln>
                  </pic:spPr>
                </pic:pic>
              </a:graphicData>
            </a:graphic>
          </wp:inline>
        </w:drawing>
      </w:r>
    </w:p>
    <w:p w14:paraId="5C4EFA91" w14:textId="77777777" w:rsidR="00125FE2" w:rsidRPr="002132E3" w:rsidRDefault="00125FE2">
      <w:pPr>
        <w:spacing w:line="259" w:lineRule="auto"/>
        <w:rPr>
          <w:rFonts w:asciiTheme="minorHAnsi" w:hAnsiTheme="minorHAnsi" w:cstheme="minorHAnsi"/>
          <w:b/>
          <w:bCs/>
          <w:color w:val="1F497D"/>
          <w:sz w:val="28"/>
          <w:szCs w:val="28"/>
        </w:rPr>
      </w:pPr>
    </w:p>
    <w:p w14:paraId="67BB21EF" w14:textId="77777777" w:rsidR="00125FE2" w:rsidRPr="002132E3" w:rsidRDefault="00125FE2">
      <w:pPr>
        <w:tabs>
          <w:tab w:val="clear" w:pos="567"/>
          <w:tab w:val="clear" w:pos="1134"/>
          <w:tab w:val="clear" w:pos="1701"/>
          <w:tab w:val="clear" w:pos="2268"/>
          <w:tab w:val="clear" w:pos="2835"/>
        </w:tabs>
        <w:overflowPunct/>
        <w:autoSpaceDE/>
        <w:autoSpaceDN/>
        <w:adjustRightInd/>
        <w:spacing w:before="0" w:line="259" w:lineRule="auto"/>
        <w:textAlignment w:val="auto"/>
        <w:rPr>
          <w:rFonts w:asciiTheme="minorHAnsi" w:hAnsiTheme="minorHAnsi" w:cstheme="minorHAnsi"/>
          <w:lang w:val="en-US"/>
        </w:rPr>
      </w:pPr>
    </w:p>
    <w:p w14:paraId="1111B1B5" w14:textId="77777777" w:rsidR="00125FE2" w:rsidRDefault="00125FE2" w:rsidP="007A24D8">
      <w:pPr>
        <w:pStyle w:val="Figure"/>
        <w:rPr>
          <w:lang w:val="en-US"/>
        </w:rPr>
      </w:pPr>
      <w:r w:rsidRPr="002132E3">
        <w:rPr>
          <w:lang w:val="en-US"/>
        </w:rPr>
        <w:lastRenderedPageBreak/>
        <w:drawing>
          <wp:inline distT="0" distB="0" distL="0" distR="0" wp14:anchorId="59924D2A" wp14:editId="5CA731CD">
            <wp:extent cx="6175169" cy="7964115"/>
            <wp:effectExtent l="19050" t="19050" r="16510" b="18415"/>
            <wp:docPr id="18128415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a:extLst>
                        <a:ext uri="{BEBA8EAE-BF5A-486C-A8C5-ECC9F3942E4B}">
                          <a14:imgProps xmlns:a14="http://schemas.microsoft.com/office/drawing/2010/main">
                            <a14:imgLayer r:embed="rId47">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6227902" cy="8032125"/>
                    </a:xfrm>
                    <a:prstGeom prst="rect">
                      <a:avLst/>
                    </a:prstGeom>
                    <a:noFill/>
                    <a:ln w="3175">
                      <a:solidFill>
                        <a:schemeClr val="tx1"/>
                      </a:solidFill>
                    </a:ln>
                  </pic:spPr>
                </pic:pic>
              </a:graphicData>
            </a:graphic>
          </wp:inline>
        </w:drawing>
      </w:r>
    </w:p>
    <w:p w14:paraId="440C19B3" w14:textId="77777777" w:rsidR="00155FF8" w:rsidRDefault="00155FF8">
      <w:pPr>
        <w:jc w:val="center"/>
      </w:pPr>
      <w:r>
        <w:t>______________</w:t>
      </w:r>
    </w:p>
    <w:sectPr w:rsidR="00155FF8" w:rsidSect="00AD3606">
      <w:footerReference w:type="default" r:id="rId48"/>
      <w:headerReference w:type="first" r:id="rId49"/>
      <w:footerReference w:type="first" r:id="rId50"/>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5DCB7" w14:textId="77777777" w:rsidR="00C118D3" w:rsidRDefault="00C118D3">
      <w:r>
        <w:separator/>
      </w:r>
    </w:p>
  </w:endnote>
  <w:endnote w:type="continuationSeparator" w:id="0">
    <w:p w14:paraId="5D6BE810" w14:textId="77777777" w:rsidR="00C118D3" w:rsidRDefault="00C11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92B3D" w14:paraId="07402CB9" w14:textId="77777777">
      <w:trPr>
        <w:jc w:val="center"/>
      </w:trPr>
      <w:tc>
        <w:tcPr>
          <w:tcW w:w="1803" w:type="dxa"/>
          <w:vAlign w:val="center"/>
        </w:tcPr>
        <w:p w14:paraId="727FD637" w14:textId="42B0F2AF" w:rsidR="00EE49E8" w:rsidRDefault="00EE49E8" w:rsidP="00EE49E8">
          <w:pPr>
            <w:pStyle w:val="Header"/>
            <w:jc w:val="left"/>
            <w:rPr>
              <w:noProof/>
            </w:rPr>
          </w:pPr>
        </w:p>
      </w:tc>
      <w:tc>
        <w:tcPr>
          <w:tcW w:w="8261" w:type="dxa"/>
        </w:tcPr>
        <w:p w14:paraId="2D49E76E" w14:textId="0DCE99A7" w:rsidR="00EE49E8" w:rsidRPr="005F645F" w:rsidRDefault="00EE49E8" w:rsidP="00636853">
          <w:pPr>
            <w:pStyle w:val="Header"/>
            <w:tabs>
              <w:tab w:val="left" w:pos="5738"/>
              <w:tab w:val="right" w:pos="8505"/>
              <w:tab w:val="right" w:pos="9639"/>
            </w:tabs>
            <w:jc w:val="left"/>
            <w:rPr>
              <w:rFonts w:ascii="Arial" w:hAnsi="Arial" w:cs="Arial"/>
              <w:b/>
              <w:bCs/>
              <w:szCs w:val="18"/>
              <w:lang w:val="es-ES"/>
            </w:rPr>
          </w:pPr>
          <w:r>
            <w:rPr>
              <w:bCs/>
            </w:rPr>
            <w:tab/>
          </w:r>
          <w:proofErr w:type="spellStart"/>
          <w:r w:rsidR="00A52C84" w:rsidRPr="005F645F">
            <w:rPr>
              <w:bCs/>
              <w:lang w:val="es-ES"/>
            </w:rPr>
            <w:t>CWG-</w:t>
          </w:r>
          <w:r w:rsidR="00636853" w:rsidRPr="005F645F">
            <w:rPr>
              <w:bCs/>
              <w:lang w:val="es-ES"/>
            </w:rPr>
            <w:t>WSIS&amp;SDG</w:t>
          </w:r>
          <w:r w:rsidR="00A52C84" w:rsidRPr="005F645F">
            <w:rPr>
              <w:bCs/>
              <w:lang w:val="es-ES"/>
            </w:rPr>
            <w:t>-</w:t>
          </w:r>
          <w:r w:rsidR="003F3796" w:rsidRPr="005F645F">
            <w:rPr>
              <w:bCs/>
              <w:lang w:val="es-ES"/>
            </w:rPr>
            <w:t>4</w:t>
          </w:r>
          <w:r w:rsidR="005F645F">
            <w:rPr>
              <w:bCs/>
              <w:lang w:val="es-ES"/>
            </w:rPr>
            <w:t>4</w:t>
          </w:r>
          <w:proofErr w:type="spellEnd"/>
          <w:r w:rsidR="00A52C84" w:rsidRPr="005F645F">
            <w:rPr>
              <w:bCs/>
              <w:lang w:val="es-ES"/>
            </w:rPr>
            <w:t>/</w:t>
          </w:r>
          <w:r w:rsidR="00783C5A">
            <w:rPr>
              <w:bCs/>
              <w:lang w:val="es-ES"/>
            </w:rPr>
            <w:t>3</w:t>
          </w:r>
          <w:r w:rsidR="00A52C84" w:rsidRPr="005F645F">
            <w:rPr>
              <w:bCs/>
              <w:lang w:val="es-ES"/>
            </w:rPr>
            <w:t>-E</w:t>
          </w:r>
          <w:r w:rsidRPr="005F645F">
            <w:rPr>
              <w:bCs/>
              <w:lang w:val="es-ES"/>
            </w:rPr>
            <w:tab/>
          </w:r>
          <w:r>
            <w:fldChar w:fldCharType="begin"/>
          </w:r>
          <w:r w:rsidRPr="005F645F">
            <w:rPr>
              <w:lang w:val="es-ES"/>
            </w:rPr>
            <w:instrText>PAGE</w:instrText>
          </w:r>
          <w:r>
            <w:fldChar w:fldCharType="separate"/>
          </w:r>
          <w:r w:rsidRPr="005F645F">
            <w:rPr>
              <w:lang w:val="es-ES"/>
            </w:rPr>
            <w:t>1</w:t>
          </w:r>
          <w:r>
            <w:rPr>
              <w:noProof/>
            </w:rPr>
            <w:fldChar w:fldCharType="end"/>
          </w:r>
        </w:p>
      </w:tc>
    </w:tr>
  </w:tbl>
  <w:p w14:paraId="44006CCE" w14:textId="77777777" w:rsidR="00EE49E8" w:rsidRPr="005F645F"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92B3D" w14:paraId="4F588A4C" w14:textId="77777777" w:rsidTr="00A52C84">
      <w:trPr>
        <w:jc w:val="center"/>
      </w:trPr>
      <w:tc>
        <w:tcPr>
          <w:tcW w:w="3107" w:type="dxa"/>
          <w:vAlign w:val="center"/>
        </w:tcPr>
        <w:bookmarkStart w:id="14" w:name="_Hlk171423014"/>
        <w:p w14:paraId="4E7A2825" w14:textId="5BB005EA" w:rsidR="00EE49E8" w:rsidRDefault="005F645F" w:rsidP="00EE49E8">
          <w:pPr>
            <w:pStyle w:val="Header"/>
            <w:jc w:val="left"/>
            <w:rPr>
              <w:noProof/>
            </w:rPr>
          </w:pPr>
          <w:r>
            <w:rPr>
              <w:color w:val="0070C0"/>
            </w:rPr>
            <w:fldChar w:fldCharType="begin"/>
          </w:r>
          <w:r>
            <w:rPr>
              <w:color w:val="0070C0"/>
            </w:rPr>
            <w:instrText>HYPERLINK "https://council.itu.int/2026/en/working-groups/"</w:instrText>
          </w:r>
          <w:r>
            <w:rPr>
              <w:color w:val="0070C0"/>
            </w:rPr>
          </w:r>
          <w:r>
            <w:rPr>
              <w:color w:val="0070C0"/>
            </w:rPr>
            <w:fldChar w:fldCharType="separate"/>
          </w:r>
          <w:proofErr w:type="spellStart"/>
          <w:r w:rsidR="00A52C84" w:rsidRPr="005F645F">
            <w:rPr>
              <w:rStyle w:val="Hyperlink"/>
            </w:rPr>
            <w:t>council.itu.int</w:t>
          </w:r>
          <w:proofErr w:type="spellEnd"/>
          <w:r w:rsidR="00A52C84" w:rsidRPr="005F645F">
            <w:rPr>
              <w:rStyle w:val="Hyperlink"/>
            </w:rPr>
            <w:t>/working-groups</w:t>
          </w:r>
          <w:bookmarkEnd w:id="14"/>
          <w:r>
            <w:rPr>
              <w:color w:val="0070C0"/>
            </w:rPr>
            <w:fldChar w:fldCharType="end"/>
          </w:r>
        </w:p>
      </w:tc>
      <w:tc>
        <w:tcPr>
          <w:tcW w:w="6957" w:type="dxa"/>
        </w:tcPr>
        <w:p w14:paraId="3F62E0D8" w14:textId="5ACB1003" w:rsidR="00EE49E8" w:rsidRPr="005F645F" w:rsidRDefault="00EE49E8" w:rsidP="00636853">
          <w:pPr>
            <w:pStyle w:val="Header"/>
            <w:tabs>
              <w:tab w:val="left" w:pos="4442"/>
              <w:tab w:val="right" w:pos="8505"/>
              <w:tab w:val="right" w:pos="9639"/>
            </w:tabs>
            <w:jc w:val="left"/>
            <w:rPr>
              <w:rFonts w:ascii="Arial" w:hAnsi="Arial" w:cs="Arial"/>
              <w:b/>
              <w:bCs/>
              <w:szCs w:val="18"/>
              <w:lang w:val="es-ES"/>
            </w:rPr>
          </w:pPr>
          <w:r>
            <w:rPr>
              <w:bCs/>
            </w:rPr>
            <w:tab/>
          </w:r>
          <w:proofErr w:type="spellStart"/>
          <w:r w:rsidRPr="005F645F">
            <w:rPr>
              <w:bCs/>
              <w:lang w:val="es-ES"/>
            </w:rPr>
            <w:t>C</w:t>
          </w:r>
          <w:r w:rsidR="00A52C84" w:rsidRPr="005F645F">
            <w:rPr>
              <w:bCs/>
              <w:lang w:val="es-ES"/>
            </w:rPr>
            <w:t>WG-</w:t>
          </w:r>
          <w:r w:rsidR="00636853" w:rsidRPr="005F645F">
            <w:rPr>
              <w:bCs/>
              <w:lang w:val="es-ES"/>
            </w:rPr>
            <w:t>WSIS&amp;SDG</w:t>
          </w:r>
          <w:r w:rsidR="00A52C84" w:rsidRPr="005F645F">
            <w:rPr>
              <w:bCs/>
              <w:lang w:val="es-ES"/>
            </w:rPr>
            <w:t>-</w:t>
          </w:r>
          <w:r w:rsidR="003F3796" w:rsidRPr="005F645F">
            <w:rPr>
              <w:bCs/>
              <w:lang w:val="es-ES"/>
            </w:rPr>
            <w:t>4</w:t>
          </w:r>
          <w:r w:rsidR="005F645F">
            <w:rPr>
              <w:bCs/>
              <w:lang w:val="es-ES"/>
            </w:rPr>
            <w:t>4</w:t>
          </w:r>
          <w:proofErr w:type="spellEnd"/>
          <w:r w:rsidRPr="005F645F">
            <w:rPr>
              <w:bCs/>
              <w:lang w:val="es-ES"/>
            </w:rPr>
            <w:t>/</w:t>
          </w:r>
          <w:r w:rsidR="00783C5A">
            <w:rPr>
              <w:bCs/>
              <w:lang w:val="es-ES"/>
            </w:rPr>
            <w:t>3</w:t>
          </w:r>
          <w:r w:rsidRPr="005F645F">
            <w:rPr>
              <w:bCs/>
              <w:lang w:val="es-ES"/>
            </w:rPr>
            <w:t>-E</w:t>
          </w:r>
          <w:r w:rsidRPr="005F645F">
            <w:rPr>
              <w:bCs/>
              <w:lang w:val="es-ES"/>
            </w:rPr>
            <w:tab/>
          </w:r>
          <w:r>
            <w:fldChar w:fldCharType="begin"/>
          </w:r>
          <w:r w:rsidRPr="005F645F">
            <w:rPr>
              <w:lang w:val="es-ES"/>
            </w:rPr>
            <w:instrText>PAGE</w:instrText>
          </w:r>
          <w:r>
            <w:fldChar w:fldCharType="separate"/>
          </w:r>
          <w:r w:rsidRPr="005F645F">
            <w:rPr>
              <w:lang w:val="es-ES"/>
            </w:rPr>
            <w:t>1</w:t>
          </w:r>
          <w:r>
            <w:rPr>
              <w:noProof/>
            </w:rPr>
            <w:fldChar w:fldCharType="end"/>
          </w:r>
        </w:p>
      </w:tc>
    </w:tr>
  </w:tbl>
  <w:p w14:paraId="12BE588F" w14:textId="77777777" w:rsidR="00A514A4" w:rsidRPr="005F645F"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22E8D" w14:textId="77777777" w:rsidR="00C118D3" w:rsidRDefault="00C118D3">
      <w:r>
        <w:t>____________________</w:t>
      </w:r>
    </w:p>
  </w:footnote>
  <w:footnote w:type="continuationSeparator" w:id="0">
    <w:p w14:paraId="7BA6116A" w14:textId="77777777" w:rsidR="00C118D3" w:rsidRDefault="00C118D3">
      <w:r>
        <w:continuationSeparator/>
      </w:r>
    </w:p>
  </w:footnote>
  <w:footnote w:id="1">
    <w:p w14:paraId="152E74BE" w14:textId="3C627106" w:rsidR="00125FE2" w:rsidRPr="004575A6" w:rsidRDefault="00125FE2" w:rsidP="00D27063">
      <w:pPr>
        <w:pStyle w:val="FootnoteText"/>
      </w:pPr>
      <w:r>
        <w:rPr>
          <w:rStyle w:val="FootnoteReference"/>
        </w:rPr>
        <w:footnoteRef/>
      </w:r>
      <w:r w:rsidR="0016155B">
        <w:tab/>
      </w:r>
      <w:r w:rsidRPr="0081419F">
        <w:t xml:space="preserve">ITU's </w:t>
      </w:r>
      <w:hyperlink r:id="rId1" w:history="1">
        <w:r w:rsidRPr="0081419F">
          <w:rPr>
            <w:rStyle w:val="Hyperlink"/>
            <w:szCs w:val="16"/>
          </w:rPr>
          <w:t>Facts and Figures</w:t>
        </w:r>
      </w:hyperlink>
      <w:r w:rsidRPr="0081419F">
        <w:t xml:space="preserve"> series features estimates for key connectivity indicators for the world, regions, and selected country groups. The assessment </w:t>
      </w:r>
      <w:r w:rsidRPr="00D27063">
        <w:t>provides</w:t>
      </w:r>
      <w:r w:rsidRPr="0081419F">
        <w:t xml:space="preserve"> context on the evolving digital divide while also reviewing progress towards closing 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p w14:paraId="3E21B143" w14:textId="178FA05C" w:rsidR="00AD3606" w:rsidRPr="009621F8" w:rsidRDefault="00DB00D5" w:rsidP="00130599">
          <w:pPr>
            <w:pStyle w:val="Header"/>
            <w:jc w:val="left"/>
            <w:rPr>
              <w:rFonts w:ascii="Arial" w:hAnsi="Arial" w:cs="Arial"/>
              <w:b/>
              <w:bCs/>
              <w:color w:val="009CD6"/>
              <w:sz w:val="36"/>
              <w:szCs w:val="36"/>
            </w:rPr>
          </w:pPr>
          <w:bookmarkStart w:id="13" w:name="_Hlk133422111"/>
          <w:r>
            <w:rPr>
              <w:rFonts w:ascii="Arial" w:hAnsi="Arial" w:cs="Arial"/>
              <w:b/>
              <w:bCs/>
              <w:noProof/>
              <w:color w:val="009CD6"/>
              <w:szCs w:val="18"/>
            </w:rPr>
            <mc:AlternateContent>
              <mc:Choice Requires="wps">
                <w:drawing>
                  <wp:anchor distT="0" distB="0" distL="114300" distR="114300" simplePos="0" relativeHeight="251658241"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2CC446" id="Rectangle 2" o:spid="_x0000_s1026" style="position:absolute;margin-left:44.9pt;margin-top:5pt;width:130.15pt;height:42.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3"/>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203FBB" id="Rectangle 5" o:spid="_x0000_s1026" style="position:absolute;margin-left:1.15pt;margin-top:43.75pt;width:7.35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58242"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089C471D" w:rsidR="00130599" w:rsidRDefault="00130599" w:rsidP="00130599">
                          <w:pPr>
                            <w:spacing w:before="0"/>
                          </w:pPr>
                          <w:r w:rsidRPr="00F74694">
                            <w:rPr>
                              <w:b/>
                              <w:bCs/>
                              <w:szCs w:val="24"/>
                            </w:rPr>
                            <w:t>Council Working Group</w:t>
                          </w:r>
                          <w:r w:rsidR="00F74694" w:rsidRPr="00F74694">
                            <w:rPr>
                              <w:b/>
                              <w:bCs/>
                              <w:szCs w:val="24"/>
                            </w:rPr>
                            <w:br/>
                          </w:r>
                          <w:r w:rsidRPr="00636853">
                            <w:rPr>
                              <w:b/>
                              <w:bCs/>
                              <w:spacing w:val="6"/>
                              <w:szCs w:val="24"/>
                            </w:rPr>
                            <w:t xml:space="preserve">on </w:t>
                          </w:r>
                          <w:r w:rsidR="00636853" w:rsidRPr="00636853">
                            <w:rPr>
                              <w:b/>
                              <w:bCs/>
                              <w:spacing w:val="6"/>
                              <w:szCs w:val="24"/>
                            </w:rPr>
                            <w:t>WSIS and the SDGs</w:t>
                          </w:r>
                          <w:r>
                            <w:br/>
                          </w:r>
                          <w:r w:rsidR="003F3796">
                            <w:rPr>
                              <w:sz w:val="20"/>
                            </w:rPr>
                            <w:t>Fort</w:t>
                          </w:r>
                          <w:r w:rsidR="00754DFC">
                            <w:rPr>
                              <w:sz w:val="20"/>
                            </w:rPr>
                            <w:t>y-</w:t>
                          </w:r>
                          <w:r w:rsidR="005F645F">
                            <w:rPr>
                              <w:sz w:val="20"/>
                            </w:rPr>
                            <w:t>fourth</w:t>
                          </w:r>
                          <w:r w:rsidRPr="00130599">
                            <w:rPr>
                              <w:sz w:val="20"/>
                            </w:rPr>
                            <w:t xml:space="preserve"> meeting </w:t>
                          </w:r>
                          <w:r w:rsidR="005F645F">
                            <w:rPr>
                              <w:sz w:val="20"/>
                            </w:rPr>
                            <w:t>–</w:t>
                          </w:r>
                          <w:r w:rsidR="003C7E1B">
                            <w:rPr>
                              <w:sz w:val="20"/>
                            </w:rPr>
                            <w:t>15</w:t>
                          </w:r>
                          <w:r w:rsidR="00754DFC">
                            <w:rPr>
                              <w:sz w:val="20"/>
                            </w:rPr>
                            <w:t xml:space="preserve"> </w:t>
                          </w:r>
                          <w:r w:rsidR="00045597">
                            <w:rPr>
                              <w:sz w:val="20"/>
                            </w:rPr>
                            <w:t xml:space="preserve">and </w:t>
                          </w:r>
                          <w:r w:rsidR="003C7E1B">
                            <w:rPr>
                              <w:sz w:val="20"/>
                            </w:rPr>
                            <w:t>16</w:t>
                          </w:r>
                          <w:r w:rsidR="00754DFC">
                            <w:rPr>
                              <w:sz w:val="20"/>
                            </w:rPr>
                            <w:t xml:space="preserve"> </w:t>
                          </w:r>
                          <w:r w:rsidR="005F645F">
                            <w:rPr>
                              <w:sz w:val="20"/>
                            </w:rPr>
                            <w:t xml:space="preserve">(a.m.) January </w:t>
                          </w:r>
                          <w:r w:rsidR="00754DFC">
                            <w:rPr>
                              <w:sz w:val="20"/>
                            </w:rPr>
                            <w:t>202</w:t>
                          </w:r>
                          <w:r w:rsidR="005F645F">
                            <w:rPr>
                              <w:sz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089C471D" w:rsidR="00130599" w:rsidRDefault="00130599" w:rsidP="00130599">
                    <w:pPr>
                      <w:spacing w:before="0"/>
                    </w:pPr>
                    <w:r w:rsidRPr="00F74694">
                      <w:rPr>
                        <w:b/>
                        <w:bCs/>
                        <w:szCs w:val="24"/>
                      </w:rPr>
                      <w:t>Council Working Group</w:t>
                    </w:r>
                    <w:r w:rsidR="00F74694" w:rsidRPr="00F74694">
                      <w:rPr>
                        <w:b/>
                        <w:bCs/>
                        <w:szCs w:val="24"/>
                      </w:rPr>
                      <w:br/>
                    </w:r>
                    <w:r w:rsidRPr="00636853">
                      <w:rPr>
                        <w:b/>
                        <w:bCs/>
                        <w:spacing w:val="6"/>
                        <w:szCs w:val="24"/>
                      </w:rPr>
                      <w:t xml:space="preserve">on </w:t>
                    </w:r>
                    <w:r w:rsidR="00636853" w:rsidRPr="00636853">
                      <w:rPr>
                        <w:b/>
                        <w:bCs/>
                        <w:spacing w:val="6"/>
                        <w:szCs w:val="24"/>
                      </w:rPr>
                      <w:t>WSIS and the SDGs</w:t>
                    </w:r>
                    <w:r>
                      <w:br/>
                    </w:r>
                    <w:r w:rsidR="003F3796">
                      <w:rPr>
                        <w:sz w:val="20"/>
                      </w:rPr>
                      <w:t>Fort</w:t>
                    </w:r>
                    <w:r w:rsidR="00754DFC">
                      <w:rPr>
                        <w:sz w:val="20"/>
                      </w:rPr>
                      <w:t>y-</w:t>
                    </w:r>
                    <w:r w:rsidR="005F645F">
                      <w:rPr>
                        <w:sz w:val="20"/>
                      </w:rPr>
                      <w:t>fourth</w:t>
                    </w:r>
                    <w:r w:rsidRPr="00130599">
                      <w:rPr>
                        <w:sz w:val="20"/>
                      </w:rPr>
                      <w:t xml:space="preserve"> meeting </w:t>
                    </w:r>
                    <w:r w:rsidR="005F645F">
                      <w:rPr>
                        <w:sz w:val="20"/>
                      </w:rPr>
                      <w:t>–</w:t>
                    </w:r>
                    <w:r w:rsidR="003C7E1B">
                      <w:rPr>
                        <w:sz w:val="20"/>
                      </w:rPr>
                      <w:t>15</w:t>
                    </w:r>
                    <w:r w:rsidR="00754DFC">
                      <w:rPr>
                        <w:sz w:val="20"/>
                      </w:rPr>
                      <w:t xml:space="preserve"> </w:t>
                    </w:r>
                    <w:r w:rsidR="00045597">
                      <w:rPr>
                        <w:sz w:val="20"/>
                      </w:rPr>
                      <w:t xml:space="preserve">and </w:t>
                    </w:r>
                    <w:r w:rsidR="003C7E1B">
                      <w:rPr>
                        <w:sz w:val="20"/>
                      </w:rPr>
                      <w:t>16</w:t>
                    </w:r>
                    <w:r w:rsidR="00754DFC">
                      <w:rPr>
                        <w:sz w:val="20"/>
                      </w:rPr>
                      <w:t xml:space="preserve"> </w:t>
                    </w:r>
                    <w:r w:rsidR="005F645F">
                      <w:rPr>
                        <w:sz w:val="20"/>
                      </w:rPr>
                      <w:t xml:space="preserve">(a.m.) January </w:t>
                    </w:r>
                    <w:r w:rsidR="00754DFC">
                      <w:rPr>
                        <w:sz w:val="20"/>
                      </w:rPr>
                      <w:t>202</w:t>
                    </w:r>
                    <w:r w:rsidR="005F645F">
                      <w:rPr>
                        <w:sz w:val="20"/>
                      </w:rPr>
                      <w:t>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960199"/>
    <w:multiLevelType w:val="hybridMultilevel"/>
    <w:tmpl w:val="B59A60CC"/>
    <w:lvl w:ilvl="0" w:tplc="226283E0">
      <w:numFmt w:val="bullet"/>
      <w:lvlText w:val="-"/>
      <w:lvlJc w:val="left"/>
      <w:pPr>
        <w:ind w:left="1142" w:hanging="360"/>
      </w:pPr>
      <w:rPr>
        <w:rFonts w:ascii="Calibri" w:eastAsia="DengXian" w:hAnsi="Calibri" w:cs="Calibri" w:hint="default"/>
      </w:rPr>
    </w:lvl>
    <w:lvl w:ilvl="1" w:tplc="08090003" w:tentative="1">
      <w:start w:val="1"/>
      <w:numFmt w:val="bullet"/>
      <w:lvlText w:val="o"/>
      <w:lvlJc w:val="left"/>
      <w:pPr>
        <w:ind w:left="1862" w:hanging="360"/>
      </w:pPr>
      <w:rPr>
        <w:rFonts w:ascii="Courier New" w:hAnsi="Courier New" w:cs="Courier New" w:hint="default"/>
      </w:rPr>
    </w:lvl>
    <w:lvl w:ilvl="2" w:tplc="08090005" w:tentative="1">
      <w:start w:val="1"/>
      <w:numFmt w:val="bullet"/>
      <w:lvlText w:val=""/>
      <w:lvlJc w:val="left"/>
      <w:pPr>
        <w:ind w:left="2582" w:hanging="360"/>
      </w:pPr>
      <w:rPr>
        <w:rFonts w:ascii="Wingdings" w:hAnsi="Wingdings" w:hint="default"/>
      </w:rPr>
    </w:lvl>
    <w:lvl w:ilvl="3" w:tplc="08090001" w:tentative="1">
      <w:start w:val="1"/>
      <w:numFmt w:val="bullet"/>
      <w:lvlText w:val=""/>
      <w:lvlJc w:val="left"/>
      <w:pPr>
        <w:ind w:left="3302" w:hanging="360"/>
      </w:pPr>
      <w:rPr>
        <w:rFonts w:ascii="Symbol" w:hAnsi="Symbol" w:hint="default"/>
      </w:rPr>
    </w:lvl>
    <w:lvl w:ilvl="4" w:tplc="08090003" w:tentative="1">
      <w:start w:val="1"/>
      <w:numFmt w:val="bullet"/>
      <w:lvlText w:val="o"/>
      <w:lvlJc w:val="left"/>
      <w:pPr>
        <w:ind w:left="4022" w:hanging="360"/>
      </w:pPr>
      <w:rPr>
        <w:rFonts w:ascii="Courier New" w:hAnsi="Courier New" w:cs="Courier New" w:hint="default"/>
      </w:rPr>
    </w:lvl>
    <w:lvl w:ilvl="5" w:tplc="08090005" w:tentative="1">
      <w:start w:val="1"/>
      <w:numFmt w:val="bullet"/>
      <w:lvlText w:val=""/>
      <w:lvlJc w:val="left"/>
      <w:pPr>
        <w:ind w:left="4742" w:hanging="360"/>
      </w:pPr>
      <w:rPr>
        <w:rFonts w:ascii="Wingdings" w:hAnsi="Wingdings" w:hint="default"/>
      </w:rPr>
    </w:lvl>
    <w:lvl w:ilvl="6" w:tplc="08090001" w:tentative="1">
      <w:start w:val="1"/>
      <w:numFmt w:val="bullet"/>
      <w:lvlText w:val=""/>
      <w:lvlJc w:val="left"/>
      <w:pPr>
        <w:ind w:left="5462" w:hanging="360"/>
      </w:pPr>
      <w:rPr>
        <w:rFonts w:ascii="Symbol" w:hAnsi="Symbol" w:hint="default"/>
      </w:rPr>
    </w:lvl>
    <w:lvl w:ilvl="7" w:tplc="08090003" w:tentative="1">
      <w:start w:val="1"/>
      <w:numFmt w:val="bullet"/>
      <w:lvlText w:val="o"/>
      <w:lvlJc w:val="left"/>
      <w:pPr>
        <w:ind w:left="6182" w:hanging="360"/>
      </w:pPr>
      <w:rPr>
        <w:rFonts w:ascii="Courier New" w:hAnsi="Courier New" w:cs="Courier New" w:hint="default"/>
      </w:rPr>
    </w:lvl>
    <w:lvl w:ilvl="8" w:tplc="08090005" w:tentative="1">
      <w:start w:val="1"/>
      <w:numFmt w:val="bullet"/>
      <w:lvlText w:val=""/>
      <w:lvlJc w:val="left"/>
      <w:pPr>
        <w:ind w:left="6902" w:hanging="360"/>
      </w:pPr>
      <w:rPr>
        <w:rFonts w:ascii="Wingdings" w:hAnsi="Wingdings" w:hint="default"/>
      </w:rPr>
    </w:lvl>
  </w:abstractNum>
  <w:abstractNum w:abstractNumId="2" w15:restartNumberingAfterBreak="0">
    <w:nsid w:val="0E4A4FAC"/>
    <w:multiLevelType w:val="hybridMultilevel"/>
    <w:tmpl w:val="7D548D80"/>
    <w:lvl w:ilvl="0" w:tplc="FFFFFFFF">
      <w:start w:val="1"/>
      <w:numFmt w:val="bullet"/>
      <w:lvlText w:val="-"/>
      <w:lvlJc w:val="left"/>
      <w:pPr>
        <w:ind w:left="919" w:hanging="360"/>
      </w:pPr>
      <w:rPr>
        <w:rFonts w:ascii="Calibri" w:hAnsi="Calibri" w:hint="default"/>
      </w:rPr>
    </w:lvl>
    <w:lvl w:ilvl="1" w:tplc="08090003" w:tentative="1">
      <w:start w:val="1"/>
      <w:numFmt w:val="bullet"/>
      <w:lvlText w:val="o"/>
      <w:lvlJc w:val="left"/>
      <w:pPr>
        <w:ind w:left="1639" w:hanging="360"/>
      </w:pPr>
      <w:rPr>
        <w:rFonts w:ascii="Courier New" w:hAnsi="Courier New" w:cs="Courier New" w:hint="default"/>
      </w:rPr>
    </w:lvl>
    <w:lvl w:ilvl="2" w:tplc="08090005" w:tentative="1">
      <w:start w:val="1"/>
      <w:numFmt w:val="bullet"/>
      <w:lvlText w:val=""/>
      <w:lvlJc w:val="left"/>
      <w:pPr>
        <w:ind w:left="2359" w:hanging="360"/>
      </w:pPr>
      <w:rPr>
        <w:rFonts w:ascii="Wingdings" w:hAnsi="Wingdings" w:hint="default"/>
      </w:rPr>
    </w:lvl>
    <w:lvl w:ilvl="3" w:tplc="08090001" w:tentative="1">
      <w:start w:val="1"/>
      <w:numFmt w:val="bullet"/>
      <w:lvlText w:val=""/>
      <w:lvlJc w:val="left"/>
      <w:pPr>
        <w:ind w:left="3079" w:hanging="360"/>
      </w:pPr>
      <w:rPr>
        <w:rFonts w:ascii="Symbol" w:hAnsi="Symbol" w:hint="default"/>
      </w:rPr>
    </w:lvl>
    <w:lvl w:ilvl="4" w:tplc="08090003" w:tentative="1">
      <w:start w:val="1"/>
      <w:numFmt w:val="bullet"/>
      <w:lvlText w:val="o"/>
      <w:lvlJc w:val="left"/>
      <w:pPr>
        <w:ind w:left="3799" w:hanging="360"/>
      </w:pPr>
      <w:rPr>
        <w:rFonts w:ascii="Courier New" w:hAnsi="Courier New" w:cs="Courier New" w:hint="default"/>
      </w:rPr>
    </w:lvl>
    <w:lvl w:ilvl="5" w:tplc="08090005" w:tentative="1">
      <w:start w:val="1"/>
      <w:numFmt w:val="bullet"/>
      <w:lvlText w:val=""/>
      <w:lvlJc w:val="left"/>
      <w:pPr>
        <w:ind w:left="4519" w:hanging="360"/>
      </w:pPr>
      <w:rPr>
        <w:rFonts w:ascii="Wingdings" w:hAnsi="Wingdings" w:hint="default"/>
      </w:rPr>
    </w:lvl>
    <w:lvl w:ilvl="6" w:tplc="08090001" w:tentative="1">
      <w:start w:val="1"/>
      <w:numFmt w:val="bullet"/>
      <w:lvlText w:val=""/>
      <w:lvlJc w:val="left"/>
      <w:pPr>
        <w:ind w:left="5239" w:hanging="360"/>
      </w:pPr>
      <w:rPr>
        <w:rFonts w:ascii="Symbol" w:hAnsi="Symbol" w:hint="default"/>
      </w:rPr>
    </w:lvl>
    <w:lvl w:ilvl="7" w:tplc="08090003" w:tentative="1">
      <w:start w:val="1"/>
      <w:numFmt w:val="bullet"/>
      <w:lvlText w:val="o"/>
      <w:lvlJc w:val="left"/>
      <w:pPr>
        <w:ind w:left="5959" w:hanging="360"/>
      </w:pPr>
      <w:rPr>
        <w:rFonts w:ascii="Courier New" w:hAnsi="Courier New" w:cs="Courier New" w:hint="default"/>
      </w:rPr>
    </w:lvl>
    <w:lvl w:ilvl="8" w:tplc="08090005" w:tentative="1">
      <w:start w:val="1"/>
      <w:numFmt w:val="bullet"/>
      <w:lvlText w:val=""/>
      <w:lvlJc w:val="left"/>
      <w:pPr>
        <w:ind w:left="6679" w:hanging="360"/>
      </w:pPr>
      <w:rPr>
        <w:rFonts w:ascii="Wingdings" w:hAnsi="Wingdings" w:hint="default"/>
      </w:rPr>
    </w:lvl>
  </w:abstractNum>
  <w:abstractNum w:abstractNumId="3" w15:restartNumberingAfterBreak="0">
    <w:nsid w:val="2A4C58C3"/>
    <w:multiLevelType w:val="hybridMultilevel"/>
    <w:tmpl w:val="45EA7046"/>
    <w:lvl w:ilvl="0" w:tplc="13EE0EB2">
      <w:numFmt w:val="bullet"/>
      <w:lvlText w:val=""/>
      <w:lvlJc w:val="left"/>
      <w:pPr>
        <w:ind w:left="782" w:hanging="360"/>
      </w:pPr>
      <w:rPr>
        <w:rFonts w:ascii="Symbol" w:eastAsia="Malgun Gothic" w:hAnsi="Symbol" w:cstheme="minorHAnsi" w:hint="default"/>
      </w:rPr>
    </w:lvl>
    <w:lvl w:ilvl="1" w:tplc="08090003">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4" w15:restartNumberingAfterBreak="0">
    <w:nsid w:val="30987259"/>
    <w:multiLevelType w:val="hybridMultilevel"/>
    <w:tmpl w:val="FE7EF38A"/>
    <w:lvl w:ilvl="0" w:tplc="FFFFFFFF">
      <w:start w:val="1"/>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1A1C6A"/>
    <w:multiLevelType w:val="hybridMultilevel"/>
    <w:tmpl w:val="71960BF0"/>
    <w:lvl w:ilvl="0" w:tplc="A482BF38">
      <w:numFmt w:val="bullet"/>
      <w:lvlText w:val=""/>
      <w:lvlJc w:val="left"/>
      <w:pPr>
        <w:ind w:left="791" w:hanging="360"/>
      </w:pPr>
      <w:rPr>
        <w:rFonts w:ascii="Symbol" w:eastAsia="DengXian" w:hAnsi="Symbol" w:cstheme="minorHAnsi"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6" w15:restartNumberingAfterBreak="0">
    <w:nsid w:val="493C3E6F"/>
    <w:multiLevelType w:val="hybridMultilevel"/>
    <w:tmpl w:val="190097AA"/>
    <w:lvl w:ilvl="0" w:tplc="E98E941C">
      <w:start w:val="1"/>
      <w:numFmt w:val="bullet"/>
      <w:lvlText w:val="-"/>
      <w:lvlJc w:val="left"/>
      <w:pPr>
        <w:ind w:left="494" w:hanging="360"/>
      </w:pPr>
      <w:rPr>
        <w:rFonts w:ascii="Aptos" w:hAnsi="Aptos" w:hint="default"/>
      </w:rPr>
    </w:lvl>
    <w:lvl w:ilvl="1" w:tplc="5DEA5C8C">
      <w:start w:val="1"/>
      <w:numFmt w:val="bullet"/>
      <w:lvlText w:val="o"/>
      <w:lvlJc w:val="left"/>
      <w:pPr>
        <w:ind w:left="1214" w:hanging="360"/>
      </w:pPr>
      <w:rPr>
        <w:rFonts w:ascii="Courier New" w:hAnsi="Courier New" w:hint="default"/>
      </w:rPr>
    </w:lvl>
    <w:lvl w:ilvl="2" w:tplc="E376D016">
      <w:start w:val="1"/>
      <w:numFmt w:val="bullet"/>
      <w:lvlText w:val=""/>
      <w:lvlJc w:val="left"/>
      <w:pPr>
        <w:ind w:left="1934" w:hanging="360"/>
      </w:pPr>
      <w:rPr>
        <w:rFonts w:ascii="Wingdings" w:hAnsi="Wingdings" w:hint="default"/>
      </w:rPr>
    </w:lvl>
    <w:lvl w:ilvl="3" w:tplc="7B1C7008">
      <w:start w:val="1"/>
      <w:numFmt w:val="bullet"/>
      <w:lvlText w:val=""/>
      <w:lvlJc w:val="left"/>
      <w:pPr>
        <w:ind w:left="2654" w:hanging="360"/>
      </w:pPr>
      <w:rPr>
        <w:rFonts w:ascii="Symbol" w:hAnsi="Symbol" w:hint="default"/>
      </w:rPr>
    </w:lvl>
    <w:lvl w:ilvl="4" w:tplc="7BC0CFF6">
      <w:start w:val="1"/>
      <w:numFmt w:val="bullet"/>
      <w:lvlText w:val="o"/>
      <w:lvlJc w:val="left"/>
      <w:pPr>
        <w:ind w:left="3374" w:hanging="360"/>
      </w:pPr>
      <w:rPr>
        <w:rFonts w:ascii="Courier New" w:hAnsi="Courier New" w:hint="default"/>
      </w:rPr>
    </w:lvl>
    <w:lvl w:ilvl="5" w:tplc="A0789D4A">
      <w:start w:val="1"/>
      <w:numFmt w:val="bullet"/>
      <w:lvlText w:val=""/>
      <w:lvlJc w:val="left"/>
      <w:pPr>
        <w:ind w:left="4094" w:hanging="360"/>
      </w:pPr>
      <w:rPr>
        <w:rFonts w:ascii="Wingdings" w:hAnsi="Wingdings" w:hint="default"/>
      </w:rPr>
    </w:lvl>
    <w:lvl w:ilvl="6" w:tplc="C4EE6226">
      <w:start w:val="1"/>
      <w:numFmt w:val="bullet"/>
      <w:lvlText w:val=""/>
      <w:lvlJc w:val="left"/>
      <w:pPr>
        <w:ind w:left="4814" w:hanging="360"/>
      </w:pPr>
      <w:rPr>
        <w:rFonts w:ascii="Symbol" w:hAnsi="Symbol" w:hint="default"/>
      </w:rPr>
    </w:lvl>
    <w:lvl w:ilvl="7" w:tplc="BC0EDA1C">
      <w:start w:val="1"/>
      <w:numFmt w:val="bullet"/>
      <w:lvlText w:val="o"/>
      <w:lvlJc w:val="left"/>
      <w:pPr>
        <w:ind w:left="5534" w:hanging="360"/>
      </w:pPr>
      <w:rPr>
        <w:rFonts w:ascii="Courier New" w:hAnsi="Courier New" w:hint="default"/>
      </w:rPr>
    </w:lvl>
    <w:lvl w:ilvl="8" w:tplc="EFBE009E">
      <w:start w:val="1"/>
      <w:numFmt w:val="bullet"/>
      <w:lvlText w:val=""/>
      <w:lvlJc w:val="left"/>
      <w:pPr>
        <w:ind w:left="6254" w:hanging="360"/>
      </w:pPr>
      <w:rPr>
        <w:rFonts w:ascii="Wingdings" w:hAnsi="Wingdings" w:hint="default"/>
      </w:rPr>
    </w:lvl>
  </w:abstractNum>
  <w:abstractNum w:abstractNumId="7" w15:restartNumberingAfterBreak="0">
    <w:nsid w:val="5183E792"/>
    <w:multiLevelType w:val="hybridMultilevel"/>
    <w:tmpl w:val="A8728E62"/>
    <w:lvl w:ilvl="0" w:tplc="CC7EAA74">
      <w:start w:val="1"/>
      <w:numFmt w:val="bullet"/>
      <w:lvlText w:val=""/>
      <w:lvlJc w:val="left"/>
      <w:pPr>
        <w:ind w:left="1502" w:hanging="360"/>
      </w:pPr>
      <w:rPr>
        <w:rFonts w:ascii="Wingdings" w:hAnsi="Wingdings" w:hint="default"/>
      </w:rPr>
    </w:lvl>
    <w:lvl w:ilvl="1" w:tplc="8E3C22FC">
      <w:start w:val="1"/>
      <w:numFmt w:val="bullet"/>
      <w:lvlText w:val="o"/>
      <w:lvlJc w:val="left"/>
      <w:pPr>
        <w:ind w:left="2222" w:hanging="360"/>
      </w:pPr>
      <w:rPr>
        <w:rFonts w:ascii="Courier New" w:hAnsi="Courier New" w:hint="default"/>
      </w:rPr>
    </w:lvl>
    <w:lvl w:ilvl="2" w:tplc="A8CC0D6A">
      <w:start w:val="1"/>
      <w:numFmt w:val="bullet"/>
      <w:lvlText w:val=""/>
      <w:lvlJc w:val="left"/>
      <w:pPr>
        <w:ind w:left="2942" w:hanging="360"/>
      </w:pPr>
      <w:rPr>
        <w:rFonts w:ascii="Wingdings" w:hAnsi="Wingdings" w:hint="default"/>
      </w:rPr>
    </w:lvl>
    <w:lvl w:ilvl="3" w:tplc="ED744416">
      <w:start w:val="1"/>
      <w:numFmt w:val="bullet"/>
      <w:lvlText w:val=""/>
      <w:lvlJc w:val="left"/>
      <w:pPr>
        <w:ind w:left="3662" w:hanging="360"/>
      </w:pPr>
      <w:rPr>
        <w:rFonts w:ascii="Symbol" w:hAnsi="Symbol" w:hint="default"/>
      </w:rPr>
    </w:lvl>
    <w:lvl w:ilvl="4" w:tplc="51E098A0">
      <w:start w:val="1"/>
      <w:numFmt w:val="bullet"/>
      <w:lvlText w:val="o"/>
      <w:lvlJc w:val="left"/>
      <w:pPr>
        <w:ind w:left="4382" w:hanging="360"/>
      </w:pPr>
      <w:rPr>
        <w:rFonts w:ascii="Courier New" w:hAnsi="Courier New" w:hint="default"/>
      </w:rPr>
    </w:lvl>
    <w:lvl w:ilvl="5" w:tplc="9F8097A2">
      <w:start w:val="1"/>
      <w:numFmt w:val="bullet"/>
      <w:lvlText w:val=""/>
      <w:lvlJc w:val="left"/>
      <w:pPr>
        <w:ind w:left="5102" w:hanging="360"/>
      </w:pPr>
      <w:rPr>
        <w:rFonts w:ascii="Wingdings" w:hAnsi="Wingdings" w:hint="default"/>
      </w:rPr>
    </w:lvl>
    <w:lvl w:ilvl="6" w:tplc="C5529780">
      <w:start w:val="1"/>
      <w:numFmt w:val="bullet"/>
      <w:lvlText w:val=""/>
      <w:lvlJc w:val="left"/>
      <w:pPr>
        <w:ind w:left="5822" w:hanging="360"/>
      </w:pPr>
      <w:rPr>
        <w:rFonts w:ascii="Symbol" w:hAnsi="Symbol" w:hint="default"/>
      </w:rPr>
    </w:lvl>
    <w:lvl w:ilvl="7" w:tplc="82D24E24">
      <w:start w:val="1"/>
      <w:numFmt w:val="bullet"/>
      <w:lvlText w:val="o"/>
      <w:lvlJc w:val="left"/>
      <w:pPr>
        <w:ind w:left="6542" w:hanging="360"/>
      </w:pPr>
      <w:rPr>
        <w:rFonts w:ascii="Courier New" w:hAnsi="Courier New" w:hint="default"/>
      </w:rPr>
    </w:lvl>
    <w:lvl w:ilvl="8" w:tplc="465830D2">
      <w:start w:val="1"/>
      <w:numFmt w:val="bullet"/>
      <w:lvlText w:val=""/>
      <w:lvlJc w:val="left"/>
      <w:pPr>
        <w:ind w:left="7262" w:hanging="360"/>
      </w:pPr>
      <w:rPr>
        <w:rFonts w:ascii="Wingdings" w:hAnsi="Wingdings" w:hint="default"/>
      </w:rPr>
    </w:lvl>
  </w:abstractNum>
  <w:abstractNum w:abstractNumId="8" w15:restartNumberingAfterBreak="0">
    <w:nsid w:val="68AF43D9"/>
    <w:multiLevelType w:val="hybridMultilevel"/>
    <w:tmpl w:val="8B98C898"/>
    <w:lvl w:ilvl="0" w:tplc="B706F854">
      <w:numFmt w:val="bullet"/>
      <w:lvlText w:val="-"/>
      <w:lvlJc w:val="left"/>
      <w:rPr>
        <w:rFonts w:ascii="Calibri" w:eastAsia="SimSu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B923F2"/>
    <w:multiLevelType w:val="hybridMultilevel"/>
    <w:tmpl w:val="1734A1B8"/>
    <w:lvl w:ilvl="0" w:tplc="610EDB6A">
      <w:start w:val="2"/>
      <w:numFmt w:val="lowerLetter"/>
      <w:lvlText w:val="(%1)"/>
      <w:lvlJc w:val="left"/>
      <w:pPr>
        <w:ind w:left="450" w:hanging="360"/>
      </w:pPr>
      <w:rPr>
        <w:rFonts w:eastAsia="Malgun Gothic"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10" w15:restartNumberingAfterBreak="0">
    <w:nsid w:val="7EB83015"/>
    <w:multiLevelType w:val="hybridMultilevel"/>
    <w:tmpl w:val="AFB674C0"/>
    <w:lvl w:ilvl="0" w:tplc="B706F854">
      <w:numFmt w:val="bullet"/>
      <w:lvlText w:val="-"/>
      <w:lvlJc w:val="left"/>
      <w:rPr>
        <w:rFonts w:ascii="Calibri" w:eastAsia="SimSu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06273338">
    <w:abstractNumId w:val="6"/>
  </w:num>
  <w:num w:numId="2" w16cid:durableId="406073279">
    <w:abstractNumId w:val="7"/>
  </w:num>
  <w:num w:numId="3" w16cid:durableId="1374816267">
    <w:abstractNumId w:val="0"/>
  </w:num>
  <w:num w:numId="4" w16cid:durableId="408892914">
    <w:abstractNumId w:val="8"/>
  </w:num>
  <w:num w:numId="5" w16cid:durableId="1265727098">
    <w:abstractNumId w:val="2"/>
  </w:num>
  <w:num w:numId="6" w16cid:durableId="1997496010">
    <w:abstractNumId w:val="4"/>
  </w:num>
  <w:num w:numId="7" w16cid:durableId="1107851728">
    <w:abstractNumId w:val="10"/>
  </w:num>
  <w:num w:numId="8" w16cid:durableId="1184587343">
    <w:abstractNumId w:val="5"/>
  </w:num>
  <w:num w:numId="9" w16cid:durableId="628629195">
    <w:abstractNumId w:val="3"/>
  </w:num>
  <w:num w:numId="10" w16cid:durableId="3089977">
    <w:abstractNumId w:val="1"/>
  </w:num>
  <w:num w:numId="11" w16cid:durableId="17671914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1040A"/>
    <w:rsid w:val="000210D4"/>
    <w:rsid w:val="000274E9"/>
    <w:rsid w:val="00045597"/>
    <w:rsid w:val="00063016"/>
    <w:rsid w:val="00066795"/>
    <w:rsid w:val="00070333"/>
    <w:rsid w:val="00076AF6"/>
    <w:rsid w:val="00085CF2"/>
    <w:rsid w:val="0008FE42"/>
    <w:rsid w:val="000B1705"/>
    <w:rsid w:val="000C1F5A"/>
    <w:rsid w:val="000C4A55"/>
    <w:rsid w:val="000D194C"/>
    <w:rsid w:val="000D75B2"/>
    <w:rsid w:val="001121F5"/>
    <w:rsid w:val="00125FE2"/>
    <w:rsid w:val="00130599"/>
    <w:rsid w:val="001400DC"/>
    <w:rsid w:val="00140CE1"/>
    <w:rsid w:val="00145105"/>
    <w:rsid w:val="00155FF8"/>
    <w:rsid w:val="0016155B"/>
    <w:rsid w:val="0017539C"/>
    <w:rsid w:val="00175AC2"/>
    <w:rsid w:val="0017609F"/>
    <w:rsid w:val="001A72C5"/>
    <w:rsid w:val="001A7D1D"/>
    <w:rsid w:val="001B51DD"/>
    <w:rsid w:val="001B6D4B"/>
    <w:rsid w:val="001C628E"/>
    <w:rsid w:val="001E0F7B"/>
    <w:rsid w:val="001E0FBE"/>
    <w:rsid w:val="002119FD"/>
    <w:rsid w:val="002130E0"/>
    <w:rsid w:val="00232056"/>
    <w:rsid w:val="00244F7F"/>
    <w:rsid w:val="00264425"/>
    <w:rsid w:val="00265875"/>
    <w:rsid w:val="0027303B"/>
    <w:rsid w:val="0028109B"/>
    <w:rsid w:val="00293B38"/>
    <w:rsid w:val="002A2188"/>
    <w:rsid w:val="002B1F58"/>
    <w:rsid w:val="002B5FE3"/>
    <w:rsid w:val="002C1C7A"/>
    <w:rsid w:val="002C54E2"/>
    <w:rsid w:val="002D1B8A"/>
    <w:rsid w:val="002F1AD9"/>
    <w:rsid w:val="0030160F"/>
    <w:rsid w:val="00320223"/>
    <w:rsid w:val="00322D0D"/>
    <w:rsid w:val="00361465"/>
    <w:rsid w:val="003877F5"/>
    <w:rsid w:val="003942D4"/>
    <w:rsid w:val="003958A8"/>
    <w:rsid w:val="00396299"/>
    <w:rsid w:val="003C2533"/>
    <w:rsid w:val="003C7E1B"/>
    <w:rsid w:val="003D4E96"/>
    <w:rsid w:val="003D5A7F"/>
    <w:rsid w:val="003F3796"/>
    <w:rsid w:val="004016E2"/>
    <w:rsid w:val="0040435A"/>
    <w:rsid w:val="00416A24"/>
    <w:rsid w:val="00431D9E"/>
    <w:rsid w:val="00433CE8"/>
    <w:rsid w:val="00434A5C"/>
    <w:rsid w:val="004544D9"/>
    <w:rsid w:val="00472BAD"/>
    <w:rsid w:val="00484009"/>
    <w:rsid w:val="00490E72"/>
    <w:rsid w:val="00491157"/>
    <w:rsid w:val="004921C8"/>
    <w:rsid w:val="00494B09"/>
    <w:rsid w:val="00495B0B"/>
    <w:rsid w:val="004A1B8B"/>
    <w:rsid w:val="004A5A7A"/>
    <w:rsid w:val="004C73B0"/>
    <w:rsid w:val="004D1851"/>
    <w:rsid w:val="004D599D"/>
    <w:rsid w:val="004D648B"/>
    <w:rsid w:val="004E2EA5"/>
    <w:rsid w:val="004E3AEB"/>
    <w:rsid w:val="0050223C"/>
    <w:rsid w:val="005243FF"/>
    <w:rsid w:val="00564FBC"/>
    <w:rsid w:val="005800BC"/>
    <w:rsid w:val="00582442"/>
    <w:rsid w:val="005873BA"/>
    <w:rsid w:val="00590C4A"/>
    <w:rsid w:val="005A335D"/>
    <w:rsid w:val="005E2BD5"/>
    <w:rsid w:val="005F3269"/>
    <w:rsid w:val="005F645F"/>
    <w:rsid w:val="00623AE3"/>
    <w:rsid w:val="006273F5"/>
    <w:rsid w:val="00636853"/>
    <w:rsid w:val="0064737F"/>
    <w:rsid w:val="006535F1"/>
    <w:rsid w:val="0065557D"/>
    <w:rsid w:val="006561A2"/>
    <w:rsid w:val="00660D50"/>
    <w:rsid w:val="00662984"/>
    <w:rsid w:val="006716BB"/>
    <w:rsid w:val="00680BB7"/>
    <w:rsid w:val="006B1859"/>
    <w:rsid w:val="006B6680"/>
    <w:rsid w:val="006B6DCC"/>
    <w:rsid w:val="00702DEF"/>
    <w:rsid w:val="00706861"/>
    <w:rsid w:val="0075051B"/>
    <w:rsid w:val="00754777"/>
    <w:rsid w:val="00754DFC"/>
    <w:rsid w:val="00775655"/>
    <w:rsid w:val="00781F72"/>
    <w:rsid w:val="00783C5A"/>
    <w:rsid w:val="00792B3D"/>
    <w:rsid w:val="00793188"/>
    <w:rsid w:val="00794D34"/>
    <w:rsid w:val="00794DFC"/>
    <w:rsid w:val="007A24D8"/>
    <w:rsid w:val="007C7E08"/>
    <w:rsid w:val="00813E5E"/>
    <w:rsid w:val="00822290"/>
    <w:rsid w:val="00823A74"/>
    <w:rsid w:val="00830EA2"/>
    <w:rsid w:val="00833777"/>
    <w:rsid w:val="0083581B"/>
    <w:rsid w:val="00836BD9"/>
    <w:rsid w:val="00863874"/>
    <w:rsid w:val="00864AFF"/>
    <w:rsid w:val="00865925"/>
    <w:rsid w:val="008964B4"/>
    <w:rsid w:val="008B1610"/>
    <w:rsid w:val="008B4A6A"/>
    <w:rsid w:val="008C7C00"/>
    <w:rsid w:val="008C7E27"/>
    <w:rsid w:val="008E287E"/>
    <w:rsid w:val="008F7448"/>
    <w:rsid w:val="0090147A"/>
    <w:rsid w:val="009173EF"/>
    <w:rsid w:val="00932906"/>
    <w:rsid w:val="00961B0B"/>
    <w:rsid w:val="00962D33"/>
    <w:rsid w:val="00965A78"/>
    <w:rsid w:val="009A52FF"/>
    <w:rsid w:val="009B38C3"/>
    <w:rsid w:val="009E17BD"/>
    <w:rsid w:val="009E485A"/>
    <w:rsid w:val="00A04CEC"/>
    <w:rsid w:val="00A15D44"/>
    <w:rsid w:val="00A27F92"/>
    <w:rsid w:val="00A32257"/>
    <w:rsid w:val="00A34E6B"/>
    <w:rsid w:val="00A36D20"/>
    <w:rsid w:val="00A467DF"/>
    <w:rsid w:val="00A514A4"/>
    <w:rsid w:val="00A52C84"/>
    <w:rsid w:val="00A55622"/>
    <w:rsid w:val="00A83502"/>
    <w:rsid w:val="00AD15B3"/>
    <w:rsid w:val="00AD3606"/>
    <w:rsid w:val="00AD4A3D"/>
    <w:rsid w:val="00AF2830"/>
    <w:rsid w:val="00AF6CA4"/>
    <w:rsid w:val="00AF6E49"/>
    <w:rsid w:val="00B04A67"/>
    <w:rsid w:val="00B0583C"/>
    <w:rsid w:val="00B40A81"/>
    <w:rsid w:val="00B4436B"/>
    <w:rsid w:val="00B44910"/>
    <w:rsid w:val="00B72267"/>
    <w:rsid w:val="00B76EB6"/>
    <w:rsid w:val="00B7737B"/>
    <w:rsid w:val="00B824C8"/>
    <w:rsid w:val="00B84B9D"/>
    <w:rsid w:val="00BC251A"/>
    <w:rsid w:val="00BD032B"/>
    <w:rsid w:val="00BE2640"/>
    <w:rsid w:val="00BE464A"/>
    <w:rsid w:val="00C01189"/>
    <w:rsid w:val="00C118D3"/>
    <w:rsid w:val="00C374DE"/>
    <w:rsid w:val="00C47AD4"/>
    <w:rsid w:val="00C52D81"/>
    <w:rsid w:val="00C55198"/>
    <w:rsid w:val="00C655D9"/>
    <w:rsid w:val="00CA20C6"/>
    <w:rsid w:val="00CA6322"/>
    <w:rsid w:val="00CA6393"/>
    <w:rsid w:val="00CB18FF"/>
    <w:rsid w:val="00CD0C08"/>
    <w:rsid w:val="00CE03FB"/>
    <w:rsid w:val="00CE433C"/>
    <w:rsid w:val="00CF0161"/>
    <w:rsid w:val="00CF33F3"/>
    <w:rsid w:val="00D01CF1"/>
    <w:rsid w:val="00D06183"/>
    <w:rsid w:val="00D22C42"/>
    <w:rsid w:val="00D27063"/>
    <w:rsid w:val="00D464CC"/>
    <w:rsid w:val="00D60896"/>
    <w:rsid w:val="00D62445"/>
    <w:rsid w:val="00D65041"/>
    <w:rsid w:val="00DA2F53"/>
    <w:rsid w:val="00DA4BEE"/>
    <w:rsid w:val="00DB00D5"/>
    <w:rsid w:val="00DB1936"/>
    <w:rsid w:val="00DB384B"/>
    <w:rsid w:val="00DD0F2B"/>
    <w:rsid w:val="00DF0189"/>
    <w:rsid w:val="00E063A3"/>
    <w:rsid w:val="00E06FD5"/>
    <w:rsid w:val="00E10E80"/>
    <w:rsid w:val="00E124F0"/>
    <w:rsid w:val="00E227F3"/>
    <w:rsid w:val="00E33861"/>
    <w:rsid w:val="00E545C6"/>
    <w:rsid w:val="00E60F04"/>
    <w:rsid w:val="00E616A1"/>
    <w:rsid w:val="00E65B24"/>
    <w:rsid w:val="00E854E4"/>
    <w:rsid w:val="00E86DBF"/>
    <w:rsid w:val="00EA3171"/>
    <w:rsid w:val="00EB0D6F"/>
    <w:rsid w:val="00EB2232"/>
    <w:rsid w:val="00EC5337"/>
    <w:rsid w:val="00ED69D8"/>
    <w:rsid w:val="00EE10A0"/>
    <w:rsid w:val="00EE49E8"/>
    <w:rsid w:val="00F16BAB"/>
    <w:rsid w:val="00F2150A"/>
    <w:rsid w:val="00F231D8"/>
    <w:rsid w:val="00F44C00"/>
    <w:rsid w:val="00F45D2C"/>
    <w:rsid w:val="00F46C5F"/>
    <w:rsid w:val="00F632C0"/>
    <w:rsid w:val="00F74694"/>
    <w:rsid w:val="00F94A63"/>
    <w:rsid w:val="00FA1C28"/>
    <w:rsid w:val="00FB1279"/>
    <w:rsid w:val="00FB6B76"/>
    <w:rsid w:val="00FB7596"/>
    <w:rsid w:val="00FD38F6"/>
    <w:rsid w:val="00FD7F6E"/>
    <w:rsid w:val="00FE4077"/>
    <w:rsid w:val="00FE4215"/>
    <w:rsid w:val="00FE500D"/>
    <w:rsid w:val="00FE77D2"/>
    <w:rsid w:val="0378D922"/>
    <w:rsid w:val="03AE6DB0"/>
    <w:rsid w:val="0544BB32"/>
    <w:rsid w:val="0622F102"/>
    <w:rsid w:val="063706F5"/>
    <w:rsid w:val="0680F17F"/>
    <w:rsid w:val="068BBBF1"/>
    <w:rsid w:val="0693337D"/>
    <w:rsid w:val="06CBA5DE"/>
    <w:rsid w:val="06D0495C"/>
    <w:rsid w:val="0722CB08"/>
    <w:rsid w:val="079567DA"/>
    <w:rsid w:val="07AE92FD"/>
    <w:rsid w:val="0882D4F8"/>
    <w:rsid w:val="09074008"/>
    <w:rsid w:val="09A446F2"/>
    <w:rsid w:val="0C2A3844"/>
    <w:rsid w:val="0CE30AC2"/>
    <w:rsid w:val="0CFDAD37"/>
    <w:rsid w:val="0EB0457B"/>
    <w:rsid w:val="0FBAC5C9"/>
    <w:rsid w:val="106E0C53"/>
    <w:rsid w:val="11E1B74D"/>
    <w:rsid w:val="120A9CF9"/>
    <w:rsid w:val="1232F48A"/>
    <w:rsid w:val="12438A56"/>
    <w:rsid w:val="13CDDDE5"/>
    <w:rsid w:val="15732EF0"/>
    <w:rsid w:val="1574FA85"/>
    <w:rsid w:val="15ABAEAD"/>
    <w:rsid w:val="17F4B500"/>
    <w:rsid w:val="18CAA35A"/>
    <w:rsid w:val="19BD6EBD"/>
    <w:rsid w:val="1A20BD22"/>
    <w:rsid w:val="1A3CF321"/>
    <w:rsid w:val="1B097A90"/>
    <w:rsid w:val="1C90A9B3"/>
    <w:rsid w:val="1D12B69C"/>
    <w:rsid w:val="1DCABC38"/>
    <w:rsid w:val="1E4F31CE"/>
    <w:rsid w:val="20D6DB6B"/>
    <w:rsid w:val="22203084"/>
    <w:rsid w:val="22F5E80F"/>
    <w:rsid w:val="23BBF5FF"/>
    <w:rsid w:val="23C47267"/>
    <w:rsid w:val="255363E3"/>
    <w:rsid w:val="25EFE447"/>
    <w:rsid w:val="2682B891"/>
    <w:rsid w:val="280C0062"/>
    <w:rsid w:val="292FC2D3"/>
    <w:rsid w:val="2A8B44B5"/>
    <w:rsid w:val="2AEF1538"/>
    <w:rsid w:val="2B26B138"/>
    <w:rsid w:val="2BDC0D30"/>
    <w:rsid w:val="2C0EF3DF"/>
    <w:rsid w:val="2D6DA7A1"/>
    <w:rsid w:val="2DAC63B5"/>
    <w:rsid w:val="2DB40176"/>
    <w:rsid w:val="2E1B46EA"/>
    <w:rsid w:val="2F035F68"/>
    <w:rsid w:val="2F804BEA"/>
    <w:rsid w:val="2FE70E07"/>
    <w:rsid w:val="30418BC1"/>
    <w:rsid w:val="3076620E"/>
    <w:rsid w:val="30BBA6F9"/>
    <w:rsid w:val="30DCE044"/>
    <w:rsid w:val="31967951"/>
    <w:rsid w:val="32226026"/>
    <w:rsid w:val="32302893"/>
    <w:rsid w:val="32BC1103"/>
    <w:rsid w:val="3386205E"/>
    <w:rsid w:val="33E0D132"/>
    <w:rsid w:val="340844B7"/>
    <w:rsid w:val="345922AF"/>
    <w:rsid w:val="35C8A4FB"/>
    <w:rsid w:val="360F8580"/>
    <w:rsid w:val="36E09AC4"/>
    <w:rsid w:val="387757F4"/>
    <w:rsid w:val="394E55F8"/>
    <w:rsid w:val="3987BFCC"/>
    <w:rsid w:val="3A02E7EB"/>
    <w:rsid w:val="3A4DD31A"/>
    <w:rsid w:val="3A55CBD9"/>
    <w:rsid w:val="3A66233C"/>
    <w:rsid w:val="3A848024"/>
    <w:rsid w:val="3B6035F1"/>
    <w:rsid w:val="3B7FC41C"/>
    <w:rsid w:val="3BC6B6BB"/>
    <w:rsid w:val="3CECF654"/>
    <w:rsid w:val="3D5C1F69"/>
    <w:rsid w:val="3E9627FC"/>
    <w:rsid w:val="3EC239D6"/>
    <w:rsid w:val="3F6828F2"/>
    <w:rsid w:val="3FBE6F89"/>
    <w:rsid w:val="413BED80"/>
    <w:rsid w:val="418A3381"/>
    <w:rsid w:val="41C1D2A3"/>
    <w:rsid w:val="41FC259D"/>
    <w:rsid w:val="420F606A"/>
    <w:rsid w:val="422D0CAD"/>
    <w:rsid w:val="4282E84C"/>
    <w:rsid w:val="44CFA257"/>
    <w:rsid w:val="45D36438"/>
    <w:rsid w:val="4614C694"/>
    <w:rsid w:val="472063BB"/>
    <w:rsid w:val="4726CFD7"/>
    <w:rsid w:val="4799FECB"/>
    <w:rsid w:val="48765123"/>
    <w:rsid w:val="4959D96A"/>
    <w:rsid w:val="49DC7707"/>
    <w:rsid w:val="4A31E3C5"/>
    <w:rsid w:val="4AAEADA0"/>
    <w:rsid w:val="4B3B26BA"/>
    <w:rsid w:val="4D3B198F"/>
    <w:rsid w:val="4DEF62BA"/>
    <w:rsid w:val="527A89C4"/>
    <w:rsid w:val="53BDE054"/>
    <w:rsid w:val="53CB1C72"/>
    <w:rsid w:val="546FDC6F"/>
    <w:rsid w:val="55009AD6"/>
    <w:rsid w:val="55FD76BE"/>
    <w:rsid w:val="5623D0C6"/>
    <w:rsid w:val="565036A7"/>
    <w:rsid w:val="574D6C7D"/>
    <w:rsid w:val="58BAADD2"/>
    <w:rsid w:val="58BAD884"/>
    <w:rsid w:val="5A378FF7"/>
    <w:rsid w:val="5A910A5E"/>
    <w:rsid w:val="5AE74A8B"/>
    <w:rsid w:val="5B59EE34"/>
    <w:rsid w:val="5C4B5929"/>
    <w:rsid w:val="5C7C3858"/>
    <w:rsid w:val="5C9F355F"/>
    <w:rsid w:val="5CDB4A17"/>
    <w:rsid w:val="5D8E310E"/>
    <w:rsid w:val="5DC72569"/>
    <w:rsid w:val="5F26F011"/>
    <w:rsid w:val="5F45FBC3"/>
    <w:rsid w:val="5F9A0A5D"/>
    <w:rsid w:val="605229C0"/>
    <w:rsid w:val="609FCFE8"/>
    <w:rsid w:val="62CDE273"/>
    <w:rsid w:val="633FF38B"/>
    <w:rsid w:val="64231823"/>
    <w:rsid w:val="64A83779"/>
    <w:rsid w:val="64C34957"/>
    <w:rsid w:val="65AC0C35"/>
    <w:rsid w:val="65D811AD"/>
    <w:rsid w:val="6619B6F7"/>
    <w:rsid w:val="66DF748C"/>
    <w:rsid w:val="670FB904"/>
    <w:rsid w:val="67A825A4"/>
    <w:rsid w:val="67D55A7A"/>
    <w:rsid w:val="680E50B8"/>
    <w:rsid w:val="69F57B6F"/>
    <w:rsid w:val="6A0BBFA0"/>
    <w:rsid w:val="6ACCA07A"/>
    <w:rsid w:val="6BA3B948"/>
    <w:rsid w:val="6BACD7EC"/>
    <w:rsid w:val="6BCDB1B5"/>
    <w:rsid w:val="6C0A636A"/>
    <w:rsid w:val="6C1453FC"/>
    <w:rsid w:val="6E2AAEA0"/>
    <w:rsid w:val="70EF15BE"/>
    <w:rsid w:val="720B9FF9"/>
    <w:rsid w:val="723C2F68"/>
    <w:rsid w:val="72C307CE"/>
    <w:rsid w:val="73B3F79B"/>
    <w:rsid w:val="757F9BA4"/>
    <w:rsid w:val="767341B6"/>
    <w:rsid w:val="7688E6DC"/>
    <w:rsid w:val="780A8279"/>
    <w:rsid w:val="783484D9"/>
    <w:rsid w:val="79131D3B"/>
    <w:rsid w:val="7920EB1D"/>
    <w:rsid w:val="7A415B30"/>
    <w:rsid w:val="7B10B7CD"/>
    <w:rsid w:val="7B115777"/>
    <w:rsid w:val="7B70FA1F"/>
    <w:rsid w:val="7B85A15A"/>
    <w:rsid w:val="7D69BF6B"/>
    <w:rsid w:val="7D8CD98B"/>
    <w:rsid w:val="7EC21EDD"/>
    <w:rsid w:val="7F4203F3"/>
    <w:rsid w:val="7F94BB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9895ED51-CBAD-4B84-A425-42608EE0F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aliases w:val="Appel note de bas de p,Footnote symbol,Footnote,fr,o,Appel note de bas de p + 11 pt,Italic,Nota,Voetnootverwijzing,(NECG) Footnote Reference,Style 12,Style 124,FR,Ref,de nota al pie,Footnote number,~FootnoteRef"/>
    <w:basedOn w:val="DefaultParagraphFont"/>
    <w:uiPriority w:val="99"/>
    <w:rsid w:val="00813E5E"/>
    <w:rPr>
      <w:rFonts w:ascii="Calibri" w:hAnsi="Calibri"/>
      <w:position w:val="6"/>
      <w:sz w:val="16"/>
    </w:rPr>
  </w:style>
  <w:style w:type="paragraph" w:styleId="FootnoteText">
    <w:name w:val="footnote text"/>
    <w:basedOn w:val="Normal"/>
    <w:link w:val="FootnoteTextChar"/>
    <w:uiPriority w:val="99"/>
    <w:rsid w:val="00D27063"/>
    <w:pPr>
      <w:keepLines/>
      <w:tabs>
        <w:tab w:val="left" w:pos="256"/>
      </w:tabs>
      <w:ind w:left="256" w:hanging="256"/>
    </w:pPr>
    <w:rPr>
      <w:sz w:val="20"/>
    </w:r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3F3796"/>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超级链接,Style 58,超?级链,超????,하이퍼링크2,하이퍼링크21,超链接1,CEO_Hyperlink,超??级链Ú,fL????,fL?级,超??级链"/>
    <w:basedOn w:val="DefaultParagraphFont"/>
    <w:qForma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16155B"/>
    <w:pPr>
      <w:spacing w:before="160"/>
      <w:ind w:left="0" w:firstLine="0"/>
      <w:outlineLvl w:val="0"/>
    </w:pPr>
    <w:rPr>
      <w:rFonts w:eastAsia="DengXian"/>
      <w:lang w:eastAsia="zh-CN"/>
    </w:r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Normal"/>
    <w:rsid w:val="007A24D8"/>
    <w:pPr>
      <w:spacing w:after="240"/>
      <w:jc w:val="center"/>
    </w:pPr>
    <w:rPr>
      <w:noProof/>
    </w:r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3F3796"/>
    <w:rPr>
      <w:color w:val="605E5C"/>
      <w:shd w:val="clear" w:color="auto" w:fill="E1DFDD"/>
    </w:rPr>
  </w:style>
  <w:style w:type="character" w:styleId="PlaceholderText">
    <w:name w:val="Placeholder Text"/>
    <w:basedOn w:val="DefaultParagraphFont"/>
    <w:uiPriority w:val="99"/>
    <w:semiHidden/>
    <w:rsid w:val="000C4A55"/>
    <w:rPr>
      <w:color w:val="666666"/>
    </w:rPr>
  </w:style>
  <w:style w:type="paragraph" w:styleId="ListParagraph">
    <w:name w:val="List Paragraph"/>
    <w:aliases w:val="Bullet List,FooterText,numbered,List Paragraph1,Paragraphe de liste1,Bulletr List Paragraph,列出段落,列出段落1,List Paragraph2,List Paragraph21,Párrafo de lista1,Parágrafo da Lista1,リスト段落1,Listeafsnit1,List Paragraph11,Foot,列?出?段?落,?,Bullet 1,lp1"/>
    <w:basedOn w:val="Normal"/>
    <w:link w:val="ListParagraphChar"/>
    <w:uiPriority w:val="1"/>
    <w:qFormat/>
    <w:rsid w:val="00125FE2"/>
    <w:pPr>
      <w:tabs>
        <w:tab w:val="clear" w:pos="567"/>
        <w:tab w:val="clear" w:pos="1134"/>
        <w:tab w:val="clear" w:pos="1701"/>
        <w:tab w:val="clear" w:pos="2268"/>
        <w:tab w:val="clear" w:pos="2835"/>
      </w:tabs>
      <w:overflowPunct/>
      <w:autoSpaceDE/>
      <w:autoSpaceDN/>
      <w:adjustRightInd/>
      <w:spacing w:before="0" w:after="160" w:line="259" w:lineRule="auto"/>
      <w:ind w:left="720"/>
      <w:textAlignment w:val="auto"/>
    </w:pPr>
    <w:rPr>
      <w:rFonts w:eastAsia="Calibri" w:cs="Arial"/>
      <w:sz w:val="22"/>
      <w:szCs w:val="22"/>
    </w:rPr>
  </w:style>
  <w:style w:type="character" w:customStyle="1" w:styleId="FootnoteTextChar">
    <w:name w:val="Footnote Text Char"/>
    <w:link w:val="FootnoteText"/>
    <w:uiPriority w:val="99"/>
    <w:rsid w:val="00D27063"/>
    <w:rPr>
      <w:rFonts w:ascii="Calibri" w:hAnsi="Calibri"/>
      <w:lang w:val="en-GB" w:eastAsia="en-US"/>
    </w:rPr>
  </w:style>
  <w:style w:type="character" w:customStyle="1" w:styleId="ListParagraphChar">
    <w:name w:val="List Paragraph Char"/>
    <w:aliases w:val="Bullet List Char,FooterText Char,numbered Char,List Paragraph1 Char,Paragraphe de liste1 Char,Bulletr List Paragraph Char,列出段落 Char,列出段落1 Char,List Paragraph2 Char,List Paragraph21 Char,Párrafo de lista1 Char,Parágrafo da Lista1 Char"/>
    <w:link w:val="ListParagraph"/>
    <w:uiPriority w:val="1"/>
    <w:qFormat/>
    <w:rsid w:val="00125FE2"/>
    <w:rPr>
      <w:rFonts w:ascii="Calibri" w:eastAsia="Calibri" w:hAnsi="Calibri" w:cs="Arial"/>
      <w:sz w:val="22"/>
      <w:szCs w:val="22"/>
      <w:lang w:val="en-GB" w:eastAsia="en-US"/>
    </w:rPr>
  </w:style>
  <w:style w:type="paragraph" w:customStyle="1" w:styleId="Default">
    <w:name w:val="Default"/>
    <w:rsid w:val="00125FE2"/>
    <w:pPr>
      <w:autoSpaceDE w:val="0"/>
      <w:autoSpaceDN w:val="0"/>
      <w:adjustRightInd w:val="0"/>
    </w:pPr>
    <w:rPr>
      <w:rFonts w:ascii="Times New Roman" w:eastAsia="Calibri" w:hAnsi="Times New Roman"/>
      <w:color w:val="000000"/>
      <w:sz w:val="24"/>
      <w:szCs w:val="24"/>
      <w:lang w:val="en-GB" w:eastAsia="en-US"/>
    </w:rPr>
  </w:style>
  <w:style w:type="paragraph" w:styleId="NoSpacing">
    <w:name w:val="No Spacing"/>
    <w:uiPriority w:val="1"/>
    <w:qFormat/>
    <w:rsid w:val="00125FE2"/>
    <w:pPr>
      <w:tabs>
        <w:tab w:val="left" w:pos="567"/>
        <w:tab w:val="left" w:pos="1134"/>
        <w:tab w:val="left" w:pos="1701"/>
        <w:tab w:val="left" w:pos="2268"/>
        <w:tab w:val="left" w:pos="2835"/>
      </w:tabs>
      <w:overflowPunct w:val="0"/>
      <w:autoSpaceDE w:val="0"/>
      <w:autoSpaceDN w:val="0"/>
      <w:adjustRightInd w:val="0"/>
      <w:textAlignment w:val="baseline"/>
    </w:pPr>
    <w:rPr>
      <w:rFonts w:ascii="Calibri" w:hAnsi="Calibri"/>
      <w:sz w:val="24"/>
      <w:lang w:val="en-GB" w:eastAsia="en-US"/>
    </w:rPr>
  </w:style>
  <w:style w:type="paragraph" w:customStyle="1" w:styleId="Reasons">
    <w:name w:val="Reasons"/>
    <w:basedOn w:val="Normal"/>
    <w:qFormat/>
    <w:rsid w:val="007A24D8"/>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sustainabledevelopment.un.org/content/documents/14295ITUCouncil.pdf" TargetMode="External"/><Relationship Id="rId18" Type="http://schemas.openxmlformats.org/officeDocument/2006/relationships/hyperlink" Target="https://www.itu.int/md/S22-CL-INF-0003/en" TargetMode="External"/><Relationship Id="rId26" Type="http://schemas.openxmlformats.org/officeDocument/2006/relationships/hyperlink" Target="http://www.wsis.org" TargetMode="External"/><Relationship Id="rId39" Type="http://schemas.openxmlformats.org/officeDocument/2006/relationships/hyperlink" Target="http://www.wsis.org/prizes" TargetMode="External"/><Relationship Id="rId21" Type="http://schemas.openxmlformats.org/officeDocument/2006/relationships/hyperlink" Target="https://www.itu.int/md/S25-CL-INF-0005/en" TargetMode="External"/><Relationship Id="rId34" Type="http://schemas.openxmlformats.org/officeDocument/2006/relationships/hyperlink" Target="https://www.itu.int/net4/wsis/forum/2025/Files/outcomes/draft/WSISStocktaking2025GlobalReport__DRAFT.pdf" TargetMode="External"/><Relationship Id="rId42" Type="http://schemas.openxmlformats.org/officeDocument/2006/relationships/hyperlink" Target="https://www.itu.int/pub/S-DII-DIII.WHITEPAPER-2025" TargetMode="External"/><Relationship Id="rId47" Type="http://schemas.microsoft.com/office/2007/relationships/hdphoto" Target="media/hdphoto2.wdp"/><Relationship Id="rId50"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dms_ties/itu-s/md/20/cwgwsis35/c/S20-CWGWSIS35-C-0020!!PDF-E.pdf" TargetMode="External"/><Relationship Id="rId29" Type="http://schemas.openxmlformats.org/officeDocument/2006/relationships/hyperlink" Target="https://www.itu.int/partner2connect/" TargetMode="External"/><Relationship Id="rId11" Type="http://schemas.openxmlformats.org/officeDocument/2006/relationships/hyperlink" Target="https://www.itu.int/en/council/cwg-wsis/Pages/default.aspx" TargetMode="External"/><Relationship Id="rId24" Type="http://schemas.openxmlformats.org/officeDocument/2006/relationships/hyperlink" Target="https://undocs.org/Home/Mobile?FinalSymbol=A%2Fres%2F70%2F1&amp;Language=E&amp;DeviceType=Desktop&amp;LangRequested=False" TargetMode="External"/><Relationship Id="rId32" Type="http://schemas.openxmlformats.org/officeDocument/2006/relationships/hyperlink" Target="https://www.itu.int/net4/wsis/stocktaking/Prizes/2025/Winners?jts=C2LDVX" TargetMode="External"/><Relationship Id="rId37" Type="http://schemas.openxmlformats.org/officeDocument/2006/relationships/hyperlink" Target="http://www.wsis.org/forum" TargetMode="External"/><Relationship Id="rId40" Type="http://schemas.openxmlformats.org/officeDocument/2006/relationships/hyperlink" Target="https://www.itu.int/digital-resilience/submarine-cables/advisory-body/" TargetMode="External"/><Relationship Id="rId45" Type="http://schemas.microsoft.com/office/2007/relationships/hdphoto" Target="media/hdphoto1.wdp"/><Relationship Id="rId5" Type="http://schemas.openxmlformats.org/officeDocument/2006/relationships/numbering" Target="numbering.xml"/><Relationship Id="rId15" Type="http://schemas.openxmlformats.org/officeDocument/2006/relationships/hyperlink" Target="https://www.itu.int/md/S19-CL-INF-0003/en" TargetMode="External"/><Relationship Id="rId23" Type="http://schemas.openxmlformats.org/officeDocument/2006/relationships/hyperlink" Target="https://www.itu.int/en/mediacentre/backgrounders/Pages/connect-2030-agenda.aspx" TargetMode="External"/><Relationship Id="rId28" Type="http://schemas.openxmlformats.org/officeDocument/2006/relationships/hyperlink" Target="http://www.ungis.org" TargetMode="External"/><Relationship Id="rId36" Type="http://schemas.openxmlformats.org/officeDocument/2006/relationships/hyperlink" Target="https://www.itu.int/net4/wsis/forum/2025/Home/Youth" TargetMode="External"/><Relationship Id="rId49"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itu.int/md/S23-CL-INF-0010/en" TargetMode="External"/><Relationship Id="rId31" Type="http://schemas.openxmlformats.org/officeDocument/2006/relationships/hyperlink" Target="https://www.itu.int/net4/wsis/stocktaking/Prizes/2025/Winners?jts=C2LDVX" TargetMode="External"/><Relationship Id="rId44" Type="http://schemas.openxmlformats.org/officeDocument/2006/relationships/image" Target="media/image1.png"/><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stainabledevelopment.un.org/content/documents/18069ITU_Council_Input_to_HLPF_2018.pdf" TargetMode="External"/><Relationship Id="rId22" Type="http://schemas.openxmlformats.org/officeDocument/2006/relationships/hyperlink" Target="https://www.itu.int/en/council/planning/Pages/default.aspx" TargetMode="External"/><Relationship Id="rId27" Type="http://schemas.openxmlformats.org/officeDocument/2006/relationships/hyperlink" Target="http://www.wsis.org/sdg" TargetMode="External"/><Relationship Id="rId30" Type="http://schemas.openxmlformats.org/officeDocument/2006/relationships/hyperlink" Target="https://www.itu.int/partner2connect/resources/p2c-flash/" TargetMode="External"/><Relationship Id="rId35" Type="http://schemas.openxmlformats.org/officeDocument/2006/relationships/hyperlink" Target="http://www.wsis.org/forum" TargetMode="External"/><Relationship Id="rId43" Type="http://schemas.openxmlformats.org/officeDocument/2006/relationships/hyperlink" Target="http://www.itu.int/go/maps" TargetMode="External"/><Relationship Id="rId48"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sustainabledevelopment.un.org/content/documents/10422International%20Telecommunication%20Union%20Council%20.pdf" TargetMode="External"/><Relationship Id="rId17" Type="http://schemas.openxmlformats.org/officeDocument/2006/relationships/hyperlink" Target="https://www.itu.int/md/S21-CL-INF-0003/en" TargetMode="External"/><Relationship Id="rId25" Type="http://schemas.openxmlformats.org/officeDocument/2006/relationships/hyperlink" Target="https://undocs.org/Home/Mobile?FinalSymbol=A%2FRES%2F70%2F125&amp;Language=E&amp;DeviceType=Desktop&amp;LangRequested=False" TargetMode="External"/><Relationship Id="rId33" Type="http://schemas.openxmlformats.org/officeDocument/2006/relationships/hyperlink" Target="https://www.itu.int/net4/wsis/forum/2025/Files/outcomes/draft/WSISStocktakingSuccessStories2025Report.pdf" TargetMode="External"/><Relationship Id="rId38" Type="http://schemas.openxmlformats.org/officeDocument/2006/relationships/hyperlink" Target="http://www.wsis.org/stocktaking" TargetMode="External"/><Relationship Id="rId46" Type="http://schemas.openxmlformats.org/officeDocument/2006/relationships/image" Target="media/image2.png"/><Relationship Id="rId20" Type="http://schemas.openxmlformats.org/officeDocument/2006/relationships/hyperlink" Target="https://www.itu.int/md/S24-CL-INF-0003/en" TargetMode="External"/><Relationship Id="rId41" Type="http://schemas.openxmlformats.org/officeDocument/2006/relationships/hyperlink" Target="https://www.itu.int/net4/wsis/stocktaking/fr/Home/WSISGDC"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itu.int/itu-d/reports/statistics/facts-figures-202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3" ma:contentTypeDescription="Create a new document." ma:contentTypeScope="" ma:versionID="7c7b6365ae85304ed038584fec3de209">
  <xsd:schema xmlns:xsd="http://www.w3.org/2001/XMLSchema" xmlns:xs="http://www.w3.org/2001/XMLSchema" xmlns:p="http://schemas.microsoft.com/office/2006/metadata/properties" xmlns:ns2="a4c22657-7647-457b-a399-8471255bb166" targetNamespace="http://schemas.microsoft.com/office/2006/metadata/properties" ma:root="true" ma:fieldsID="716c1f24c9963eeb1e0ffe3860f8f798"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850773-A25C-400A-89D8-4E4DEE372C46}">
  <ds:schemaRefs>
    <ds:schemaRef ds:uri="http://purl.org/dc/elements/1.1/"/>
    <ds:schemaRef ds:uri="http://schemas.microsoft.com/office/2006/documentManagement/types"/>
    <ds:schemaRef ds:uri="http://www.w3.org/XML/1998/namespace"/>
    <ds:schemaRef ds:uri="http://schemas.openxmlformats.org/package/2006/metadata/core-properties"/>
    <ds:schemaRef ds:uri="http://purl.org/dc/terms/"/>
    <ds:schemaRef ds:uri="http://schemas.microsoft.com/office/infopath/2007/PartnerControls"/>
    <ds:schemaRef ds:uri="a4c22657-7647-457b-a399-8471255bb166"/>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97A8980-35C6-4842-9A5E-6171949AADC9}">
  <ds:schemaRefs>
    <ds:schemaRef ds:uri="http://schemas.microsoft.com/sharepoint/v3/contenttype/forms"/>
  </ds:schemaRefs>
</ds:datastoreItem>
</file>

<file path=customXml/itemProps3.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4.xml><?xml version="1.0" encoding="utf-8"?>
<ds:datastoreItem xmlns:ds="http://schemas.openxmlformats.org/officeDocument/2006/customXml" ds:itemID="{F8232DFF-167E-46C6-A1C8-E832CC3B7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38</Pages>
  <Words>14679</Words>
  <Characters>93229</Characters>
  <Application>Microsoft Office Word</Application>
  <DocSecurity>0</DocSecurity>
  <Lines>5484</Lines>
  <Paragraphs>3596</Paragraphs>
  <ScaleCrop>false</ScaleCrop>
  <HeadingPairs>
    <vt:vector size="2" baseType="variant">
      <vt:variant>
        <vt:lpstr>Title</vt:lpstr>
      </vt:variant>
      <vt:variant>
        <vt:i4>1</vt:i4>
      </vt:variant>
    </vt:vector>
  </HeadingPairs>
  <TitlesOfParts>
    <vt:vector size="1" baseType="lpstr">
      <vt:lpstr>Draft ITU Council contribution to the High-Level Political Forum on sustainable development (HLPF)</vt:lpstr>
    </vt:vector>
  </TitlesOfParts>
  <Manager/>
  <Company/>
  <LinksUpToDate>false</LinksUpToDate>
  <CharactersWithSpaces>104312</CharactersWithSpaces>
  <SharedDoc>false</SharedDoc>
  <HLinks>
    <vt:vector size="210" baseType="variant">
      <vt:variant>
        <vt:i4>7340089</vt:i4>
      </vt:variant>
      <vt:variant>
        <vt:i4>96</vt:i4>
      </vt:variant>
      <vt:variant>
        <vt:i4>0</vt:i4>
      </vt:variant>
      <vt:variant>
        <vt:i4>5</vt:i4>
      </vt:variant>
      <vt:variant>
        <vt:lpwstr>http://www.itu.int/go/maps</vt:lpwstr>
      </vt:variant>
      <vt:variant>
        <vt:lpwstr/>
      </vt:variant>
      <vt:variant>
        <vt:i4>3604576</vt:i4>
      </vt:variant>
      <vt:variant>
        <vt:i4>93</vt:i4>
      </vt:variant>
      <vt:variant>
        <vt:i4>0</vt:i4>
      </vt:variant>
      <vt:variant>
        <vt:i4>5</vt:i4>
      </vt:variant>
      <vt:variant>
        <vt:lpwstr>https://www.itu.int/pub/S-DII-DIII.WHITEPAPER-2025</vt:lpwstr>
      </vt:variant>
      <vt:variant>
        <vt:lpwstr/>
      </vt:variant>
      <vt:variant>
        <vt:i4>4587606</vt:i4>
      </vt:variant>
      <vt:variant>
        <vt:i4>90</vt:i4>
      </vt:variant>
      <vt:variant>
        <vt:i4>0</vt:i4>
      </vt:variant>
      <vt:variant>
        <vt:i4>5</vt:i4>
      </vt:variant>
      <vt:variant>
        <vt:lpwstr>https://www.itu.int/net4/wsis/stocktaking/fr/Home/WSISGDC</vt:lpwstr>
      </vt:variant>
      <vt:variant>
        <vt:lpwstr/>
      </vt:variant>
      <vt:variant>
        <vt:i4>7602276</vt:i4>
      </vt:variant>
      <vt:variant>
        <vt:i4>87</vt:i4>
      </vt:variant>
      <vt:variant>
        <vt:i4>0</vt:i4>
      </vt:variant>
      <vt:variant>
        <vt:i4>5</vt:i4>
      </vt:variant>
      <vt:variant>
        <vt:lpwstr>https://www.itu.int/digital-resilience/submarine-cables/advisory-body/</vt:lpwstr>
      </vt:variant>
      <vt:variant>
        <vt:lpwstr/>
      </vt:variant>
      <vt:variant>
        <vt:i4>3997732</vt:i4>
      </vt:variant>
      <vt:variant>
        <vt:i4>84</vt:i4>
      </vt:variant>
      <vt:variant>
        <vt:i4>0</vt:i4>
      </vt:variant>
      <vt:variant>
        <vt:i4>5</vt:i4>
      </vt:variant>
      <vt:variant>
        <vt:lpwstr>http://www.wsis.org/prizes</vt:lpwstr>
      </vt:variant>
      <vt:variant>
        <vt:lpwstr/>
      </vt:variant>
      <vt:variant>
        <vt:i4>2097191</vt:i4>
      </vt:variant>
      <vt:variant>
        <vt:i4>81</vt:i4>
      </vt:variant>
      <vt:variant>
        <vt:i4>0</vt:i4>
      </vt:variant>
      <vt:variant>
        <vt:i4>5</vt:i4>
      </vt:variant>
      <vt:variant>
        <vt:lpwstr>http://www.wsis.org/stocktaking</vt:lpwstr>
      </vt:variant>
      <vt:variant>
        <vt:lpwstr/>
      </vt:variant>
      <vt:variant>
        <vt:i4>6029388</vt:i4>
      </vt:variant>
      <vt:variant>
        <vt:i4>78</vt:i4>
      </vt:variant>
      <vt:variant>
        <vt:i4>0</vt:i4>
      </vt:variant>
      <vt:variant>
        <vt:i4>5</vt:i4>
      </vt:variant>
      <vt:variant>
        <vt:lpwstr>http://www.wsis.org/forum</vt:lpwstr>
      </vt:variant>
      <vt:variant>
        <vt:lpwstr/>
      </vt:variant>
      <vt:variant>
        <vt:i4>3276836</vt:i4>
      </vt:variant>
      <vt:variant>
        <vt:i4>75</vt:i4>
      </vt:variant>
      <vt:variant>
        <vt:i4>0</vt:i4>
      </vt:variant>
      <vt:variant>
        <vt:i4>5</vt:i4>
      </vt:variant>
      <vt:variant>
        <vt:lpwstr>https://www.itu.int/net4/wsis/forum/2025/Home/Youth</vt:lpwstr>
      </vt:variant>
      <vt:variant>
        <vt:lpwstr/>
      </vt:variant>
      <vt:variant>
        <vt:i4>6029388</vt:i4>
      </vt:variant>
      <vt:variant>
        <vt:i4>72</vt:i4>
      </vt:variant>
      <vt:variant>
        <vt:i4>0</vt:i4>
      </vt:variant>
      <vt:variant>
        <vt:i4>5</vt:i4>
      </vt:variant>
      <vt:variant>
        <vt:lpwstr>http://www.wsis.org/forum</vt:lpwstr>
      </vt:variant>
      <vt:variant>
        <vt:lpwstr/>
      </vt:variant>
      <vt:variant>
        <vt:i4>3670118</vt:i4>
      </vt:variant>
      <vt:variant>
        <vt:i4>69</vt:i4>
      </vt:variant>
      <vt:variant>
        <vt:i4>0</vt:i4>
      </vt:variant>
      <vt:variant>
        <vt:i4>5</vt:i4>
      </vt:variant>
      <vt:variant>
        <vt:lpwstr>https://www.itu.int/net4/wsis/forum/2025/Files/outcomes/draft/WSISStocktaking2025GlobalReport__DRAFT.pdf</vt:lpwstr>
      </vt:variant>
      <vt:variant>
        <vt:lpwstr/>
      </vt:variant>
      <vt:variant>
        <vt:i4>4587542</vt:i4>
      </vt:variant>
      <vt:variant>
        <vt:i4>66</vt:i4>
      </vt:variant>
      <vt:variant>
        <vt:i4>0</vt:i4>
      </vt:variant>
      <vt:variant>
        <vt:i4>5</vt:i4>
      </vt:variant>
      <vt:variant>
        <vt:lpwstr>https://www.itu.int/net4/wsis/forum/2025/Files/outcomes/draft/WSISStocktakingSuccessStories2025Report.pdf</vt:lpwstr>
      </vt:variant>
      <vt:variant>
        <vt:lpwstr/>
      </vt:variant>
      <vt:variant>
        <vt:i4>196693</vt:i4>
      </vt:variant>
      <vt:variant>
        <vt:i4>63</vt:i4>
      </vt:variant>
      <vt:variant>
        <vt:i4>0</vt:i4>
      </vt:variant>
      <vt:variant>
        <vt:i4>5</vt:i4>
      </vt:variant>
      <vt:variant>
        <vt:lpwstr>https://www.itu.int/net4/wsis/stocktaking/Prizes/2025/Winners?jts=C2LDVX</vt:lpwstr>
      </vt:variant>
      <vt:variant>
        <vt:lpwstr/>
      </vt:variant>
      <vt:variant>
        <vt:i4>196693</vt:i4>
      </vt:variant>
      <vt:variant>
        <vt:i4>60</vt:i4>
      </vt:variant>
      <vt:variant>
        <vt:i4>0</vt:i4>
      </vt:variant>
      <vt:variant>
        <vt:i4>5</vt:i4>
      </vt:variant>
      <vt:variant>
        <vt:lpwstr>https://www.itu.int/net4/wsis/stocktaking/Prizes/2025/Winners?jts=C2LDVX</vt:lpwstr>
      </vt:variant>
      <vt:variant>
        <vt:lpwstr/>
      </vt:variant>
      <vt:variant>
        <vt:i4>4259931</vt:i4>
      </vt:variant>
      <vt:variant>
        <vt:i4>57</vt:i4>
      </vt:variant>
      <vt:variant>
        <vt:i4>0</vt:i4>
      </vt:variant>
      <vt:variant>
        <vt:i4>5</vt:i4>
      </vt:variant>
      <vt:variant>
        <vt:lpwstr>https://www.itu.int/partner2connect/resources/p2c-flash/</vt:lpwstr>
      </vt:variant>
      <vt:variant>
        <vt:lpwstr/>
      </vt:variant>
      <vt:variant>
        <vt:i4>6029379</vt:i4>
      </vt:variant>
      <vt:variant>
        <vt:i4>54</vt:i4>
      </vt:variant>
      <vt:variant>
        <vt:i4>0</vt:i4>
      </vt:variant>
      <vt:variant>
        <vt:i4>5</vt:i4>
      </vt:variant>
      <vt:variant>
        <vt:lpwstr>https://www.itu.int/partner2connect/</vt:lpwstr>
      </vt:variant>
      <vt:variant>
        <vt:lpwstr/>
      </vt:variant>
      <vt:variant>
        <vt:i4>4325387</vt:i4>
      </vt:variant>
      <vt:variant>
        <vt:i4>51</vt:i4>
      </vt:variant>
      <vt:variant>
        <vt:i4>0</vt:i4>
      </vt:variant>
      <vt:variant>
        <vt:i4>5</vt:i4>
      </vt:variant>
      <vt:variant>
        <vt:lpwstr>http://www.ungis.org/</vt:lpwstr>
      </vt:variant>
      <vt:variant>
        <vt:lpwstr/>
      </vt:variant>
      <vt:variant>
        <vt:i4>2228267</vt:i4>
      </vt:variant>
      <vt:variant>
        <vt:i4>48</vt:i4>
      </vt:variant>
      <vt:variant>
        <vt:i4>0</vt:i4>
      </vt:variant>
      <vt:variant>
        <vt:i4>5</vt:i4>
      </vt:variant>
      <vt:variant>
        <vt:lpwstr>http://www.wsis.org/sdg</vt:lpwstr>
      </vt:variant>
      <vt:variant>
        <vt:lpwstr/>
      </vt:variant>
      <vt:variant>
        <vt:i4>4587608</vt:i4>
      </vt:variant>
      <vt:variant>
        <vt:i4>45</vt:i4>
      </vt:variant>
      <vt:variant>
        <vt:i4>0</vt:i4>
      </vt:variant>
      <vt:variant>
        <vt:i4>5</vt:i4>
      </vt:variant>
      <vt:variant>
        <vt:lpwstr>http://www.wsis.org/</vt:lpwstr>
      </vt:variant>
      <vt:variant>
        <vt:lpwstr/>
      </vt:variant>
      <vt:variant>
        <vt:i4>7733283</vt:i4>
      </vt:variant>
      <vt:variant>
        <vt:i4>42</vt:i4>
      </vt:variant>
      <vt:variant>
        <vt:i4>0</vt:i4>
      </vt:variant>
      <vt:variant>
        <vt:i4>5</vt:i4>
      </vt:variant>
      <vt:variant>
        <vt:lpwstr>https://undocs.org/Home/Mobile?FinalSymbol=A%2FRES%2F70%2F125&amp;Language=E&amp;DeviceType=Desktop&amp;LangRequested=False</vt:lpwstr>
      </vt:variant>
      <vt:variant>
        <vt:lpwstr/>
      </vt:variant>
      <vt:variant>
        <vt:i4>4456470</vt:i4>
      </vt:variant>
      <vt:variant>
        <vt:i4>39</vt:i4>
      </vt:variant>
      <vt:variant>
        <vt:i4>0</vt:i4>
      </vt:variant>
      <vt:variant>
        <vt:i4>5</vt:i4>
      </vt:variant>
      <vt:variant>
        <vt:lpwstr>https://undocs.org/Home/Mobile?FinalSymbol=A%2Fres%2F70%2F1&amp;Language=E&amp;DeviceType=Desktop&amp;LangRequested=False</vt:lpwstr>
      </vt:variant>
      <vt:variant>
        <vt:lpwstr/>
      </vt:variant>
      <vt:variant>
        <vt:i4>8192058</vt:i4>
      </vt:variant>
      <vt:variant>
        <vt:i4>36</vt:i4>
      </vt:variant>
      <vt:variant>
        <vt:i4>0</vt:i4>
      </vt:variant>
      <vt:variant>
        <vt:i4>5</vt:i4>
      </vt:variant>
      <vt:variant>
        <vt:lpwstr>https://www.itu.int/en/mediacentre/backgrounders/Pages/connect-2030-agenda.aspx</vt:lpwstr>
      </vt:variant>
      <vt:variant>
        <vt:lpwstr/>
      </vt:variant>
      <vt:variant>
        <vt:i4>8126518</vt:i4>
      </vt:variant>
      <vt:variant>
        <vt:i4>33</vt:i4>
      </vt:variant>
      <vt:variant>
        <vt:i4>0</vt:i4>
      </vt:variant>
      <vt:variant>
        <vt:i4>5</vt:i4>
      </vt:variant>
      <vt:variant>
        <vt:lpwstr>https://www.itu.int/en/council/planning/Pages/default.aspx</vt:lpwstr>
      </vt:variant>
      <vt:variant>
        <vt:lpwstr/>
      </vt:variant>
      <vt:variant>
        <vt:i4>1835088</vt:i4>
      </vt:variant>
      <vt:variant>
        <vt:i4>30</vt:i4>
      </vt:variant>
      <vt:variant>
        <vt:i4>0</vt:i4>
      </vt:variant>
      <vt:variant>
        <vt:i4>5</vt:i4>
      </vt:variant>
      <vt:variant>
        <vt:lpwstr>https://www.itu.int/md/S25-CL-INF-0005/en</vt:lpwstr>
      </vt:variant>
      <vt:variant>
        <vt:lpwstr/>
      </vt:variant>
      <vt:variant>
        <vt:i4>1769552</vt:i4>
      </vt:variant>
      <vt:variant>
        <vt:i4>27</vt:i4>
      </vt:variant>
      <vt:variant>
        <vt:i4>0</vt:i4>
      </vt:variant>
      <vt:variant>
        <vt:i4>5</vt:i4>
      </vt:variant>
      <vt:variant>
        <vt:lpwstr>https://www.itu.int/md/S24-CL-INF-0003/en</vt:lpwstr>
      </vt:variant>
      <vt:variant>
        <vt:lpwstr/>
      </vt:variant>
      <vt:variant>
        <vt:i4>2031697</vt:i4>
      </vt:variant>
      <vt:variant>
        <vt:i4>24</vt:i4>
      </vt:variant>
      <vt:variant>
        <vt:i4>0</vt:i4>
      </vt:variant>
      <vt:variant>
        <vt:i4>5</vt:i4>
      </vt:variant>
      <vt:variant>
        <vt:lpwstr>https://www.itu.int/md/S23-CL-INF-0010/en</vt:lpwstr>
      </vt:variant>
      <vt:variant>
        <vt:lpwstr/>
      </vt:variant>
      <vt:variant>
        <vt:i4>1900624</vt:i4>
      </vt:variant>
      <vt:variant>
        <vt:i4>21</vt:i4>
      </vt:variant>
      <vt:variant>
        <vt:i4>0</vt:i4>
      </vt:variant>
      <vt:variant>
        <vt:i4>5</vt:i4>
      </vt:variant>
      <vt:variant>
        <vt:lpwstr>https://www.itu.int/md/S22-CL-INF-0003/en</vt:lpwstr>
      </vt:variant>
      <vt:variant>
        <vt:lpwstr/>
      </vt:variant>
      <vt:variant>
        <vt:i4>1966160</vt:i4>
      </vt:variant>
      <vt:variant>
        <vt:i4>18</vt:i4>
      </vt:variant>
      <vt:variant>
        <vt:i4>0</vt:i4>
      </vt:variant>
      <vt:variant>
        <vt:i4>5</vt:i4>
      </vt:variant>
      <vt:variant>
        <vt:lpwstr>https://www.itu.int/md/S21-CL-INF-0003/en</vt:lpwstr>
      </vt:variant>
      <vt:variant>
        <vt:lpwstr/>
      </vt:variant>
      <vt:variant>
        <vt:i4>6488154</vt:i4>
      </vt:variant>
      <vt:variant>
        <vt:i4>15</vt:i4>
      </vt:variant>
      <vt:variant>
        <vt:i4>0</vt:i4>
      </vt:variant>
      <vt:variant>
        <vt:i4>5</vt:i4>
      </vt:variant>
      <vt:variant>
        <vt:lpwstr>https://www.itu.int/dms_ties/itu-s/md/20/cwgwsis35/c/S20-CWGWSIS35-C-0020!!PDF-E.pdf</vt:lpwstr>
      </vt:variant>
      <vt:variant>
        <vt:lpwstr/>
      </vt:variant>
      <vt:variant>
        <vt:i4>1441875</vt:i4>
      </vt:variant>
      <vt:variant>
        <vt:i4>12</vt:i4>
      </vt:variant>
      <vt:variant>
        <vt:i4>0</vt:i4>
      </vt:variant>
      <vt:variant>
        <vt:i4>5</vt:i4>
      </vt:variant>
      <vt:variant>
        <vt:lpwstr>https://www.itu.int/md/S19-CL-INF-0003/en</vt:lpwstr>
      </vt:variant>
      <vt:variant>
        <vt:lpwstr/>
      </vt:variant>
      <vt:variant>
        <vt:i4>1900599</vt:i4>
      </vt:variant>
      <vt:variant>
        <vt:i4>9</vt:i4>
      </vt:variant>
      <vt:variant>
        <vt:i4>0</vt:i4>
      </vt:variant>
      <vt:variant>
        <vt:i4>5</vt:i4>
      </vt:variant>
      <vt:variant>
        <vt:lpwstr>https://sustainabledevelopment.un.org/content/documents/18069ITU_Council_Input_to_HLPF_2018.pdf</vt:lpwstr>
      </vt:variant>
      <vt:variant>
        <vt:lpwstr/>
      </vt:variant>
      <vt:variant>
        <vt:i4>2097196</vt:i4>
      </vt:variant>
      <vt:variant>
        <vt:i4>6</vt:i4>
      </vt:variant>
      <vt:variant>
        <vt:i4>0</vt:i4>
      </vt:variant>
      <vt:variant>
        <vt:i4>5</vt:i4>
      </vt:variant>
      <vt:variant>
        <vt:lpwstr>https://sustainabledevelopment.un.org/content/documents/14295ITUCouncil.pdf</vt:lpwstr>
      </vt:variant>
      <vt:variant>
        <vt:lpwstr/>
      </vt:variant>
      <vt:variant>
        <vt:i4>3735586</vt:i4>
      </vt:variant>
      <vt:variant>
        <vt:i4>3</vt:i4>
      </vt:variant>
      <vt:variant>
        <vt:i4>0</vt:i4>
      </vt:variant>
      <vt:variant>
        <vt:i4>5</vt:i4>
      </vt:variant>
      <vt:variant>
        <vt:lpwstr>https://sustainabledevelopment.un.org/content/documents/10422International Telecommunication Union Council .pdf</vt:lpwstr>
      </vt:variant>
      <vt:variant>
        <vt:lpwstr/>
      </vt:variant>
      <vt:variant>
        <vt:i4>7798880</vt:i4>
      </vt:variant>
      <vt:variant>
        <vt:i4>0</vt:i4>
      </vt:variant>
      <vt:variant>
        <vt:i4>0</vt:i4>
      </vt:variant>
      <vt:variant>
        <vt:i4>5</vt:i4>
      </vt:variant>
      <vt:variant>
        <vt:lpwstr>https://www.itu.int/en/council/cwg-wsis/Pages/default.aspx</vt:lpwstr>
      </vt:variant>
      <vt:variant>
        <vt:lpwstr/>
      </vt:variant>
      <vt:variant>
        <vt:i4>4456464</vt:i4>
      </vt:variant>
      <vt:variant>
        <vt:i4>0</vt:i4>
      </vt:variant>
      <vt:variant>
        <vt:i4>0</vt:i4>
      </vt:variant>
      <vt:variant>
        <vt:i4>5</vt:i4>
      </vt:variant>
      <vt:variant>
        <vt:lpwstr>https://www.itu.int/itu-d/reports/statistics/facts-figures-2025/</vt:lpwstr>
      </vt:variant>
      <vt:variant>
        <vt:lpwstr/>
      </vt:variant>
      <vt:variant>
        <vt:i4>3342442</vt:i4>
      </vt:variant>
      <vt:variant>
        <vt:i4>3</vt:i4>
      </vt:variant>
      <vt:variant>
        <vt:i4>0</vt:i4>
      </vt:variant>
      <vt:variant>
        <vt:i4>5</vt:i4>
      </vt:variant>
      <vt:variant>
        <vt:lpwstr>https://council.itu.int/2026/en/working-groups/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ITU Council contribution to the High-Level Political Forum on sustainable development (HLPF)</dc:title>
  <dc:subject>Council Working Group on WSIS and the SDGs</dc:subject>
  <cp:keywords>CWG-WSIS&amp;SDG; C26; Council-26</cp:keywords>
  <dc:description/>
  <dcterms:created xsi:type="dcterms:W3CDTF">2025-12-10T18:57:00Z</dcterms:created>
  <dcterms:modified xsi:type="dcterms:W3CDTF">2025-12-10T19:02:00Z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8a8db6fc-5ae5-4a6d-bef8-19368e181ed7</vt:lpwstr>
  </property>
  <property fmtid="{D5CDD505-2E9C-101B-9397-08002B2CF9AE}" pid="3" name="ContentTypeId">
    <vt:lpwstr>0x010100814E447ED7B9DA4C9F10BB2808D9DCA9</vt:lpwstr>
  </property>
  <property fmtid="{D5CDD505-2E9C-101B-9397-08002B2CF9AE}" pid="4" name="docLang">
    <vt:lpwstr>en</vt:lpwstr>
  </property>
</Properties>
</file>