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0908F5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0908F5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5F88EB8C" w:rsidR="00AD3606" w:rsidRPr="000908F5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0908F5">
              <w:rPr>
                <w:b/>
              </w:rPr>
              <w:t>Document C</w:t>
            </w:r>
            <w:r w:rsidR="00A52C84" w:rsidRPr="000908F5">
              <w:rPr>
                <w:b/>
              </w:rPr>
              <w:t>WG-</w:t>
            </w:r>
            <w:r w:rsidR="00F264CE" w:rsidRPr="000908F5">
              <w:rPr>
                <w:b/>
              </w:rPr>
              <w:t>SFP-</w:t>
            </w:r>
            <w:r w:rsidR="005E6BE4">
              <w:rPr>
                <w:b/>
              </w:rPr>
              <w:t>5</w:t>
            </w:r>
            <w:r w:rsidRPr="000908F5">
              <w:rPr>
                <w:b/>
              </w:rPr>
              <w:t>/</w:t>
            </w:r>
            <w:r w:rsidR="00636D8C">
              <w:rPr>
                <w:b/>
              </w:rPr>
              <w:t>6</w:t>
            </w:r>
          </w:p>
        </w:tc>
      </w:tr>
      <w:tr w:rsidR="00AD3606" w:rsidRPr="000908F5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0908F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356C4BF" w:rsidR="00AD3606" w:rsidRPr="000908F5" w:rsidRDefault="001301E3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30 </w:t>
            </w:r>
            <w:r w:rsidR="00F07A0B">
              <w:rPr>
                <w:b/>
              </w:rPr>
              <w:t>January</w:t>
            </w:r>
            <w:r w:rsidR="005E03D9">
              <w:rPr>
                <w:b/>
              </w:rPr>
              <w:t xml:space="preserve"> 202</w:t>
            </w:r>
            <w:r w:rsidR="00F07A0B">
              <w:rPr>
                <w:b/>
              </w:rPr>
              <w:t>6</w:t>
            </w:r>
          </w:p>
        </w:tc>
      </w:tr>
      <w:tr w:rsidR="00AD3606" w:rsidRPr="000908F5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0908F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0908F5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0908F5">
              <w:rPr>
                <w:b/>
              </w:rPr>
              <w:t>English</w:t>
            </w:r>
            <w:r w:rsidR="009B2D4B" w:rsidRPr="000908F5">
              <w:rPr>
                <w:b/>
              </w:rPr>
              <w:t xml:space="preserve"> only</w:t>
            </w:r>
          </w:p>
        </w:tc>
      </w:tr>
      <w:tr w:rsidR="00472BAD" w:rsidRPr="000908F5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0908F5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0908F5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0908F5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27B68F08" w:rsidR="00AD3606" w:rsidRPr="000908F5" w:rsidRDefault="00422C60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Telecommunication Standardization Advisory Group</w:t>
            </w:r>
            <w:r w:rsidR="00F81334">
              <w:t xml:space="preserve"> (TSAG)</w:t>
            </w:r>
          </w:p>
        </w:tc>
      </w:tr>
      <w:tr w:rsidR="00AD3606" w:rsidRPr="000908F5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24EFF1AB" w:rsidR="00AD3606" w:rsidRPr="000908F5" w:rsidRDefault="00E45530" w:rsidP="00F81334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LIAISON STATEMENT TO THE COUNCIL WORKING GROUP FOR STRATEGIC AND FINANCIAL PLANS 2028-2031</w:t>
            </w:r>
          </w:p>
        </w:tc>
      </w:tr>
      <w:tr w:rsidR="00AD3606" w:rsidRPr="000908F5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0908F5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908F5">
              <w:rPr>
                <w:b/>
                <w:bCs/>
                <w:sz w:val="26"/>
                <w:szCs w:val="26"/>
              </w:rPr>
              <w:t>Purpose</w:t>
            </w:r>
          </w:p>
          <w:p w14:paraId="55413D8A" w14:textId="58A134BE" w:rsidR="00BF027A" w:rsidRDefault="00BF027A" w:rsidP="00C06DB6">
            <w:pPr>
              <w:jc w:val="both"/>
            </w:pPr>
            <w:r>
              <w:t>This liaison statement from the Telecommunication Standardization Advisory</w:t>
            </w:r>
            <w:r w:rsidR="00AD35A5">
              <w:t xml:space="preserve"> </w:t>
            </w:r>
            <w:r w:rsidR="00EC6A52">
              <w:t xml:space="preserve">Group </w:t>
            </w:r>
            <w:r w:rsidR="00FF6EEE">
              <w:t xml:space="preserve">(TSAG) </w:t>
            </w:r>
            <w:r w:rsidR="001F5604">
              <w:t>confirms the outcomes of the fourth meeting of the Council Working Group for strategic and financial plans 2028-2031</w:t>
            </w:r>
            <w:r w:rsidR="00933D5C">
              <w:t xml:space="preserve"> </w:t>
            </w:r>
            <w:proofErr w:type="gramStart"/>
            <w:r w:rsidR="00CC6942">
              <w:t>in regard to</w:t>
            </w:r>
            <w:proofErr w:type="gramEnd"/>
            <w:r w:rsidR="00933D5C">
              <w:t xml:space="preserve"> </w:t>
            </w:r>
            <w:r w:rsidR="001F5604">
              <w:t>Priority 2</w:t>
            </w:r>
            <w:r w:rsidR="00933D5C">
              <w:t xml:space="preserve"> </w:t>
            </w:r>
            <w:r w:rsidR="00EE5F44">
              <w:t xml:space="preserve">of the </w:t>
            </w:r>
            <w:r w:rsidR="00CC6942">
              <w:t xml:space="preserve">proposed </w:t>
            </w:r>
            <w:r w:rsidR="00C06DB6" w:rsidRPr="00C06DB6">
              <w:t xml:space="preserve">draft </w:t>
            </w:r>
            <w:r w:rsidR="00EE5F44">
              <w:t>s</w:t>
            </w:r>
            <w:r w:rsidR="00C06DB6" w:rsidRPr="00C06DB6">
              <w:t xml:space="preserve">trategic and </w:t>
            </w:r>
            <w:r w:rsidR="00EE5F44">
              <w:t>f</w:t>
            </w:r>
            <w:r w:rsidR="00C06DB6" w:rsidRPr="00C06DB6">
              <w:t>inancial Plans for 2028-2031</w:t>
            </w:r>
            <w:r w:rsidR="00C06DB6">
              <w:t>.</w:t>
            </w:r>
          </w:p>
          <w:p w14:paraId="5076D5C4" w14:textId="28F00572" w:rsidR="00AD3606" w:rsidRPr="000908F5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908F5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56EC634C" w:rsidR="00891503" w:rsidRPr="000908F5" w:rsidRDefault="00FD7016" w:rsidP="00F16BAB">
            <w:pPr>
              <w:spacing w:before="160"/>
            </w:pPr>
            <w:r w:rsidRPr="000908F5">
              <w:t xml:space="preserve">The Council Working Group </w:t>
            </w:r>
            <w:r w:rsidR="00F264CE" w:rsidRPr="000908F5">
              <w:t>for</w:t>
            </w:r>
            <w:r w:rsidRPr="000908F5">
              <w:t xml:space="preserve"> </w:t>
            </w:r>
            <w:r w:rsidR="00F264CE" w:rsidRPr="000908F5">
              <w:t>strategic and financial plans</w:t>
            </w:r>
            <w:r w:rsidRPr="000908F5">
              <w:t xml:space="preserve"> </w:t>
            </w:r>
            <w:r w:rsidR="00F264CE" w:rsidRPr="000908F5">
              <w:t xml:space="preserve">2028-2031 </w:t>
            </w:r>
            <w:r w:rsidRPr="000908F5">
              <w:t>is invited to</w:t>
            </w:r>
            <w:r w:rsidR="003D55B9" w:rsidRPr="000908F5">
              <w:t xml:space="preserve"> </w:t>
            </w:r>
            <w:r w:rsidR="000908F5" w:rsidRPr="000908F5">
              <w:rPr>
                <w:b/>
                <w:bCs/>
              </w:rPr>
              <w:t>consider</w:t>
            </w:r>
            <w:r w:rsidR="000908F5" w:rsidRPr="000908F5">
              <w:t xml:space="preserve"> th</w:t>
            </w:r>
            <w:r w:rsidR="001C090F">
              <w:t>e liaison statement</w:t>
            </w:r>
            <w:r w:rsidR="000908F5" w:rsidRPr="000908F5">
              <w:t>.</w:t>
            </w:r>
          </w:p>
          <w:p w14:paraId="73F1E18A" w14:textId="77777777" w:rsidR="00630B6A" w:rsidRPr="000908F5" w:rsidRDefault="00630B6A">
            <w:r w:rsidRPr="000908F5">
              <w:t>_______________</w:t>
            </w:r>
          </w:p>
          <w:p w14:paraId="00DEE14C" w14:textId="77777777" w:rsidR="00AD3606" w:rsidRPr="000908F5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908F5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2E9E020A" w:rsidR="00AD3606" w:rsidRPr="000908F5" w:rsidRDefault="00FD701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0908F5">
                <w:rPr>
                  <w:rStyle w:val="Hyperlink"/>
                  <w:i/>
                  <w:iCs/>
                  <w:sz w:val="22"/>
                  <w:szCs w:val="22"/>
                </w:rPr>
                <w:t>CWG-</w:t>
              </w:r>
              <w:r w:rsidR="00F264CE" w:rsidRPr="000908F5">
                <w:rPr>
                  <w:rStyle w:val="Hyperlink"/>
                  <w:i/>
                  <w:iCs/>
                  <w:sz w:val="22"/>
                  <w:szCs w:val="22"/>
                </w:rPr>
                <w:t>SFP</w:t>
              </w:r>
              <w:r w:rsidRPr="000908F5">
                <w:rPr>
                  <w:rStyle w:val="Hyperlink"/>
                  <w:i/>
                  <w:iCs/>
                  <w:sz w:val="22"/>
                  <w:szCs w:val="22"/>
                </w:rPr>
                <w:t xml:space="preserve"> website</w:t>
              </w:r>
            </w:hyperlink>
            <w:r w:rsidRPr="000908F5">
              <w:rPr>
                <w:i/>
                <w:iCs/>
                <w:sz w:val="22"/>
                <w:szCs w:val="22"/>
              </w:rPr>
              <w:t xml:space="preserve">; </w:t>
            </w:r>
            <w:hyperlink r:id="rId12" w:tgtFrame="_blank" w:history="1">
              <w:r w:rsidR="00CD6144"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Resolution 1428 (C24)</w:t>
              </w:r>
            </w:hyperlink>
          </w:p>
        </w:tc>
      </w:tr>
    </w:tbl>
    <w:p w14:paraId="4CDB8B60" w14:textId="77777777" w:rsidR="00E227F3" w:rsidRPr="000908F5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3B61C5C1" w:rsidR="00261A20" w:rsidRDefault="00261A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3"/>
        <w:gridCol w:w="297"/>
        <w:gridCol w:w="768"/>
        <w:gridCol w:w="3267"/>
        <w:gridCol w:w="6"/>
        <w:gridCol w:w="4198"/>
      </w:tblGrid>
      <w:tr w:rsidR="00A615CE" w:rsidRPr="007F4CDD" w14:paraId="0EABE587" w14:textId="77777777" w:rsidTr="007F4CDD">
        <w:trPr>
          <w:cantSplit/>
        </w:trPr>
        <w:tc>
          <w:tcPr>
            <w:tcW w:w="1103" w:type="dxa"/>
            <w:vMerge w:val="restart"/>
            <w:vAlign w:val="center"/>
          </w:tcPr>
          <w:p w14:paraId="68E5CADE" w14:textId="77777777" w:rsidR="00A615CE" w:rsidRPr="007F4CDD" w:rsidRDefault="00A615CE" w:rsidP="008D1A40">
            <w:pPr>
              <w:spacing w:before="0"/>
              <w:jc w:val="center"/>
              <w:rPr>
                <w:rFonts w:asciiTheme="majorBidi" w:hAnsiTheme="majorBidi" w:cstheme="majorBidi"/>
                <w:sz w:val="20"/>
              </w:rPr>
            </w:pPr>
            <w:bookmarkStart w:id="11" w:name="dtableau"/>
            <w:bookmarkStart w:id="12" w:name="dsg" w:colFirst="1" w:colLast="1"/>
            <w:r w:rsidRPr="007F4CDD">
              <w:rPr>
                <w:rFonts w:asciiTheme="majorBidi" w:hAnsiTheme="majorBidi" w:cstheme="majorBidi"/>
                <w:noProof/>
              </w:rPr>
              <w:lastRenderedPageBreak/>
              <w:drawing>
                <wp:inline distT="0" distB="0" distL="0" distR="0" wp14:anchorId="29227D0B" wp14:editId="2B23E1B8">
                  <wp:extent cx="647700" cy="70485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  <w:gridSpan w:val="3"/>
            <w:vMerge w:val="restart"/>
          </w:tcPr>
          <w:p w14:paraId="52A482A9" w14:textId="77777777" w:rsidR="00A615CE" w:rsidRPr="007F4CDD" w:rsidRDefault="00A615CE" w:rsidP="008D1A4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F4CDD">
              <w:rPr>
                <w:rFonts w:asciiTheme="majorBidi" w:hAnsiTheme="majorBidi" w:cstheme="majorBidi"/>
                <w:sz w:val="16"/>
                <w:szCs w:val="16"/>
              </w:rPr>
              <w:t>INTERNATIONAL TELECOMMUNICATION UNION</w:t>
            </w:r>
          </w:p>
          <w:p w14:paraId="0C356956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F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TELECOMMUNICATION</w:t>
            </w:r>
            <w:r w:rsidRPr="007F4CD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7816B6D8" w14:textId="77777777" w:rsidR="00A615CE" w:rsidRPr="007F4CDD" w:rsidRDefault="00A615CE" w:rsidP="008D1A40">
            <w:pPr>
              <w:rPr>
                <w:rFonts w:asciiTheme="majorBidi" w:hAnsiTheme="majorBidi" w:cstheme="majorBidi"/>
                <w:sz w:val="20"/>
              </w:rPr>
            </w:pPr>
            <w:r w:rsidRPr="007F4CDD">
              <w:rPr>
                <w:rFonts w:asciiTheme="majorBidi" w:hAnsiTheme="majorBidi" w:cstheme="majorBidi"/>
                <w:sz w:val="20"/>
              </w:rPr>
              <w:t>STUDY PERIOD 2025-2028</w:t>
            </w:r>
          </w:p>
        </w:tc>
        <w:tc>
          <w:tcPr>
            <w:tcW w:w="4204" w:type="dxa"/>
            <w:gridSpan w:val="2"/>
            <w:vAlign w:val="center"/>
          </w:tcPr>
          <w:p w14:paraId="1A717BED" w14:textId="77777777" w:rsidR="00A615CE" w:rsidRPr="007F4CDD" w:rsidRDefault="00A615CE" w:rsidP="008D1A40">
            <w:pPr>
              <w:pStyle w:val="Docnumber"/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TSAG-LS16</w:t>
            </w:r>
          </w:p>
        </w:tc>
      </w:tr>
      <w:tr w:rsidR="00A615CE" w:rsidRPr="007F4CDD" w14:paraId="4B87CA6A" w14:textId="77777777" w:rsidTr="007F4CDD">
        <w:trPr>
          <w:cantSplit/>
        </w:trPr>
        <w:tc>
          <w:tcPr>
            <w:tcW w:w="1103" w:type="dxa"/>
            <w:vMerge/>
          </w:tcPr>
          <w:p w14:paraId="739128E2" w14:textId="77777777" w:rsidR="00A615CE" w:rsidRPr="007F4CDD" w:rsidRDefault="00A615CE" w:rsidP="008D1A40">
            <w:pPr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4332" w:type="dxa"/>
            <w:gridSpan w:val="3"/>
            <w:vMerge/>
          </w:tcPr>
          <w:p w14:paraId="22DA52D3" w14:textId="77777777" w:rsidR="00A615CE" w:rsidRPr="007F4CDD" w:rsidRDefault="00A615CE" w:rsidP="008D1A40">
            <w:pPr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4204" w:type="dxa"/>
            <w:gridSpan w:val="2"/>
          </w:tcPr>
          <w:p w14:paraId="2CA831B5" w14:textId="77777777" w:rsidR="00A615CE" w:rsidRPr="007F4CDD" w:rsidRDefault="00A615CE" w:rsidP="008D1A40">
            <w:pPr>
              <w:jc w:val="right"/>
              <w:rPr>
                <w:rFonts w:asciiTheme="majorBidi" w:hAnsiTheme="majorBidi" w:cstheme="majorBidi"/>
                <w:b/>
                <w:bCs/>
                <w:smallCaps/>
                <w:sz w:val="28"/>
                <w:szCs w:val="28"/>
              </w:rPr>
            </w:pPr>
            <w:r w:rsidRPr="007F4CDD">
              <w:rPr>
                <w:rFonts w:asciiTheme="majorBidi" w:hAnsiTheme="majorBidi" w:cstheme="majorBidi"/>
                <w:b/>
                <w:bCs/>
                <w:smallCaps/>
                <w:sz w:val="28"/>
                <w:szCs w:val="28"/>
              </w:rPr>
              <w:t>TSAG</w:t>
            </w:r>
          </w:p>
        </w:tc>
      </w:tr>
      <w:tr w:rsidR="00A615CE" w:rsidRPr="007F4CDD" w14:paraId="1C1F80B0" w14:textId="77777777" w:rsidTr="007F4CDD">
        <w:trPr>
          <w:cantSplit/>
        </w:trPr>
        <w:tc>
          <w:tcPr>
            <w:tcW w:w="1103" w:type="dxa"/>
            <w:vMerge/>
            <w:tcBorders>
              <w:bottom w:val="single" w:sz="12" w:space="0" w:color="auto"/>
            </w:tcBorders>
          </w:tcPr>
          <w:p w14:paraId="336D204C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4332" w:type="dxa"/>
            <w:gridSpan w:val="3"/>
            <w:vMerge/>
            <w:tcBorders>
              <w:bottom w:val="single" w:sz="12" w:space="0" w:color="auto"/>
            </w:tcBorders>
          </w:tcPr>
          <w:p w14:paraId="7C7CCAA3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4204" w:type="dxa"/>
            <w:gridSpan w:val="2"/>
            <w:tcBorders>
              <w:bottom w:val="single" w:sz="12" w:space="0" w:color="auto"/>
            </w:tcBorders>
            <w:vAlign w:val="center"/>
          </w:tcPr>
          <w:p w14:paraId="5A76D6E9" w14:textId="77777777" w:rsidR="00A615CE" w:rsidRPr="007F4CDD" w:rsidRDefault="00A615CE" w:rsidP="008D1A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CD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Original: English</w:t>
            </w:r>
          </w:p>
        </w:tc>
      </w:tr>
      <w:tr w:rsidR="00A615CE" w:rsidRPr="007F4CDD" w14:paraId="51FC68F2" w14:textId="77777777" w:rsidTr="007F4CDD">
        <w:trPr>
          <w:cantSplit/>
        </w:trPr>
        <w:tc>
          <w:tcPr>
            <w:tcW w:w="1400" w:type="dxa"/>
            <w:gridSpan w:val="2"/>
          </w:tcPr>
          <w:p w14:paraId="7F98A3D2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bookmarkStart w:id="13" w:name="dbluepink" w:colFirst="1" w:colLast="1"/>
            <w:bookmarkEnd w:id="12"/>
            <w:r w:rsidRPr="007F4CDD">
              <w:rPr>
                <w:rFonts w:asciiTheme="majorBidi" w:hAnsiTheme="majorBidi" w:cstheme="majorBidi"/>
                <w:b/>
                <w:bCs/>
              </w:rPr>
              <w:t>Question(s):</w:t>
            </w:r>
          </w:p>
        </w:tc>
        <w:tc>
          <w:tcPr>
            <w:tcW w:w="4041" w:type="dxa"/>
            <w:gridSpan w:val="3"/>
          </w:tcPr>
          <w:p w14:paraId="1DD19EDC" w14:textId="77777777" w:rsidR="00A615CE" w:rsidRPr="007F4CDD" w:rsidRDefault="00A615CE" w:rsidP="008D1A40">
            <w:pPr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198" w:type="dxa"/>
          </w:tcPr>
          <w:p w14:paraId="0DC8233C" w14:textId="77777777" w:rsidR="00A615CE" w:rsidRPr="007F4CDD" w:rsidRDefault="00A615CE" w:rsidP="008D1A40">
            <w:pPr>
              <w:jc w:val="right"/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Geneva, 26-30 January 2026</w:t>
            </w:r>
          </w:p>
        </w:tc>
      </w:tr>
      <w:tr w:rsidR="00A615CE" w:rsidRPr="007F4CDD" w14:paraId="18B1D2DA" w14:textId="77777777" w:rsidTr="008D1A40">
        <w:trPr>
          <w:cantSplit/>
        </w:trPr>
        <w:tc>
          <w:tcPr>
            <w:tcW w:w="9639" w:type="dxa"/>
            <w:gridSpan w:val="6"/>
          </w:tcPr>
          <w:p w14:paraId="5B52F5F0" w14:textId="77777777" w:rsidR="00A615CE" w:rsidRPr="007F4CDD" w:rsidRDefault="00A615CE" w:rsidP="008D1A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4" w:name="ddoctype"/>
            <w:bookmarkStart w:id="15" w:name="dtitle" w:colFirst="0" w:colLast="0"/>
            <w:bookmarkEnd w:id="13"/>
            <w:r w:rsidRPr="007F4CDD">
              <w:rPr>
                <w:rFonts w:asciiTheme="majorBidi" w:hAnsiTheme="majorBidi" w:cstheme="majorBidi"/>
                <w:b/>
                <w:bCs/>
              </w:rPr>
              <w:t xml:space="preserve">(Ref.: </w:t>
            </w:r>
            <w:hyperlink r:id="rId14" w:history="1">
              <w:r w:rsidRPr="007F4CDD">
                <w:rPr>
                  <w:rStyle w:val="Hyperlink"/>
                  <w:rFonts w:asciiTheme="majorBidi" w:hAnsiTheme="majorBidi" w:cstheme="majorBidi"/>
                  <w:b/>
                  <w:bCs/>
                </w:rPr>
                <w:t>TSAG-TD320</w:t>
              </w:r>
            </w:hyperlink>
            <w:r w:rsidRPr="007F4CDD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bookmarkEnd w:id="14"/>
      <w:bookmarkEnd w:id="15"/>
      <w:tr w:rsidR="00A615CE" w:rsidRPr="007F4CDD" w14:paraId="51C83FF7" w14:textId="77777777" w:rsidTr="007F4CDD">
        <w:trPr>
          <w:cantSplit/>
        </w:trPr>
        <w:tc>
          <w:tcPr>
            <w:tcW w:w="1400" w:type="dxa"/>
            <w:gridSpan w:val="2"/>
          </w:tcPr>
          <w:p w14:paraId="78F2C6CA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8239" w:type="dxa"/>
            <w:gridSpan w:val="4"/>
          </w:tcPr>
          <w:p w14:paraId="14C12C2C" w14:textId="77777777" w:rsidR="00A615CE" w:rsidRPr="007F4CDD" w:rsidRDefault="00A615CE" w:rsidP="008D1A40">
            <w:pPr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TSAG</w:t>
            </w:r>
          </w:p>
        </w:tc>
      </w:tr>
      <w:tr w:rsidR="00A615CE" w:rsidRPr="007F4CDD" w14:paraId="0B5D7CA2" w14:textId="77777777" w:rsidTr="007F4CDD">
        <w:trPr>
          <w:cantSplit/>
        </w:trPr>
        <w:tc>
          <w:tcPr>
            <w:tcW w:w="1400" w:type="dxa"/>
            <w:gridSpan w:val="2"/>
            <w:tcBorders>
              <w:bottom w:val="single" w:sz="8" w:space="0" w:color="auto"/>
            </w:tcBorders>
          </w:tcPr>
          <w:p w14:paraId="0A4AD87A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8239" w:type="dxa"/>
            <w:gridSpan w:val="4"/>
            <w:tcBorders>
              <w:bottom w:val="single" w:sz="8" w:space="0" w:color="auto"/>
            </w:tcBorders>
          </w:tcPr>
          <w:p w14:paraId="745F6974" w14:textId="77777777" w:rsidR="00A615CE" w:rsidRPr="007F4CDD" w:rsidRDefault="00A615CE" w:rsidP="008D1A40">
            <w:pPr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 xml:space="preserve">LS/r on Outcomes of the fourth meeting of CWG-SFP (reply to CWG-SFP-LS3) </w:t>
            </w:r>
          </w:p>
        </w:tc>
      </w:tr>
      <w:bookmarkEnd w:id="11"/>
      <w:tr w:rsidR="00A615CE" w:rsidRPr="007F4CDD" w14:paraId="6882A29A" w14:textId="77777777" w:rsidTr="008D1A40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1C82FF23" w14:textId="77777777" w:rsidR="00A615CE" w:rsidRPr="007F4CDD" w:rsidRDefault="00A615CE" w:rsidP="008D1A4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7F4CDD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A615CE" w:rsidRPr="007F4CDD" w14:paraId="770781D9" w14:textId="77777777" w:rsidTr="007F4CDD">
        <w:trPr>
          <w:cantSplit/>
          <w:trHeight w:val="357"/>
        </w:trPr>
        <w:tc>
          <w:tcPr>
            <w:tcW w:w="2168" w:type="dxa"/>
            <w:gridSpan w:val="3"/>
          </w:tcPr>
          <w:p w14:paraId="76A4D352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471" w:type="dxa"/>
            <w:gridSpan w:val="3"/>
          </w:tcPr>
          <w:p w14:paraId="2C4BE7C7" w14:textId="77777777" w:rsidR="00A615CE" w:rsidRPr="007F4CDD" w:rsidRDefault="00A615CE" w:rsidP="008D1A40">
            <w:pPr>
              <w:pStyle w:val="LSForAction"/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CWG-SFP</w:t>
            </w:r>
          </w:p>
        </w:tc>
      </w:tr>
      <w:tr w:rsidR="00A615CE" w:rsidRPr="007F4CDD" w14:paraId="17C8857F" w14:textId="77777777" w:rsidTr="007F4CDD">
        <w:trPr>
          <w:cantSplit/>
          <w:trHeight w:val="357"/>
        </w:trPr>
        <w:tc>
          <w:tcPr>
            <w:tcW w:w="2168" w:type="dxa"/>
            <w:gridSpan w:val="3"/>
          </w:tcPr>
          <w:p w14:paraId="760D69C0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471" w:type="dxa"/>
            <w:gridSpan w:val="3"/>
          </w:tcPr>
          <w:p w14:paraId="7B9ED7C4" w14:textId="77777777" w:rsidR="00A615CE" w:rsidRPr="007F4CDD" w:rsidRDefault="00A615CE" w:rsidP="008D1A40">
            <w:pPr>
              <w:pStyle w:val="LSForInfo"/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ISCG; ITU-R RAG; ITU-D TDAG; ITU-T study groups</w:t>
            </w:r>
          </w:p>
        </w:tc>
      </w:tr>
      <w:tr w:rsidR="00A615CE" w:rsidRPr="007F4CDD" w14:paraId="06D5A78A" w14:textId="77777777" w:rsidTr="007F4CDD">
        <w:trPr>
          <w:cantSplit/>
          <w:trHeight w:val="357"/>
        </w:trPr>
        <w:tc>
          <w:tcPr>
            <w:tcW w:w="2168" w:type="dxa"/>
            <w:gridSpan w:val="3"/>
          </w:tcPr>
          <w:p w14:paraId="02B62664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471" w:type="dxa"/>
            <w:gridSpan w:val="3"/>
          </w:tcPr>
          <w:p w14:paraId="20EB8839" w14:textId="77777777" w:rsidR="00A615CE" w:rsidRPr="007F4CDD" w:rsidRDefault="00A615CE" w:rsidP="008D1A40">
            <w:pPr>
              <w:pStyle w:val="LSApproval"/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 xml:space="preserve">TSAG meeting (Geneva, 30 January 2026) </w:t>
            </w:r>
          </w:p>
        </w:tc>
      </w:tr>
      <w:tr w:rsidR="00A615CE" w:rsidRPr="007F4CDD" w14:paraId="08B9D29B" w14:textId="77777777" w:rsidTr="007F4CDD">
        <w:trPr>
          <w:cantSplit/>
          <w:trHeight w:val="357"/>
        </w:trPr>
        <w:tc>
          <w:tcPr>
            <w:tcW w:w="2168" w:type="dxa"/>
            <w:gridSpan w:val="3"/>
            <w:tcBorders>
              <w:bottom w:val="single" w:sz="12" w:space="0" w:color="auto"/>
            </w:tcBorders>
          </w:tcPr>
          <w:p w14:paraId="4D88FF6C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471" w:type="dxa"/>
            <w:gridSpan w:val="3"/>
            <w:tcBorders>
              <w:bottom w:val="single" w:sz="12" w:space="0" w:color="auto"/>
            </w:tcBorders>
          </w:tcPr>
          <w:p w14:paraId="1BBBA51C" w14:textId="77777777" w:rsidR="00A615CE" w:rsidRPr="007F4CDD" w:rsidRDefault="00A615CE" w:rsidP="008D1A40">
            <w:pPr>
              <w:pStyle w:val="LSDeadline"/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27 April 2026</w:t>
            </w:r>
          </w:p>
        </w:tc>
      </w:tr>
      <w:tr w:rsidR="00A615CE" w:rsidRPr="007F4CDD" w14:paraId="573BE84B" w14:textId="77777777" w:rsidTr="007F4CDD">
        <w:trPr>
          <w:cantSplit/>
        </w:trPr>
        <w:tc>
          <w:tcPr>
            <w:tcW w:w="14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BD136F5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364D1E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Scott Mansfield</w:t>
            </w:r>
            <w:r w:rsidRPr="007F4CDD">
              <w:rPr>
                <w:rFonts w:asciiTheme="majorBidi" w:hAnsiTheme="majorBidi" w:cstheme="majorBidi"/>
                <w:highlight w:val="yellow"/>
              </w:rPr>
              <w:br/>
            </w:r>
            <w:r w:rsidRPr="007F4CDD">
              <w:rPr>
                <w:rFonts w:asciiTheme="majorBidi" w:hAnsiTheme="majorBidi" w:cstheme="majorBidi"/>
              </w:rPr>
              <w:t>Rapporteur, RG-IES</w:t>
            </w:r>
            <w:r w:rsidRPr="007F4CDD">
              <w:rPr>
                <w:rFonts w:asciiTheme="majorBidi" w:hAnsiTheme="majorBidi" w:cstheme="majorBidi"/>
                <w:highlight w:val="yellow"/>
              </w:rPr>
              <w:br/>
            </w:r>
            <w:r w:rsidRPr="007F4CDD">
              <w:rPr>
                <w:rFonts w:asciiTheme="majorBidi" w:hAnsiTheme="majorBidi" w:cstheme="majorBidi"/>
              </w:rPr>
              <w:t>Canada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3931E5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</w:rPr>
            </w:pPr>
            <w:r w:rsidRPr="007F4CDD">
              <w:rPr>
                <w:rFonts w:asciiTheme="majorBidi" w:hAnsiTheme="majorBidi" w:cstheme="majorBidi"/>
              </w:rPr>
              <w:t>E-mail:</w:t>
            </w:r>
            <w:r w:rsidRPr="007F4CDD">
              <w:rPr>
                <w:rFonts w:asciiTheme="majorBidi" w:hAnsiTheme="majorBidi" w:cstheme="majorBidi"/>
              </w:rPr>
              <w:tab/>
            </w:r>
            <w:hyperlink r:id="rId15" w:history="1">
              <w:r w:rsidRPr="007F4CDD">
                <w:rPr>
                  <w:rStyle w:val="Hyperlink"/>
                  <w:rFonts w:asciiTheme="majorBidi" w:hAnsiTheme="majorBidi" w:cstheme="majorBidi"/>
                </w:rPr>
                <w:t>Scott.mansfield@ericsson.com</w:t>
              </w:r>
            </w:hyperlink>
          </w:p>
        </w:tc>
      </w:tr>
      <w:tr w:rsidR="00A615CE" w:rsidRPr="007F4CDD" w14:paraId="4E2459BD" w14:textId="77777777" w:rsidTr="007F4CDD">
        <w:trPr>
          <w:cantSplit/>
        </w:trPr>
        <w:tc>
          <w:tcPr>
            <w:tcW w:w="14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4B77BD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A3D561D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  <w:lang w:val="fr-CH"/>
              </w:rPr>
            </w:pPr>
            <w:r w:rsidRPr="007F4CDD">
              <w:rPr>
                <w:rFonts w:asciiTheme="majorBidi" w:hAnsiTheme="majorBidi" w:cstheme="majorBidi"/>
                <w:lang w:val="fr-CH"/>
              </w:rPr>
              <w:t>Bruce Gracie</w:t>
            </w:r>
            <w:r w:rsidRPr="007F4CDD">
              <w:rPr>
                <w:rFonts w:asciiTheme="majorBidi" w:hAnsiTheme="majorBidi" w:cstheme="majorBidi"/>
                <w:highlight w:val="yellow"/>
                <w:lang w:val="fr-CH"/>
              </w:rPr>
              <w:br/>
            </w:r>
            <w:r w:rsidRPr="007F4CDD">
              <w:rPr>
                <w:rFonts w:asciiTheme="majorBidi" w:hAnsiTheme="majorBidi" w:cstheme="majorBidi"/>
                <w:lang w:val="fr-CH"/>
              </w:rPr>
              <w:t>Associate rapporteur, RG-IES</w:t>
            </w:r>
            <w:r w:rsidRPr="007F4CDD">
              <w:rPr>
                <w:rFonts w:asciiTheme="majorBidi" w:hAnsiTheme="majorBidi" w:cstheme="majorBidi"/>
                <w:highlight w:val="yellow"/>
                <w:lang w:val="fr-CH"/>
              </w:rPr>
              <w:br/>
            </w:r>
            <w:r w:rsidRPr="007F4CDD">
              <w:rPr>
                <w:rFonts w:asciiTheme="majorBidi" w:hAnsiTheme="majorBidi" w:cstheme="majorBidi"/>
                <w:lang w:val="fr-CH"/>
              </w:rPr>
              <w:t>Canada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E1D892C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  <w:lang w:val="fr-CH"/>
              </w:rPr>
            </w:pPr>
            <w:proofErr w:type="gramStart"/>
            <w:r w:rsidRPr="007F4CDD">
              <w:rPr>
                <w:rFonts w:asciiTheme="majorBidi" w:hAnsiTheme="majorBidi" w:cstheme="majorBidi"/>
                <w:lang w:val="fr-CH"/>
              </w:rPr>
              <w:t>E-mail:</w:t>
            </w:r>
            <w:proofErr w:type="gramEnd"/>
            <w:r w:rsidRPr="007F4CDD">
              <w:rPr>
                <w:rFonts w:asciiTheme="majorBidi" w:hAnsiTheme="majorBidi" w:cstheme="majorBidi"/>
                <w:lang w:val="fr-CH"/>
              </w:rPr>
              <w:tab/>
            </w:r>
            <w:hyperlink r:id="rId16" w:history="1">
              <w:proofErr w:type="spellStart"/>
              <w:r w:rsidRPr="007F4CDD">
                <w:rPr>
                  <w:rStyle w:val="Hyperlink"/>
                  <w:rFonts w:asciiTheme="majorBidi" w:hAnsiTheme="majorBidi" w:cstheme="majorBidi"/>
                  <w:lang w:val="fr-CH"/>
                </w:rPr>
                <w:t>bruce.gracie@ericsson.com</w:t>
              </w:r>
              <w:proofErr w:type="spellEnd"/>
            </w:hyperlink>
          </w:p>
        </w:tc>
      </w:tr>
      <w:tr w:rsidR="00A615CE" w:rsidRPr="007F4CDD" w14:paraId="1DE8501E" w14:textId="77777777" w:rsidTr="007F4CDD">
        <w:trPr>
          <w:cantSplit/>
        </w:trPr>
        <w:tc>
          <w:tcPr>
            <w:tcW w:w="14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3939222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F5A0076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  <w:highlight w:val="yellow"/>
                <w:lang w:val="fr-CH"/>
              </w:rPr>
            </w:pPr>
            <w:r w:rsidRPr="007F4CDD">
              <w:rPr>
                <w:rFonts w:asciiTheme="majorBidi" w:hAnsiTheme="majorBidi" w:cstheme="majorBidi"/>
                <w:lang w:val="fr-CH"/>
              </w:rPr>
              <w:t>Dao Tian</w:t>
            </w:r>
            <w:r w:rsidRPr="007F4CDD">
              <w:rPr>
                <w:rFonts w:asciiTheme="majorBidi" w:hAnsiTheme="majorBidi" w:cstheme="majorBidi"/>
                <w:highlight w:val="yellow"/>
                <w:lang w:val="fr-CH"/>
              </w:rPr>
              <w:br/>
            </w:r>
            <w:r w:rsidRPr="007F4CDD">
              <w:rPr>
                <w:rFonts w:asciiTheme="majorBidi" w:hAnsiTheme="majorBidi" w:cstheme="majorBidi"/>
                <w:lang w:val="fr-CH"/>
              </w:rPr>
              <w:t>Associate rapporteur, RG-IES</w:t>
            </w:r>
            <w:r w:rsidRPr="007F4CDD">
              <w:rPr>
                <w:rFonts w:asciiTheme="majorBidi" w:hAnsiTheme="majorBidi" w:cstheme="majorBidi"/>
                <w:highlight w:val="yellow"/>
                <w:lang w:val="fr-CH"/>
              </w:rPr>
              <w:br/>
            </w:r>
            <w:r w:rsidRPr="007F4CDD">
              <w:rPr>
                <w:rFonts w:asciiTheme="majorBidi" w:hAnsiTheme="majorBidi" w:cstheme="majorBidi"/>
                <w:lang w:val="fr-CH"/>
              </w:rPr>
              <w:t>China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D08E1A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  <w:lang w:val="fr-CH"/>
              </w:rPr>
            </w:pPr>
            <w:proofErr w:type="gramStart"/>
            <w:r w:rsidRPr="007F4CDD">
              <w:rPr>
                <w:rFonts w:asciiTheme="majorBidi" w:hAnsiTheme="majorBidi" w:cstheme="majorBidi"/>
                <w:lang w:val="fr-CH"/>
              </w:rPr>
              <w:t>E-mail:</w:t>
            </w:r>
            <w:proofErr w:type="gramEnd"/>
            <w:r w:rsidRPr="007F4CDD">
              <w:rPr>
                <w:rFonts w:asciiTheme="majorBidi" w:hAnsiTheme="majorBidi" w:cstheme="majorBidi"/>
                <w:lang w:val="fr-CH"/>
              </w:rPr>
              <w:tab/>
            </w:r>
            <w:hyperlink r:id="rId17" w:history="1">
              <w:proofErr w:type="spellStart"/>
              <w:r w:rsidRPr="007F4CDD">
                <w:rPr>
                  <w:rStyle w:val="Hyperlink"/>
                  <w:rFonts w:asciiTheme="majorBidi" w:hAnsiTheme="majorBidi" w:cstheme="majorBidi"/>
                  <w:lang w:val="fr-CH"/>
                </w:rPr>
                <w:t>tian.dao@zte.com.cn</w:t>
              </w:r>
              <w:proofErr w:type="spellEnd"/>
            </w:hyperlink>
          </w:p>
        </w:tc>
      </w:tr>
      <w:tr w:rsidR="00A615CE" w:rsidRPr="007F4CDD" w14:paraId="619841D5" w14:textId="77777777" w:rsidTr="007F4CDD">
        <w:trPr>
          <w:cantSplit/>
        </w:trPr>
        <w:tc>
          <w:tcPr>
            <w:tcW w:w="14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564C1D" w14:textId="77777777" w:rsidR="00A615CE" w:rsidRPr="007F4CDD" w:rsidRDefault="00A615C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DB2DDBC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  <w:highlight w:val="yellow"/>
                <w:lang w:val="fr-CH"/>
              </w:rPr>
            </w:pPr>
            <w:r w:rsidRPr="007F4CDD">
              <w:rPr>
                <w:rFonts w:asciiTheme="majorBidi" w:hAnsiTheme="majorBidi" w:cstheme="majorBidi"/>
                <w:lang w:val="fr-CH"/>
              </w:rPr>
              <w:t>Julien Maisonneuve</w:t>
            </w:r>
            <w:r w:rsidRPr="007F4CDD">
              <w:rPr>
                <w:rFonts w:asciiTheme="majorBidi" w:hAnsiTheme="majorBidi" w:cstheme="majorBidi"/>
                <w:highlight w:val="yellow"/>
                <w:lang w:val="fr-CH"/>
              </w:rPr>
              <w:br/>
            </w:r>
            <w:r w:rsidRPr="007F4CDD">
              <w:rPr>
                <w:rFonts w:asciiTheme="majorBidi" w:hAnsiTheme="majorBidi" w:cstheme="majorBidi"/>
                <w:lang w:val="fr-CH"/>
              </w:rPr>
              <w:t>Associate rapporteur, RG-IES</w:t>
            </w:r>
            <w:r w:rsidRPr="007F4CDD">
              <w:rPr>
                <w:rFonts w:asciiTheme="majorBidi" w:hAnsiTheme="majorBidi" w:cstheme="majorBidi"/>
                <w:highlight w:val="yellow"/>
                <w:lang w:val="fr-CH"/>
              </w:rPr>
              <w:br/>
            </w:r>
            <w:r w:rsidRPr="007F4CDD">
              <w:rPr>
                <w:rFonts w:asciiTheme="majorBidi" w:hAnsiTheme="majorBidi" w:cstheme="majorBidi"/>
                <w:lang w:val="fr-CH"/>
              </w:rPr>
              <w:t>Finland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1F15009" w14:textId="77777777" w:rsidR="00A615CE" w:rsidRPr="007F4CDD" w:rsidRDefault="00A615CE" w:rsidP="008D1A40">
            <w:pPr>
              <w:tabs>
                <w:tab w:val="left" w:pos="794"/>
              </w:tabs>
              <w:rPr>
                <w:rFonts w:asciiTheme="majorBidi" w:hAnsiTheme="majorBidi" w:cstheme="majorBidi"/>
                <w:lang w:val="fr-CH"/>
              </w:rPr>
            </w:pPr>
            <w:proofErr w:type="gramStart"/>
            <w:r w:rsidRPr="007F4CDD">
              <w:rPr>
                <w:rFonts w:asciiTheme="majorBidi" w:hAnsiTheme="majorBidi" w:cstheme="majorBidi"/>
                <w:lang w:val="fr-CH"/>
              </w:rPr>
              <w:t>E-mail:</w:t>
            </w:r>
            <w:proofErr w:type="gramEnd"/>
            <w:r w:rsidRPr="007F4CDD">
              <w:rPr>
                <w:rFonts w:asciiTheme="majorBidi" w:hAnsiTheme="majorBidi" w:cstheme="majorBidi"/>
                <w:lang w:val="fr-CH"/>
              </w:rPr>
              <w:tab/>
            </w:r>
            <w:hyperlink r:id="rId18" w:history="1">
              <w:proofErr w:type="spellStart"/>
              <w:r w:rsidRPr="007F4CDD">
                <w:rPr>
                  <w:rStyle w:val="Hyperlink"/>
                  <w:rFonts w:asciiTheme="majorBidi" w:hAnsiTheme="majorBidi" w:cstheme="majorBidi"/>
                  <w:lang w:val="fr-CH"/>
                </w:rPr>
                <w:t>julien.maisonneuve@nokia.com</w:t>
              </w:r>
              <w:proofErr w:type="spellEnd"/>
            </w:hyperlink>
          </w:p>
        </w:tc>
      </w:tr>
      <w:tr w:rsidR="0050126E" w:rsidRPr="007F4CDD" w14:paraId="31FEA8C4" w14:textId="77777777" w:rsidTr="007F4CDD">
        <w:trPr>
          <w:cantSplit/>
        </w:trPr>
        <w:tc>
          <w:tcPr>
            <w:tcW w:w="1400" w:type="dxa"/>
            <w:gridSpan w:val="2"/>
          </w:tcPr>
          <w:p w14:paraId="6E23257D" w14:textId="77777777" w:rsidR="0050126E" w:rsidRPr="007F4CDD" w:rsidRDefault="0050126E" w:rsidP="008D1A40">
            <w:pPr>
              <w:rPr>
                <w:rFonts w:asciiTheme="majorBidi" w:hAnsiTheme="majorBidi" w:cstheme="majorBidi"/>
                <w:b/>
                <w:bCs/>
              </w:rPr>
            </w:pPr>
            <w:r w:rsidRPr="007F4CDD">
              <w:rPr>
                <w:rFonts w:asciiTheme="majorBidi" w:hAnsiTheme="majorBidi" w:cstheme="majorBidi"/>
                <w:b/>
                <w:bCs/>
              </w:rPr>
              <w:t>Abstract:</w:t>
            </w:r>
          </w:p>
        </w:tc>
        <w:tc>
          <w:tcPr>
            <w:tcW w:w="8239" w:type="dxa"/>
            <w:gridSpan w:val="4"/>
          </w:tcPr>
          <w:p w14:paraId="55622A54" w14:textId="77777777" w:rsidR="0050126E" w:rsidRPr="007F4CDD" w:rsidRDefault="0050126E" w:rsidP="008D1A40">
            <w:pPr>
              <w:pStyle w:val="TSBHeaderSummary"/>
              <w:rPr>
                <w:rFonts w:asciiTheme="majorBidi" w:hAnsiTheme="majorBidi" w:cstheme="majorBidi"/>
                <w:highlight w:val="yellow"/>
              </w:rPr>
            </w:pPr>
            <w:r w:rsidRPr="007F4CDD">
              <w:rPr>
                <w:rFonts w:asciiTheme="majorBidi" w:hAnsiTheme="majorBidi" w:cstheme="majorBidi"/>
              </w:rPr>
              <w:t xml:space="preserve">In response to the liaison statement from ITU CWG-SFP issued in January 2026 on Outcomes of the fourth meeting of CWG-SFP, TSAG acknowledges the amendments made by CWG-SFP for Priority #2. </w:t>
            </w:r>
          </w:p>
        </w:tc>
      </w:tr>
    </w:tbl>
    <w:p w14:paraId="3E98AC6B" w14:textId="77777777" w:rsidR="00EA18E0" w:rsidRPr="007F4CDD" w:rsidRDefault="00EA18E0" w:rsidP="005C3581">
      <w:pPr>
        <w:jc w:val="both"/>
        <w:rPr>
          <w:rFonts w:asciiTheme="majorBidi" w:hAnsiTheme="majorBidi" w:cstheme="majorBidi"/>
        </w:rPr>
      </w:pPr>
    </w:p>
    <w:p w14:paraId="3926942A" w14:textId="6B949803" w:rsidR="005C3581" w:rsidRPr="007F4CDD" w:rsidRDefault="00EA18E0" w:rsidP="007F4CDD">
      <w:pPr>
        <w:jc w:val="both"/>
        <w:rPr>
          <w:rFonts w:asciiTheme="majorBidi" w:hAnsiTheme="majorBidi" w:cstheme="majorBidi"/>
        </w:rPr>
      </w:pPr>
      <w:r w:rsidRPr="007F4CDD">
        <w:rPr>
          <w:rFonts w:asciiTheme="majorBidi" w:hAnsiTheme="majorBidi" w:cstheme="majorBidi"/>
        </w:rPr>
        <w:t>T</w:t>
      </w:r>
      <w:r w:rsidR="005C3581" w:rsidRPr="007F4CDD">
        <w:rPr>
          <w:rFonts w:asciiTheme="majorBidi" w:hAnsiTheme="majorBidi" w:cstheme="majorBidi"/>
        </w:rPr>
        <w:t xml:space="preserve">elecommunication Standardization Advisory Group (TSAG) would like to thank the Council Working Group for Strategic and Financial Plans (CWG-SFP) for the liaison statement on outcomes of the fourth CWG-SFP meeting (our </w:t>
      </w:r>
      <w:hyperlink r:id="rId19" w:tgtFrame="_blank" w:history="1">
        <w:r w:rsidR="005C3581" w:rsidRPr="007F4CDD">
          <w:rPr>
            <w:rStyle w:val="Hyperlink"/>
            <w:rFonts w:asciiTheme="majorBidi" w:hAnsiTheme="majorBidi" w:cstheme="majorBidi"/>
          </w:rPr>
          <w:t>TSAG-TD303</w:t>
        </w:r>
      </w:hyperlink>
      <w:r w:rsidR="005C3581" w:rsidRPr="007F4CDD">
        <w:rPr>
          <w:rFonts w:asciiTheme="majorBidi" w:hAnsiTheme="majorBidi" w:cstheme="majorBidi"/>
        </w:rPr>
        <w:t xml:space="preserve">, your </w:t>
      </w:r>
      <w:hyperlink r:id="rId20" w:history="1">
        <w:r w:rsidR="005C3581" w:rsidRPr="007F4CDD">
          <w:rPr>
            <w:rStyle w:val="Hyperlink"/>
            <w:rFonts w:asciiTheme="majorBidi" w:hAnsiTheme="majorBidi" w:cstheme="majorBidi"/>
          </w:rPr>
          <w:t>CWG-SFP-4/15</w:t>
        </w:r>
      </w:hyperlink>
      <w:r w:rsidR="005C3581" w:rsidRPr="007F4CDD">
        <w:rPr>
          <w:rFonts w:asciiTheme="majorBidi" w:hAnsiTheme="majorBidi" w:cstheme="majorBidi"/>
        </w:rPr>
        <w:t xml:space="preserve">). </w:t>
      </w:r>
    </w:p>
    <w:p w14:paraId="180EE9D9" w14:textId="77777777" w:rsidR="005C3581" w:rsidRPr="007F4CDD" w:rsidRDefault="005C3581" w:rsidP="007F4CDD">
      <w:pPr>
        <w:jc w:val="both"/>
        <w:rPr>
          <w:rFonts w:asciiTheme="majorBidi" w:hAnsiTheme="majorBidi" w:cstheme="majorBidi"/>
          <w:color w:val="000000"/>
        </w:rPr>
      </w:pPr>
      <w:r w:rsidRPr="007F4CDD">
        <w:rPr>
          <w:rFonts w:asciiTheme="majorBidi" w:hAnsiTheme="majorBidi" w:cstheme="majorBidi"/>
          <w:color w:val="000000"/>
        </w:rPr>
        <w:t>TSAG has reviewed the modifications proposed by the CWG-SFP meetings. Following this evaluation, TSAG has accepted the changes made by CWG-SFP concerning Priority #2.</w:t>
      </w:r>
    </w:p>
    <w:p w14:paraId="0F2DF477" w14:textId="77777777" w:rsidR="005C3581" w:rsidRPr="007F4CDD" w:rsidRDefault="005C3581" w:rsidP="007F4CDD">
      <w:pPr>
        <w:jc w:val="both"/>
        <w:rPr>
          <w:rFonts w:asciiTheme="majorBidi" w:eastAsia="MS Mincho" w:hAnsiTheme="majorBidi" w:cstheme="majorBidi"/>
        </w:rPr>
      </w:pPr>
      <w:r w:rsidRPr="007F4CDD">
        <w:rPr>
          <w:rFonts w:asciiTheme="majorBidi" w:eastAsia="MS Mincho" w:hAnsiTheme="majorBidi" w:cstheme="majorBidi"/>
        </w:rPr>
        <w:t>TSAG would like to thank the CWG-SFP for the diligent work. We remain at your disposal for any future discussion on this topic.</w:t>
      </w:r>
    </w:p>
    <w:p w14:paraId="162974E2" w14:textId="77777777" w:rsidR="00233D88" w:rsidRPr="007F4CDD" w:rsidRDefault="00233D88" w:rsidP="0032202E">
      <w:pPr>
        <w:pStyle w:val="Reasons"/>
        <w:rPr>
          <w:rFonts w:asciiTheme="majorBidi" w:hAnsiTheme="majorBidi" w:cstheme="majorBidi"/>
          <w:lang w:val="en-GB"/>
        </w:rPr>
      </w:pPr>
    </w:p>
    <w:p w14:paraId="4F75BB6C" w14:textId="77777777" w:rsidR="00233D88" w:rsidRDefault="00233D88">
      <w:pPr>
        <w:jc w:val="center"/>
      </w:pPr>
      <w:r>
        <w:t>______________</w:t>
      </w:r>
      <w:bookmarkEnd w:id="5"/>
      <w:bookmarkEnd w:id="10"/>
    </w:p>
    <w:sectPr w:rsidR="00233D88" w:rsidSect="00AD3606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7381" w14:textId="77777777" w:rsidR="00E37208" w:rsidRDefault="00E37208">
      <w:r>
        <w:separator/>
      </w:r>
    </w:p>
  </w:endnote>
  <w:endnote w:type="continuationSeparator" w:id="0">
    <w:p w14:paraId="69690332" w14:textId="77777777" w:rsidR="00E37208" w:rsidRDefault="00E3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7F51C22" w:rsidR="00EE49E8" w:rsidRPr="00E06FD5" w:rsidRDefault="00EE49E8" w:rsidP="00630B6A">
          <w:pPr>
            <w:pStyle w:val="Header"/>
            <w:tabs>
              <w:tab w:val="left" w:pos="631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630B6A">
            <w:rPr>
              <w:bCs/>
            </w:rPr>
            <w:t>4</w:t>
          </w:r>
          <w:r w:rsidR="00A52C84" w:rsidRPr="00623AE3">
            <w:rPr>
              <w:bCs/>
            </w:rPr>
            <w:t>/</w:t>
          </w:r>
          <w:r w:rsidR="00E45530">
            <w:rPr>
              <w:bCs/>
            </w:rPr>
            <w:t>6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3F6EA3A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630B6A">
              <w:rPr>
                <w:rStyle w:val="Hyperlink"/>
              </w:rPr>
              <w:t>council.itu.int</w:t>
            </w:r>
            <w:proofErr w:type="spellEnd"/>
            <w:r w:rsidRPr="00630B6A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1C8A9C70" w:rsidR="00EE49E8" w:rsidRPr="00E06FD5" w:rsidRDefault="00EE49E8" w:rsidP="00630B6A">
          <w:pPr>
            <w:pStyle w:val="Header"/>
            <w:tabs>
              <w:tab w:val="left" w:pos="50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E45530">
            <w:rPr>
              <w:bCs/>
            </w:rPr>
            <w:t>5</w:t>
          </w:r>
          <w:r w:rsidRPr="00623AE3">
            <w:rPr>
              <w:bCs/>
            </w:rPr>
            <w:t>/</w:t>
          </w:r>
          <w:r w:rsidR="00E45530">
            <w:rPr>
              <w:bCs/>
            </w:rPr>
            <w:t>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93B3" w14:textId="77777777" w:rsidR="00E37208" w:rsidRDefault="00E37208">
      <w:r>
        <w:t>____________________</w:t>
      </w:r>
    </w:p>
  </w:footnote>
  <w:footnote w:type="continuationSeparator" w:id="0">
    <w:p w14:paraId="4B96BD2D" w14:textId="77777777" w:rsidR="00E37208" w:rsidRDefault="00E3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6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23B7B78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6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0DE7C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0C088BD2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630B6A">
                            <w:rPr>
                              <w:sz w:val="20"/>
                            </w:rPr>
                            <w:t>F</w:t>
                          </w:r>
                          <w:r w:rsidR="005E6BE4">
                            <w:rPr>
                              <w:sz w:val="20"/>
                            </w:rPr>
                            <w:t>ifth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5E6BE4">
                            <w:rPr>
                              <w:sz w:val="20"/>
                            </w:rPr>
                            <w:t xml:space="preserve">27 April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630B6A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0C088BD2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630B6A">
                      <w:rPr>
                        <w:sz w:val="20"/>
                      </w:rPr>
                      <w:t>F</w:t>
                    </w:r>
                    <w:r w:rsidR="005E6BE4">
                      <w:rPr>
                        <w:sz w:val="20"/>
                      </w:rPr>
                      <w:t>ifth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5E6BE4">
                      <w:rPr>
                        <w:sz w:val="20"/>
                      </w:rPr>
                      <w:t xml:space="preserve">27 April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630B6A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6606CC"/>
    <w:multiLevelType w:val="hybridMultilevel"/>
    <w:tmpl w:val="FC7EF826"/>
    <w:lvl w:ilvl="0" w:tplc="66E6FA4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56F37"/>
    <w:multiLevelType w:val="hybridMultilevel"/>
    <w:tmpl w:val="A328BC1C"/>
    <w:lvl w:ilvl="0" w:tplc="384E9B9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C2456"/>
    <w:multiLevelType w:val="hybridMultilevel"/>
    <w:tmpl w:val="5DEA44B8"/>
    <w:lvl w:ilvl="0" w:tplc="2CB0B0AC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960AA"/>
    <w:multiLevelType w:val="hybridMultilevel"/>
    <w:tmpl w:val="B6AEBF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570D"/>
    <w:multiLevelType w:val="hybridMultilevel"/>
    <w:tmpl w:val="A86472B2"/>
    <w:lvl w:ilvl="0" w:tplc="4B2AE49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2033459099">
    <w:abstractNumId w:val="5"/>
  </w:num>
  <w:num w:numId="3" w16cid:durableId="1037975357">
    <w:abstractNumId w:val="1"/>
  </w:num>
  <w:num w:numId="4" w16cid:durableId="2105765805">
    <w:abstractNumId w:val="3"/>
  </w:num>
  <w:num w:numId="5" w16cid:durableId="587661860">
    <w:abstractNumId w:val="4"/>
  </w:num>
  <w:num w:numId="6" w16cid:durableId="25948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15DA"/>
    <w:rsid w:val="00063016"/>
    <w:rsid w:val="00066795"/>
    <w:rsid w:val="0007353B"/>
    <w:rsid w:val="00076AF6"/>
    <w:rsid w:val="000845BC"/>
    <w:rsid w:val="00085CF2"/>
    <w:rsid w:val="000908F5"/>
    <w:rsid w:val="000A7E01"/>
    <w:rsid w:val="000B1705"/>
    <w:rsid w:val="000D6585"/>
    <w:rsid w:val="000D75B2"/>
    <w:rsid w:val="001121F5"/>
    <w:rsid w:val="00113D5E"/>
    <w:rsid w:val="001301E3"/>
    <w:rsid w:val="00130599"/>
    <w:rsid w:val="001400DC"/>
    <w:rsid w:val="00140CE1"/>
    <w:rsid w:val="001751FF"/>
    <w:rsid w:val="0017539C"/>
    <w:rsid w:val="00175AC2"/>
    <w:rsid w:val="0017609F"/>
    <w:rsid w:val="0018473F"/>
    <w:rsid w:val="0019628A"/>
    <w:rsid w:val="001A7D1D"/>
    <w:rsid w:val="001B51DD"/>
    <w:rsid w:val="001C090F"/>
    <w:rsid w:val="001C628E"/>
    <w:rsid w:val="001E0F7B"/>
    <w:rsid w:val="001E0FBE"/>
    <w:rsid w:val="001E4B54"/>
    <w:rsid w:val="001F5604"/>
    <w:rsid w:val="002119FD"/>
    <w:rsid w:val="002130E0"/>
    <w:rsid w:val="00215A2C"/>
    <w:rsid w:val="00233D88"/>
    <w:rsid w:val="002404ED"/>
    <w:rsid w:val="00244F7F"/>
    <w:rsid w:val="002474E7"/>
    <w:rsid w:val="00260ACE"/>
    <w:rsid w:val="00261A20"/>
    <w:rsid w:val="00264425"/>
    <w:rsid w:val="00265875"/>
    <w:rsid w:val="0027303B"/>
    <w:rsid w:val="0028109B"/>
    <w:rsid w:val="00292F7C"/>
    <w:rsid w:val="002A2188"/>
    <w:rsid w:val="002B1F58"/>
    <w:rsid w:val="002C1C7A"/>
    <w:rsid w:val="002C54E2"/>
    <w:rsid w:val="0030088D"/>
    <w:rsid w:val="0030160F"/>
    <w:rsid w:val="00312404"/>
    <w:rsid w:val="00320223"/>
    <w:rsid w:val="00322D0D"/>
    <w:rsid w:val="00361465"/>
    <w:rsid w:val="00383008"/>
    <w:rsid w:val="003877F5"/>
    <w:rsid w:val="003942D4"/>
    <w:rsid w:val="003958A8"/>
    <w:rsid w:val="003C2533"/>
    <w:rsid w:val="003D55B9"/>
    <w:rsid w:val="003D5A7F"/>
    <w:rsid w:val="003E1030"/>
    <w:rsid w:val="004016E2"/>
    <w:rsid w:val="0040435A"/>
    <w:rsid w:val="00412F2C"/>
    <w:rsid w:val="00416A24"/>
    <w:rsid w:val="00422C60"/>
    <w:rsid w:val="00431D9E"/>
    <w:rsid w:val="00433CE8"/>
    <w:rsid w:val="00434A5C"/>
    <w:rsid w:val="004544D9"/>
    <w:rsid w:val="00456A5C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50126E"/>
    <w:rsid w:val="0050223C"/>
    <w:rsid w:val="005243FF"/>
    <w:rsid w:val="00564FBC"/>
    <w:rsid w:val="005800BC"/>
    <w:rsid w:val="00582442"/>
    <w:rsid w:val="005955F7"/>
    <w:rsid w:val="005A335D"/>
    <w:rsid w:val="005C3581"/>
    <w:rsid w:val="005E03D9"/>
    <w:rsid w:val="005E2BD5"/>
    <w:rsid w:val="005E6BE4"/>
    <w:rsid w:val="005F3269"/>
    <w:rsid w:val="00623AE3"/>
    <w:rsid w:val="0062776A"/>
    <w:rsid w:val="00627E4F"/>
    <w:rsid w:val="00630B6A"/>
    <w:rsid w:val="00634501"/>
    <w:rsid w:val="00636D8C"/>
    <w:rsid w:val="00640688"/>
    <w:rsid w:val="0064737F"/>
    <w:rsid w:val="006535F1"/>
    <w:rsid w:val="0065557D"/>
    <w:rsid w:val="00660D50"/>
    <w:rsid w:val="00662984"/>
    <w:rsid w:val="006716BB"/>
    <w:rsid w:val="00676C7D"/>
    <w:rsid w:val="006A74E7"/>
    <w:rsid w:val="006B1813"/>
    <w:rsid w:val="006B1859"/>
    <w:rsid w:val="006B6680"/>
    <w:rsid w:val="006B6DCC"/>
    <w:rsid w:val="00702DEF"/>
    <w:rsid w:val="00706861"/>
    <w:rsid w:val="007159EA"/>
    <w:rsid w:val="00737934"/>
    <w:rsid w:val="0075051B"/>
    <w:rsid w:val="00762EC2"/>
    <w:rsid w:val="00775655"/>
    <w:rsid w:val="0079039C"/>
    <w:rsid w:val="00793188"/>
    <w:rsid w:val="00794D34"/>
    <w:rsid w:val="007D4CED"/>
    <w:rsid w:val="007F4CDD"/>
    <w:rsid w:val="007F69C7"/>
    <w:rsid w:val="00813E5E"/>
    <w:rsid w:val="00832F86"/>
    <w:rsid w:val="0083581B"/>
    <w:rsid w:val="00845312"/>
    <w:rsid w:val="0084624C"/>
    <w:rsid w:val="00863874"/>
    <w:rsid w:val="00864AFF"/>
    <w:rsid w:val="00865925"/>
    <w:rsid w:val="00886A73"/>
    <w:rsid w:val="00891503"/>
    <w:rsid w:val="008964B4"/>
    <w:rsid w:val="008B4A6A"/>
    <w:rsid w:val="008C7E27"/>
    <w:rsid w:val="008E1DD5"/>
    <w:rsid w:val="008F7448"/>
    <w:rsid w:val="0090147A"/>
    <w:rsid w:val="009173EF"/>
    <w:rsid w:val="00932906"/>
    <w:rsid w:val="00933D5C"/>
    <w:rsid w:val="00961B0B"/>
    <w:rsid w:val="00962D33"/>
    <w:rsid w:val="00971C28"/>
    <w:rsid w:val="009B2D4B"/>
    <w:rsid w:val="009B38C3"/>
    <w:rsid w:val="009C253A"/>
    <w:rsid w:val="009D5114"/>
    <w:rsid w:val="009E17BD"/>
    <w:rsid w:val="009E485A"/>
    <w:rsid w:val="009F347C"/>
    <w:rsid w:val="00A04CEC"/>
    <w:rsid w:val="00A27F92"/>
    <w:rsid w:val="00A32257"/>
    <w:rsid w:val="00A34664"/>
    <w:rsid w:val="00A36D20"/>
    <w:rsid w:val="00A467DF"/>
    <w:rsid w:val="00A514A4"/>
    <w:rsid w:val="00A52C84"/>
    <w:rsid w:val="00A55622"/>
    <w:rsid w:val="00A615CE"/>
    <w:rsid w:val="00A83502"/>
    <w:rsid w:val="00A94376"/>
    <w:rsid w:val="00AD15B3"/>
    <w:rsid w:val="00AD2F5E"/>
    <w:rsid w:val="00AD35A5"/>
    <w:rsid w:val="00AD3606"/>
    <w:rsid w:val="00AD4A3D"/>
    <w:rsid w:val="00AF6E49"/>
    <w:rsid w:val="00B04A67"/>
    <w:rsid w:val="00B0583C"/>
    <w:rsid w:val="00B358B2"/>
    <w:rsid w:val="00B40A81"/>
    <w:rsid w:val="00B44910"/>
    <w:rsid w:val="00B66E6A"/>
    <w:rsid w:val="00B72267"/>
    <w:rsid w:val="00B76EB6"/>
    <w:rsid w:val="00B7737B"/>
    <w:rsid w:val="00B824C8"/>
    <w:rsid w:val="00B84B9D"/>
    <w:rsid w:val="00BC251A"/>
    <w:rsid w:val="00BD032B"/>
    <w:rsid w:val="00BD1693"/>
    <w:rsid w:val="00BE2640"/>
    <w:rsid w:val="00BF027A"/>
    <w:rsid w:val="00C01189"/>
    <w:rsid w:val="00C06DB6"/>
    <w:rsid w:val="00C37176"/>
    <w:rsid w:val="00C3720A"/>
    <w:rsid w:val="00C374DE"/>
    <w:rsid w:val="00C47AD4"/>
    <w:rsid w:val="00C52D81"/>
    <w:rsid w:val="00C55198"/>
    <w:rsid w:val="00C919BC"/>
    <w:rsid w:val="00CA5714"/>
    <w:rsid w:val="00CA6393"/>
    <w:rsid w:val="00CA7CB8"/>
    <w:rsid w:val="00CB18FF"/>
    <w:rsid w:val="00CC6942"/>
    <w:rsid w:val="00CD0C08"/>
    <w:rsid w:val="00CD6144"/>
    <w:rsid w:val="00CE03FB"/>
    <w:rsid w:val="00CE3C84"/>
    <w:rsid w:val="00CE433C"/>
    <w:rsid w:val="00CF0161"/>
    <w:rsid w:val="00CF33F3"/>
    <w:rsid w:val="00CF7E1F"/>
    <w:rsid w:val="00D06183"/>
    <w:rsid w:val="00D22C42"/>
    <w:rsid w:val="00D27E7E"/>
    <w:rsid w:val="00D464CC"/>
    <w:rsid w:val="00D53C61"/>
    <w:rsid w:val="00D64DA6"/>
    <w:rsid w:val="00D65041"/>
    <w:rsid w:val="00DB00D5"/>
    <w:rsid w:val="00DB1936"/>
    <w:rsid w:val="00DB384B"/>
    <w:rsid w:val="00DB4AF7"/>
    <w:rsid w:val="00DF0189"/>
    <w:rsid w:val="00E03C3D"/>
    <w:rsid w:val="00E06FD5"/>
    <w:rsid w:val="00E10E80"/>
    <w:rsid w:val="00E124F0"/>
    <w:rsid w:val="00E227F3"/>
    <w:rsid w:val="00E37208"/>
    <w:rsid w:val="00E45530"/>
    <w:rsid w:val="00E545C6"/>
    <w:rsid w:val="00E603AE"/>
    <w:rsid w:val="00E60F04"/>
    <w:rsid w:val="00E65B24"/>
    <w:rsid w:val="00E854E4"/>
    <w:rsid w:val="00E86DBF"/>
    <w:rsid w:val="00EA18E0"/>
    <w:rsid w:val="00EB0ACD"/>
    <w:rsid w:val="00EB0D6F"/>
    <w:rsid w:val="00EB2232"/>
    <w:rsid w:val="00EC5337"/>
    <w:rsid w:val="00EC6A52"/>
    <w:rsid w:val="00ED454D"/>
    <w:rsid w:val="00EE49E8"/>
    <w:rsid w:val="00EE5F44"/>
    <w:rsid w:val="00EF7BCB"/>
    <w:rsid w:val="00F008D2"/>
    <w:rsid w:val="00F07A0B"/>
    <w:rsid w:val="00F16BAB"/>
    <w:rsid w:val="00F2150A"/>
    <w:rsid w:val="00F231D8"/>
    <w:rsid w:val="00F264CE"/>
    <w:rsid w:val="00F44C00"/>
    <w:rsid w:val="00F45D2C"/>
    <w:rsid w:val="00F46C5F"/>
    <w:rsid w:val="00F558AC"/>
    <w:rsid w:val="00F632C0"/>
    <w:rsid w:val="00F74694"/>
    <w:rsid w:val="00F81334"/>
    <w:rsid w:val="00F947F0"/>
    <w:rsid w:val="00F94A63"/>
    <w:rsid w:val="00FA1C28"/>
    <w:rsid w:val="00FB1279"/>
    <w:rsid w:val="00FB6B76"/>
    <w:rsid w:val="00FB7596"/>
    <w:rsid w:val="00FC0BBC"/>
    <w:rsid w:val="00FC4E1C"/>
    <w:rsid w:val="00FD7016"/>
    <w:rsid w:val="00FE4077"/>
    <w:rsid w:val="00FE500D"/>
    <w:rsid w:val="00FE77D2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111BBCDF-F9F1-489B-8E2E-6F08B877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qFormat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15DA"/>
    <w:rPr>
      <w:color w:val="666666"/>
    </w:rPr>
  </w:style>
  <w:style w:type="character" w:customStyle="1" w:styleId="normaltextrun">
    <w:name w:val="normaltextrun"/>
    <w:basedOn w:val="DefaultParagraphFont"/>
    <w:rsid w:val="00CD6144"/>
  </w:style>
  <w:style w:type="character" w:customStyle="1" w:styleId="href">
    <w:name w:val="href"/>
    <w:basedOn w:val="DefaultParagraphFont"/>
    <w:rsid w:val="00B66E6A"/>
    <w:rPr>
      <w:color w:val="auto"/>
    </w:rPr>
  </w:style>
  <w:style w:type="character" w:styleId="CommentReference">
    <w:name w:val="annotation reference"/>
    <w:basedOn w:val="DefaultParagraphFont"/>
    <w:semiHidden/>
    <w:unhideWhenUsed/>
    <w:rsid w:val="00B66E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E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6E6A"/>
    <w:rPr>
      <w:rFonts w:ascii="Calibri" w:hAnsi="Calibri"/>
      <w:lang w:val="en-GB" w:eastAsia="en-US"/>
    </w:rPr>
  </w:style>
  <w:style w:type="paragraph" w:customStyle="1" w:styleId="TSBHeaderSummary">
    <w:name w:val="TSBHeaderSummary"/>
    <w:basedOn w:val="Normal"/>
    <w:rsid w:val="00886A7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86A7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ind w:left="720"/>
      <w:contextualSpacing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customStyle="1" w:styleId="Reasons">
    <w:name w:val="Reasons"/>
    <w:basedOn w:val="Normal"/>
    <w:qFormat/>
    <w:rsid w:val="00233D8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Docnumber">
    <w:name w:val="Docnumber"/>
    <w:basedOn w:val="Normal"/>
    <w:link w:val="DocnumberChar"/>
    <w:qFormat/>
    <w:rsid w:val="00A615C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A615CE"/>
    <w:rPr>
      <w:rFonts w:ascii="Times New Roman" w:eastAsia="SimSun" w:hAnsi="Times New Roman"/>
      <w:b/>
      <w:sz w:val="32"/>
      <w:lang w:val="en-GB" w:eastAsia="en-US"/>
    </w:rPr>
  </w:style>
  <w:style w:type="paragraph" w:customStyle="1" w:styleId="LSDeadline">
    <w:name w:val="LSDeadline"/>
    <w:basedOn w:val="LSForAction"/>
    <w:next w:val="Normal"/>
    <w:rsid w:val="00A615CE"/>
    <w:rPr>
      <w:bCs w:val="0"/>
    </w:rPr>
  </w:style>
  <w:style w:type="paragraph" w:customStyle="1" w:styleId="LSForAction">
    <w:name w:val="LSForAction"/>
    <w:basedOn w:val="Normal"/>
    <w:rsid w:val="00A615C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rFonts w:ascii="Times New Roman" w:hAnsi="Times New Roman"/>
      <w:bCs/>
    </w:rPr>
  </w:style>
  <w:style w:type="paragraph" w:customStyle="1" w:styleId="LSForInfo">
    <w:name w:val="LSForInfo"/>
    <w:basedOn w:val="LSForAction"/>
    <w:next w:val="Normal"/>
    <w:rsid w:val="00A615CE"/>
  </w:style>
  <w:style w:type="paragraph" w:customStyle="1" w:styleId="LSApproval">
    <w:name w:val="LSApproval"/>
    <w:basedOn w:val="Normal"/>
    <w:rsid w:val="00A615C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bCs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mailto:julien.maisonneuve@nokia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CL-C-0139/en" TargetMode="External"/><Relationship Id="rId17" Type="http://schemas.openxmlformats.org/officeDocument/2006/relationships/hyperlink" Target="mailto:tian.dao@zte.com.c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ruce.gracie@ericsson.com" TargetMode="External"/><Relationship Id="rId20" Type="http://schemas.openxmlformats.org/officeDocument/2006/relationships/hyperlink" Target="https://www.itu.int/md/S26-CWGSFP4-C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SFP-2028-2031/Pages/default.asp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cott.mansfield@ericsson.c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itu.int/md/meetingdoc.asp?lang=en&amp;parent=T25-TSAG-260126-TD-GEN-030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AG-260126-TD-GEN-0320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6a32a9e747222e33a64f7648b39be70d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8e2308d1675b6b9f92fc3012c2652fe1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33AE0-85BB-4960-87ED-68C22129C7CA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cb5c4e96-d2fa-4fb5-b842-8bb7a9e662f3"/>
    <ds:schemaRef ds:uri="http://schemas.microsoft.com/office/infopath/2007/PartnerControls"/>
    <ds:schemaRef ds:uri="http://schemas.openxmlformats.org/package/2006/metadata/core-properties"/>
    <ds:schemaRef ds:uri="6524ed65-50c7-4fb3-9954-e6cb51bee540"/>
  </ds:schemaRefs>
</ds:datastoreItem>
</file>

<file path=customXml/itemProps3.xml><?xml version="1.0" encoding="utf-8"?>
<ds:datastoreItem xmlns:ds="http://schemas.openxmlformats.org/officeDocument/2006/customXml" ds:itemID="{4D53521C-4727-4018-844F-3125ADD8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CA77D-D204-400F-90A5-9A3FB009B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2602</Characters>
  <Application>Microsoft Office Word</Application>
  <DocSecurity>0</DocSecurity>
  <Lines>289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to the Council Working Group for strategic and financial plans 2028-2031</vt:lpstr>
    </vt:vector>
  </TitlesOfParts>
  <Manager/>
  <Company/>
  <LinksUpToDate>false</LinksUpToDate>
  <CharactersWithSpaces>2739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to the Council Working Group for strategic and financial plans 2028-2031</dc:title>
  <dc:subject>ITU Council Working Group on Financial and Human Resources</dc:subject>
  <cp:keywords>CWG-SFP; Council-26; C26</cp:keywords>
  <dc:description/>
  <dcterms:created xsi:type="dcterms:W3CDTF">2026-04-14T12:07:00Z</dcterms:created>
  <dcterms:modified xsi:type="dcterms:W3CDTF">2026-04-14T12:19:00Z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6caf5121-f2ae-40bb-ab58-c6da6554d442</vt:lpwstr>
  </property>
  <property fmtid="{D5CDD505-2E9C-101B-9397-08002B2CF9AE}" pid="3" name="ContentTypeId">
    <vt:lpwstr>0x0101005F2146B739B54F40B714F2E60E92A517</vt:lpwstr>
  </property>
  <property fmtid="{D5CDD505-2E9C-101B-9397-08002B2CF9AE}" pid="4" name="MediaServiceImageTags">
    <vt:lpwstr/>
  </property>
</Properties>
</file>