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AE2C6C" w14:paraId="0043AC80" w14:textId="77777777" w:rsidTr="0BDA5CBC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AE2C6C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337E4171" w:rsidR="00AD3606" w:rsidRPr="00AE2C6C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AE2C6C">
              <w:rPr>
                <w:b/>
              </w:rPr>
              <w:t>Document C</w:t>
            </w:r>
            <w:r w:rsidR="00A52C84" w:rsidRPr="00AE2C6C">
              <w:rPr>
                <w:b/>
              </w:rPr>
              <w:t>WG-</w:t>
            </w:r>
            <w:r w:rsidR="00F264CE" w:rsidRPr="00AE2C6C">
              <w:rPr>
                <w:b/>
              </w:rPr>
              <w:t>SFP-</w:t>
            </w:r>
            <w:r w:rsidR="00EB30FD" w:rsidRPr="00AE2C6C">
              <w:rPr>
                <w:b/>
              </w:rPr>
              <w:t>5</w:t>
            </w:r>
            <w:r w:rsidR="008D3D71" w:rsidRPr="00AE2C6C">
              <w:rPr>
                <w:b/>
              </w:rPr>
              <w:t>/</w:t>
            </w:r>
            <w:r w:rsidR="00042F5B" w:rsidRPr="00AE2C6C">
              <w:rPr>
                <w:b/>
              </w:rPr>
              <w:t>5</w:t>
            </w:r>
          </w:p>
        </w:tc>
      </w:tr>
      <w:tr w:rsidR="00AD3606" w:rsidRPr="00AE2C6C" w14:paraId="789B45BA" w14:textId="77777777" w:rsidTr="0BDA5CBC">
        <w:trPr>
          <w:cantSplit/>
        </w:trPr>
        <w:tc>
          <w:tcPr>
            <w:tcW w:w="3969" w:type="dxa"/>
            <w:vMerge/>
          </w:tcPr>
          <w:p w14:paraId="3F3D4E17" w14:textId="77777777" w:rsidR="00AD3606" w:rsidRPr="00AE2C6C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05C70AD3" w:rsidR="00AD3606" w:rsidRPr="00AE2C6C" w:rsidRDefault="00042F5B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AE2C6C">
              <w:rPr>
                <w:b/>
              </w:rPr>
              <w:t>14</w:t>
            </w:r>
            <w:r w:rsidR="008D3D71" w:rsidRPr="00AE2C6C">
              <w:rPr>
                <w:b/>
              </w:rPr>
              <w:t xml:space="preserve"> April 2026</w:t>
            </w:r>
          </w:p>
        </w:tc>
      </w:tr>
      <w:tr w:rsidR="00AD3606" w:rsidRPr="00AE2C6C" w14:paraId="58A84C4A" w14:textId="77777777" w:rsidTr="0BDA5CBC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AE2C6C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21480245" w:rsidR="00AD3606" w:rsidRPr="00AE2C6C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AE2C6C">
              <w:rPr>
                <w:b/>
              </w:rPr>
              <w:t>English</w:t>
            </w:r>
            <w:r w:rsidR="009B2D4B" w:rsidRPr="00AE2C6C">
              <w:rPr>
                <w:b/>
              </w:rPr>
              <w:t xml:space="preserve"> only</w:t>
            </w:r>
          </w:p>
        </w:tc>
      </w:tr>
      <w:tr w:rsidR="00472BAD" w:rsidRPr="00AE2C6C" w14:paraId="12C5EF5F" w14:textId="77777777" w:rsidTr="0BDA5CBC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AE2C6C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Pr="00AE2C6C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AE2C6C" w14:paraId="27000B2A" w14:textId="77777777" w:rsidTr="0BDA5CB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4ABB1C56" w:rsidR="00AD3606" w:rsidRPr="00AE2C6C" w:rsidRDefault="00B46518" w:rsidP="00676C7D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AE2C6C">
              <w:t>Radiocommunication Advisory Group (RAG)</w:t>
            </w:r>
          </w:p>
        </w:tc>
      </w:tr>
      <w:tr w:rsidR="00AD3606" w:rsidRPr="00AE2C6C" w14:paraId="2340750D" w14:textId="77777777" w:rsidTr="00042F5B">
        <w:trPr>
          <w:cantSplit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tcMar>
              <w:left w:w="0" w:type="dxa"/>
            </w:tcMar>
          </w:tcPr>
          <w:p w14:paraId="47B91AA8" w14:textId="6807919D" w:rsidR="00AD3606" w:rsidRPr="00AE2C6C" w:rsidRDefault="00AD0CCC" w:rsidP="00676C7D">
            <w:pPr>
              <w:pStyle w:val="Subtitle"/>
              <w:framePr w:hSpace="0" w:wrap="auto" w:xAlign="left" w:yAlign="inline"/>
            </w:pPr>
            <w:bookmarkStart w:id="9" w:name="_Hlk216459932"/>
            <w:bookmarkStart w:id="10" w:name="dtitle1" w:colFirst="0" w:colLast="0"/>
            <w:bookmarkEnd w:id="8"/>
            <w:r w:rsidRPr="00AE2C6C">
              <w:t>LIAISON STATEMENT TO THE COUNCIL WORKING GROUP FOR STRATEGIC AND FINANCIAL PLANS 2028-2031</w:t>
            </w:r>
            <w:bookmarkEnd w:id="9"/>
          </w:p>
        </w:tc>
      </w:tr>
      <w:tr w:rsidR="00AD3606" w:rsidRPr="00AE2C6C" w14:paraId="1F564D2D" w14:textId="77777777" w:rsidTr="00042F5B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3120E62" w14:textId="59B0A7DE" w:rsidR="006E635B" w:rsidRPr="00AE2C6C" w:rsidRDefault="006E635B" w:rsidP="006E635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AE2C6C">
              <w:rPr>
                <w:b/>
                <w:bCs/>
                <w:sz w:val="26"/>
                <w:szCs w:val="26"/>
              </w:rPr>
              <w:t>Purpose</w:t>
            </w:r>
          </w:p>
          <w:p w14:paraId="16BEC73B" w14:textId="008D5852" w:rsidR="006E635B" w:rsidRPr="00AE2C6C" w:rsidRDefault="006E635B" w:rsidP="009C20D8">
            <w:pPr>
              <w:jc w:val="both"/>
              <w:rPr>
                <w:rFonts w:cs="Calibri"/>
                <w:color w:val="000000" w:themeColor="text1"/>
              </w:rPr>
            </w:pPr>
            <w:r w:rsidRPr="00AE2C6C">
              <w:rPr>
                <w:rFonts w:cs="Calibri"/>
                <w:color w:val="000000" w:themeColor="text1"/>
              </w:rPr>
              <w:t xml:space="preserve">This document presents the </w:t>
            </w:r>
            <w:bookmarkStart w:id="11" w:name="_Hlk216183759"/>
            <w:r w:rsidRPr="00AE2C6C">
              <w:rPr>
                <w:rFonts w:cs="Calibri"/>
                <w:color w:val="000000" w:themeColor="text1"/>
              </w:rPr>
              <w:t xml:space="preserve">reply from the </w:t>
            </w:r>
            <w:r w:rsidRPr="00AE2C6C">
              <w:rPr>
                <w:rFonts w:eastAsia="Calibri" w:cs="Calibri"/>
              </w:rPr>
              <w:t>Radiocommunication Advisory Group</w:t>
            </w:r>
            <w:r w:rsidRPr="00AE2C6C">
              <w:rPr>
                <w:rFonts w:cs="Calibri"/>
                <w:color w:val="000000" w:themeColor="text1"/>
              </w:rPr>
              <w:t xml:space="preserve"> (RAG)</w:t>
            </w:r>
            <w:bookmarkEnd w:id="11"/>
            <w:r w:rsidRPr="00AE2C6C">
              <w:rPr>
                <w:rFonts w:cs="Calibri"/>
                <w:color w:val="000000" w:themeColor="text1"/>
              </w:rPr>
              <w:t>, as agreed by the 33</w:t>
            </w:r>
            <w:r w:rsidRPr="00AE2C6C">
              <w:rPr>
                <w:rFonts w:cs="Calibri"/>
                <w:color w:val="000000" w:themeColor="text1"/>
                <w:vertAlign w:val="superscript"/>
              </w:rPr>
              <w:t>rd</w:t>
            </w:r>
            <w:r w:rsidRPr="00AE2C6C">
              <w:rPr>
                <w:rFonts w:cs="Calibri"/>
                <w:color w:val="000000" w:themeColor="text1"/>
              </w:rPr>
              <w:t xml:space="preserve"> Meeting of the RAG, 30 March to 2 April 2026, in response to the liaison statement from CWG-SFP to RAG on the</w:t>
            </w:r>
            <w:r w:rsidRPr="00AE2C6C">
              <w:t xml:space="preserve"> Outcomes of the fourth meeting (</w:t>
            </w:r>
            <w:r w:rsidR="00042F5B" w:rsidRPr="00AE2C6C">
              <w:t xml:space="preserve">Document </w:t>
            </w:r>
            <w:hyperlink r:id="rId11">
              <w:r w:rsidRPr="00AE2C6C">
                <w:rPr>
                  <w:rStyle w:val="Hyperlink"/>
                </w:rPr>
                <w:t>RAG/55</w:t>
              </w:r>
            </w:hyperlink>
            <w:r w:rsidRPr="00AE2C6C">
              <w:t>)</w:t>
            </w:r>
            <w:r w:rsidRPr="00AE2C6C">
              <w:rPr>
                <w:rFonts w:cs="Calibri"/>
                <w:color w:val="000000" w:themeColor="text1"/>
              </w:rPr>
              <w:t xml:space="preserve">. </w:t>
            </w:r>
          </w:p>
          <w:p w14:paraId="53988D47" w14:textId="77777777" w:rsidR="006E635B" w:rsidRPr="00AE2C6C" w:rsidRDefault="006E635B" w:rsidP="006E635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AE2C6C">
              <w:rPr>
                <w:b/>
                <w:bCs/>
                <w:sz w:val="26"/>
                <w:szCs w:val="26"/>
              </w:rPr>
              <w:t>Action required</w:t>
            </w:r>
          </w:p>
          <w:p w14:paraId="1E70D043" w14:textId="1701E080" w:rsidR="006E635B" w:rsidRPr="00AE2C6C" w:rsidRDefault="00BD628B" w:rsidP="00AD0CCC">
            <w:pPr>
              <w:spacing w:before="160"/>
              <w:jc w:val="both"/>
            </w:pPr>
            <w:r w:rsidRPr="00AE2C6C">
              <w:t xml:space="preserve">The Council Working Group for strategic and financial plans 2028-2031 is invited to </w:t>
            </w:r>
            <w:r w:rsidRPr="00AE2C6C">
              <w:rPr>
                <w:b/>
                <w:bCs/>
              </w:rPr>
              <w:t>consider</w:t>
            </w:r>
            <w:r w:rsidRPr="00AE2C6C">
              <w:t xml:space="preserve"> the liaison statement</w:t>
            </w:r>
            <w:r w:rsidR="006E635B" w:rsidRPr="00AE2C6C">
              <w:t>.</w:t>
            </w:r>
          </w:p>
          <w:p w14:paraId="4E8D62FC" w14:textId="77777777" w:rsidR="006E635B" w:rsidRPr="00AE2C6C" w:rsidRDefault="006E635B" w:rsidP="006E635B">
            <w:r w:rsidRPr="00AE2C6C">
              <w:t>_______________</w:t>
            </w:r>
          </w:p>
          <w:p w14:paraId="00DEE14C" w14:textId="455E7C76" w:rsidR="00AD3606" w:rsidRPr="00AE2C6C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AE2C6C">
              <w:rPr>
                <w:b/>
                <w:bCs/>
                <w:sz w:val="26"/>
                <w:szCs w:val="26"/>
              </w:rPr>
              <w:t>References</w:t>
            </w:r>
            <w:r w:rsidR="005E413D" w:rsidRPr="00AE2C6C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175CD6C" w14:textId="16FA7A6B" w:rsidR="004D384A" w:rsidRPr="00AE2C6C" w:rsidRDefault="004A1364" w:rsidP="00042F5B">
            <w:pPr>
              <w:tabs>
                <w:tab w:val="clear" w:pos="2268"/>
                <w:tab w:val="clear" w:pos="2835"/>
                <w:tab w:val="right" w:pos="9106"/>
              </w:tabs>
              <w:spacing w:after="120"/>
              <w:rPr>
                <w:sz w:val="22"/>
                <w:szCs w:val="22"/>
              </w:rPr>
            </w:pPr>
            <w:hyperlink r:id="rId12" w:history="1">
              <w:r w:rsidRPr="00AE2C6C">
                <w:rPr>
                  <w:rStyle w:val="Hyperlink"/>
                  <w:i/>
                  <w:iCs/>
                  <w:sz w:val="22"/>
                  <w:szCs w:val="22"/>
                </w:rPr>
                <w:t>CWG-SFP website</w:t>
              </w:r>
            </w:hyperlink>
            <w:r w:rsidRPr="00AE2C6C">
              <w:rPr>
                <w:i/>
                <w:iCs/>
                <w:sz w:val="22"/>
                <w:szCs w:val="22"/>
              </w:rPr>
              <w:t xml:space="preserve">; </w:t>
            </w:r>
            <w:hyperlink r:id="rId13" w:tgtFrame="_blank" w:history="1">
              <w:r w:rsidRPr="00AE2C6C">
                <w:rPr>
                  <w:rStyle w:val="normaltextrun"/>
                  <w:rFonts w:cs="Calibri"/>
                  <w:i/>
                  <w:iCs/>
                  <w:color w:val="0563C1"/>
                  <w:sz w:val="22"/>
                  <w:szCs w:val="22"/>
                  <w:u w:val="single"/>
                  <w:shd w:val="clear" w:color="auto" w:fill="FFFFFF"/>
                </w:rPr>
                <w:t>Resolution 1428 (</w:t>
              </w:r>
              <w:proofErr w:type="spellStart"/>
              <w:r w:rsidRPr="00AE2C6C">
                <w:rPr>
                  <w:rStyle w:val="normaltextrun"/>
                  <w:rFonts w:cs="Calibri"/>
                  <w:i/>
                  <w:iCs/>
                  <w:color w:val="0563C1"/>
                  <w:sz w:val="22"/>
                  <w:szCs w:val="22"/>
                  <w:u w:val="single"/>
                  <w:shd w:val="clear" w:color="auto" w:fill="FFFFFF"/>
                </w:rPr>
                <w:t>C24</w:t>
              </w:r>
              <w:proofErr w:type="spellEnd"/>
              <w:r w:rsidRPr="00AE2C6C">
                <w:rPr>
                  <w:rStyle w:val="normaltextrun"/>
                  <w:rFonts w:cs="Calibri"/>
                  <w:i/>
                  <w:iCs/>
                  <w:color w:val="0563C1"/>
                  <w:sz w:val="22"/>
                  <w:szCs w:val="22"/>
                  <w:u w:val="single"/>
                  <w:shd w:val="clear" w:color="auto" w:fill="FFFFFF"/>
                </w:rPr>
                <w:t>)</w:t>
              </w:r>
            </w:hyperlink>
          </w:p>
        </w:tc>
      </w:tr>
      <w:bookmarkEnd w:id="2"/>
      <w:bookmarkEnd w:id="3"/>
      <w:bookmarkEnd w:id="4"/>
      <w:bookmarkEnd w:id="5"/>
      <w:bookmarkEnd w:id="10"/>
    </w:tbl>
    <w:p w14:paraId="6B165521" w14:textId="33BA58DC" w:rsidR="00451F57" w:rsidRPr="00AE2C6C" w:rsidRDefault="00451F57" w:rsidP="007053B2"/>
    <w:p w14:paraId="0EEFB5D5" w14:textId="77777777" w:rsidR="00451F57" w:rsidRPr="00AE2C6C" w:rsidRDefault="00451F5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AE2C6C">
        <w:rPr>
          <w:b/>
        </w:rPr>
        <w:br w:type="page"/>
      </w:r>
    </w:p>
    <w:p w14:paraId="5A61E710" w14:textId="3E14F937" w:rsidR="00451F57" w:rsidRPr="00AE2C6C" w:rsidRDefault="00AE2C6C" w:rsidP="00AD0CCC">
      <w:pPr>
        <w:pStyle w:val="Heading1"/>
      </w:pPr>
      <w:r w:rsidRPr="00AE2C6C">
        <w:lastRenderedPageBreak/>
        <w:t>1</w:t>
      </w:r>
      <w:r w:rsidRPr="00AE2C6C">
        <w:tab/>
      </w:r>
      <w:r w:rsidR="00451F57" w:rsidRPr="00AE2C6C">
        <w:t xml:space="preserve">Background </w:t>
      </w:r>
    </w:p>
    <w:p w14:paraId="78EA2E78" w14:textId="42AA2229" w:rsidR="00451F57" w:rsidRPr="00AE2C6C" w:rsidRDefault="00451F57" w:rsidP="00AD0CCC">
      <w:pPr>
        <w:jc w:val="both"/>
      </w:pPr>
      <w:bookmarkStart w:id="12" w:name="_Hlk221029535"/>
      <w:r w:rsidRPr="00AE2C6C">
        <w:t xml:space="preserve">The RAG sent to CWG-SFP </w:t>
      </w:r>
      <w:r w:rsidR="00AD0CCC" w:rsidRPr="00AE2C6C">
        <w:t xml:space="preserve">Document </w:t>
      </w:r>
      <w:hyperlink r:id="rId14" w:history="1">
        <w:r w:rsidRPr="00AE2C6C">
          <w:rPr>
            <w:rStyle w:val="Hyperlink"/>
            <w:rFonts w:asciiTheme="minorHAnsi" w:hAnsiTheme="minorHAnsi" w:cstheme="minorHAnsi"/>
            <w:bCs/>
            <w:szCs w:val="24"/>
          </w:rPr>
          <w:t>CWG-SFP-4/6</w:t>
        </w:r>
      </w:hyperlink>
      <w:r w:rsidRPr="00AE2C6C">
        <w:t xml:space="preserve"> </w:t>
      </w:r>
      <w:r w:rsidR="00AD0CCC">
        <w:t xml:space="preserve">– </w:t>
      </w:r>
      <w:r w:rsidRPr="00AD0CCC">
        <w:rPr>
          <w:i/>
          <w:iCs/>
        </w:rPr>
        <w:t xml:space="preserve">Liaison </w:t>
      </w:r>
      <w:r w:rsidR="00AD0CCC" w:rsidRPr="00AD0CCC">
        <w:rPr>
          <w:i/>
          <w:iCs/>
        </w:rPr>
        <w:t xml:space="preserve">statement </w:t>
      </w:r>
      <w:r w:rsidRPr="00AD0CCC">
        <w:rPr>
          <w:i/>
          <w:iCs/>
        </w:rPr>
        <w:t>to the Council Working Group for Strategic and Financial Plans 2028-2031</w:t>
      </w:r>
      <w:r w:rsidRPr="00AE2C6C">
        <w:t xml:space="preserve"> containing the </w:t>
      </w:r>
      <w:proofErr w:type="spellStart"/>
      <w:r w:rsidRPr="00AE2C6C">
        <w:t>RAG’s</w:t>
      </w:r>
      <w:proofErr w:type="spellEnd"/>
      <w:r w:rsidRPr="00AE2C6C">
        <w:t xml:space="preserve"> input on the ITU Strategic Plan 2028-2031.</w:t>
      </w:r>
    </w:p>
    <w:p w14:paraId="4B05B3BE" w14:textId="3B517184" w:rsidR="00451F57" w:rsidRDefault="00451F57" w:rsidP="00AD0CCC">
      <w:pPr>
        <w:jc w:val="both"/>
      </w:pPr>
      <w:r w:rsidRPr="00AE2C6C">
        <w:t xml:space="preserve">Document </w:t>
      </w:r>
      <w:hyperlink r:id="rId15">
        <w:r w:rsidRPr="00AE2C6C">
          <w:rPr>
            <w:rStyle w:val="Hyperlink"/>
            <w:rFonts w:asciiTheme="minorHAnsi" w:hAnsiTheme="minorHAnsi" w:cstheme="minorHAnsi"/>
            <w:szCs w:val="24"/>
          </w:rPr>
          <w:t>RAG/55</w:t>
        </w:r>
      </w:hyperlink>
      <w:r w:rsidRPr="00AE2C6C">
        <w:t xml:space="preserve"> </w:t>
      </w:r>
      <w:r w:rsidR="00AD0CCC">
        <w:t xml:space="preserve">– </w:t>
      </w:r>
      <w:r w:rsidRPr="00AD0CCC">
        <w:rPr>
          <w:i/>
          <w:iCs/>
        </w:rPr>
        <w:t xml:space="preserve">Liaison </w:t>
      </w:r>
      <w:r w:rsidR="00AD0CCC" w:rsidRPr="00AD0CCC">
        <w:rPr>
          <w:i/>
          <w:iCs/>
        </w:rPr>
        <w:t xml:space="preserve">statement </w:t>
      </w:r>
      <w:r w:rsidRPr="00AD0CCC">
        <w:rPr>
          <w:i/>
          <w:iCs/>
        </w:rPr>
        <w:t xml:space="preserve">on </w:t>
      </w:r>
      <w:r w:rsidR="00AD0CCC" w:rsidRPr="00AD0CCC">
        <w:rPr>
          <w:i/>
          <w:iCs/>
        </w:rPr>
        <w:t xml:space="preserve">outcomes </w:t>
      </w:r>
      <w:r w:rsidRPr="00AD0CCC">
        <w:rPr>
          <w:i/>
          <w:iCs/>
        </w:rPr>
        <w:t xml:space="preserve">of the </w:t>
      </w:r>
      <w:r w:rsidR="00AD0CCC" w:rsidRPr="00AD0CCC">
        <w:rPr>
          <w:i/>
          <w:iCs/>
        </w:rPr>
        <w:t>fourth meeting</w:t>
      </w:r>
      <w:r w:rsidRPr="00AE2C6C">
        <w:t xml:space="preserve"> presents the amendments to the draft Annex 1 to Resolution 71: ITU strategic plan for 2028</w:t>
      </w:r>
      <w:r w:rsidRPr="00AE2C6C">
        <w:noBreakHyphen/>
        <w:t xml:space="preserve">2031 agreed during the fourth meeting of CWG-SFP (see </w:t>
      </w:r>
      <w:r w:rsidR="007053B2" w:rsidRPr="00AE2C6C">
        <w:t>D</w:t>
      </w:r>
      <w:r w:rsidRPr="00AE2C6C">
        <w:t>ocument</w:t>
      </w:r>
      <w:r w:rsidR="00F36A55">
        <w:t xml:space="preserve"> </w:t>
      </w:r>
      <w:hyperlink r:id="rId16" w:history="1">
        <w:r w:rsidRPr="00F36A55">
          <w:rPr>
            <w:rStyle w:val="Hyperlink"/>
          </w:rPr>
          <w:t>CWG-SFP-4/DT/2(</w:t>
        </w:r>
        <w:proofErr w:type="spellStart"/>
        <w:r w:rsidRPr="00F36A55">
          <w:rPr>
            <w:rStyle w:val="Hyperlink"/>
          </w:rPr>
          <w:t>Rev.3</w:t>
        </w:r>
        <w:proofErr w:type="spellEnd"/>
        <w:r w:rsidRPr="00F36A55">
          <w:rPr>
            <w:rStyle w:val="Hyperlink"/>
          </w:rPr>
          <w:t>)</w:t>
        </w:r>
      </w:hyperlink>
      <w:r w:rsidRPr="00AE2C6C">
        <w:t>). The CWG</w:t>
      </w:r>
      <w:r w:rsidR="007053B2">
        <w:noBreakHyphen/>
      </w:r>
      <w:r w:rsidRPr="00AE2C6C">
        <w:t>SFP invite</w:t>
      </w:r>
      <w:r w:rsidR="00491AAB" w:rsidRPr="00AE2C6C">
        <w:t>d</w:t>
      </w:r>
      <w:r w:rsidRPr="00AE2C6C">
        <w:t xml:space="preserve"> the </w:t>
      </w:r>
      <w:r w:rsidRPr="00AE2C6C">
        <w:rPr>
          <w:b/>
        </w:rPr>
        <w:t>RAG to provide its feedback by 31 March 2026</w:t>
      </w:r>
      <w:r w:rsidRPr="00AE2C6C">
        <w:t>.</w:t>
      </w:r>
    </w:p>
    <w:bookmarkEnd w:id="12"/>
    <w:p w14:paraId="34CD6D7F" w14:textId="77777777" w:rsidR="00451F57" w:rsidRPr="00A044C6" w:rsidRDefault="00451F57" w:rsidP="00AD0CCC">
      <w:pPr>
        <w:jc w:val="both"/>
        <w:rPr>
          <w:spacing w:val="-2"/>
        </w:rPr>
      </w:pPr>
      <w:r w:rsidRPr="00A044C6">
        <w:rPr>
          <w:spacing w:val="-2"/>
        </w:rPr>
        <w:t>The RAG presents to the attention of CWG-SFP the following reply to the above liaison statement.</w:t>
      </w:r>
    </w:p>
    <w:p w14:paraId="1F5BA3C0" w14:textId="63DE0224" w:rsidR="00451F57" w:rsidRPr="00AE2C6C" w:rsidRDefault="00AE2C6C" w:rsidP="00AD0CCC">
      <w:pPr>
        <w:pStyle w:val="Heading1"/>
      </w:pPr>
      <w:r w:rsidRPr="00AE2C6C">
        <w:t>2</w:t>
      </w:r>
      <w:r w:rsidRPr="00AE2C6C">
        <w:tab/>
      </w:r>
      <w:r w:rsidR="00451F57" w:rsidRPr="00AE2C6C">
        <w:t>Targets</w:t>
      </w:r>
    </w:p>
    <w:p w14:paraId="19A5BA0B" w14:textId="77777777" w:rsidR="00451F57" w:rsidRPr="00AE2C6C" w:rsidRDefault="00451F57" w:rsidP="007053B2">
      <w:pPr>
        <w:jc w:val="both"/>
        <w:rPr>
          <w:b/>
          <w:bCs/>
        </w:rPr>
      </w:pPr>
      <w:r w:rsidRPr="00AE2C6C">
        <w:t>Pursuant to the draft Annex 1 to Resolution 71: ITU strategic plan for 2028</w:t>
      </w:r>
      <w:r w:rsidRPr="00AE2C6C">
        <w:noBreakHyphen/>
        <w:t xml:space="preserve">2031, the following target amendments are proposed by the CWG-SFP: </w:t>
      </w:r>
    </w:p>
    <w:p w14:paraId="05DF01CE" w14:textId="77777777" w:rsidR="00451F57" w:rsidRPr="00AE2C6C" w:rsidRDefault="00451F57" w:rsidP="004812ED">
      <w:pPr>
        <w:spacing w:before="0"/>
      </w:pPr>
    </w:p>
    <w:tbl>
      <w:tblPr>
        <w:tblW w:w="5413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5"/>
        <w:gridCol w:w="6524"/>
      </w:tblGrid>
      <w:tr w:rsidR="00451F57" w:rsidRPr="00A044C6" w14:paraId="330EB964" w14:textId="77777777" w:rsidTr="00A044C6">
        <w:tc>
          <w:tcPr>
            <w:tcW w:w="3285" w:type="dxa"/>
            <w:shd w:val="clear" w:color="auto" w:fill="9CC2E5"/>
          </w:tcPr>
          <w:p w14:paraId="5754EC17" w14:textId="7475E0FD" w:rsidR="00451F57" w:rsidRPr="00A044C6" w:rsidRDefault="00451F57" w:rsidP="007053B2">
            <w:pPr>
              <w:pStyle w:val="Tablehead"/>
              <w:jc w:val="left"/>
              <w:rPr>
                <w:rFonts w:eastAsia="SimSun"/>
                <w:sz w:val="20"/>
              </w:rPr>
            </w:pPr>
            <w:r w:rsidRPr="00A044C6">
              <w:rPr>
                <w:rFonts w:eastAsia="SimSun"/>
                <w:sz w:val="20"/>
              </w:rPr>
              <w:t>Targets for Goal 1: Universal Connectivity – by 2031</w:t>
            </w:r>
          </w:p>
        </w:tc>
        <w:tc>
          <w:tcPr>
            <w:tcW w:w="6524" w:type="dxa"/>
            <w:shd w:val="clear" w:color="auto" w:fill="9CC2E5"/>
          </w:tcPr>
          <w:p w14:paraId="6FF2074B" w14:textId="77777777" w:rsidR="00451F57" w:rsidRPr="00A044C6" w:rsidRDefault="00451F57" w:rsidP="007053B2">
            <w:pPr>
              <w:pStyle w:val="Tablehead"/>
              <w:jc w:val="left"/>
              <w:rPr>
                <w:rFonts w:eastAsia="SimSun"/>
                <w:sz w:val="20"/>
              </w:rPr>
            </w:pPr>
            <w:r w:rsidRPr="00A044C6">
              <w:rPr>
                <w:rFonts w:eastAsia="SimSun"/>
                <w:sz w:val="20"/>
              </w:rPr>
              <w:t>Change description</w:t>
            </w:r>
          </w:p>
        </w:tc>
      </w:tr>
      <w:tr w:rsidR="00451F57" w:rsidRPr="00A044C6" w14:paraId="7AB1BCDD" w14:textId="77777777" w:rsidTr="00A044C6">
        <w:tc>
          <w:tcPr>
            <w:tcW w:w="3285" w:type="dxa"/>
            <w:shd w:val="clear" w:color="auto" w:fill="FFFFFF" w:themeFill="background1"/>
          </w:tcPr>
          <w:p w14:paraId="56EAEF98" w14:textId="77777777" w:rsidR="00451F57" w:rsidRPr="00A044C6" w:rsidRDefault="00451F57" w:rsidP="007053B2">
            <w:pPr>
              <w:pStyle w:val="Tabletext"/>
              <w:rPr>
                <w:rFonts w:eastAsia="SimSun"/>
                <w:sz w:val="20"/>
              </w:rPr>
            </w:pPr>
            <w:r w:rsidRPr="00A044C6">
              <w:rPr>
                <w:rFonts w:eastAsia="SimSun"/>
                <w:sz w:val="20"/>
              </w:rPr>
              <w:t>1.6: Avoidance of harmful interference</w:t>
            </w:r>
          </w:p>
        </w:tc>
        <w:tc>
          <w:tcPr>
            <w:tcW w:w="6524" w:type="dxa"/>
            <w:shd w:val="clear" w:color="auto" w:fill="FFFFFF" w:themeFill="background1"/>
          </w:tcPr>
          <w:p w14:paraId="0DF671E3" w14:textId="0C3EBB70" w:rsidR="00451F57" w:rsidRPr="003056C0" w:rsidRDefault="00451F57" w:rsidP="00A044C6">
            <w:pPr>
              <w:pStyle w:val="Tabletext"/>
              <w:jc w:val="both"/>
              <w:rPr>
                <w:rFonts w:eastAsia="SimSun"/>
                <w:sz w:val="20"/>
              </w:rPr>
            </w:pPr>
            <w:r w:rsidRPr="003056C0">
              <w:rPr>
                <w:rFonts w:eastAsia="SimSun"/>
                <w:sz w:val="20"/>
              </w:rPr>
              <w:t xml:space="preserve">Proposal to move the outcome </w:t>
            </w:r>
            <w:r w:rsidR="003056C0" w:rsidRPr="003056C0">
              <w:rPr>
                <w:sz w:val="20"/>
              </w:rPr>
              <w:t>“</w:t>
            </w:r>
            <w:r w:rsidRPr="003056C0">
              <w:rPr>
                <w:rFonts w:eastAsia="SimSun"/>
                <w:sz w:val="20"/>
              </w:rPr>
              <w:t>Avoidance of harmful interference</w:t>
            </w:r>
            <w:r w:rsidR="003056C0" w:rsidRPr="003056C0">
              <w:rPr>
                <w:sz w:val="20"/>
              </w:rPr>
              <w:t>”</w:t>
            </w:r>
            <w:r w:rsidR="003056C0" w:rsidRPr="003056C0">
              <w:rPr>
                <w:sz w:val="20"/>
              </w:rPr>
              <w:t xml:space="preserve"> </w:t>
            </w:r>
            <w:r w:rsidRPr="003056C0">
              <w:rPr>
                <w:rFonts w:eastAsia="SimSun"/>
                <w:sz w:val="20"/>
              </w:rPr>
              <w:t xml:space="preserve">to the level of a </w:t>
            </w:r>
            <w:r w:rsidR="00F36A55" w:rsidRPr="003056C0">
              <w:rPr>
                <w:rFonts w:eastAsia="SimSun"/>
                <w:sz w:val="20"/>
              </w:rPr>
              <w:t>target</w:t>
            </w:r>
            <w:r w:rsidRPr="003056C0">
              <w:rPr>
                <w:rFonts w:eastAsia="SimSun"/>
                <w:sz w:val="20"/>
              </w:rPr>
              <w:t>.</w:t>
            </w:r>
          </w:p>
          <w:p w14:paraId="427BD8DF" w14:textId="77777777" w:rsidR="00451F57" w:rsidRPr="00A044C6" w:rsidRDefault="00451F57" w:rsidP="00A044C6">
            <w:pPr>
              <w:pStyle w:val="Tabletext"/>
              <w:jc w:val="both"/>
              <w:rPr>
                <w:rFonts w:eastAsia="SimSun"/>
                <w:sz w:val="20"/>
              </w:rPr>
            </w:pPr>
            <w:r w:rsidRPr="00A044C6">
              <w:rPr>
                <w:rFonts w:eastAsia="SimSun"/>
                <w:sz w:val="20"/>
              </w:rPr>
              <w:t>In its contribution to CWG-SFP, for this outcome, the RAG had proposed the following new indicators:</w:t>
            </w:r>
          </w:p>
          <w:p w14:paraId="243BC0D3" w14:textId="33FB54C2" w:rsidR="00451F57" w:rsidRPr="00A044C6" w:rsidRDefault="004812ED" w:rsidP="00A044C6">
            <w:pPr>
              <w:pStyle w:val="Tabletext"/>
              <w:ind w:left="284" w:hanging="284"/>
              <w:jc w:val="both"/>
              <w:rPr>
                <w:rFonts w:eastAsia="SimSun"/>
                <w:sz w:val="20"/>
              </w:rPr>
            </w:pPr>
            <w:r w:rsidRPr="00A044C6">
              <w:rPr>
                <w:rFonts w:eastAsia="SimSun"/>
                <w:sz w:val="20"/>
              </w:rPr>
              <w:t>–</w:t>
            </w:r>
            <w:r w:rsidRPr="00A044C6">
              <w:rPr>
                <w:rFonts w:eastAsia="SimSun"/>
                <w:sz w:val="20"/>
              </w:rPr>
              <w:tab/>
            </w:r>
            <w:r w:rsidR="00451F57" w:rsidRPr="00A044C6">
              <w:rPr>
                <w:rFonts w:eastAsia="SimSun"/>
                <w:sz w:val="20"/>
              </w:rPr>
              <w:t xml:space="preserve">Number of cases of harmful interference (to frequency assignments pertaining to space services) reported to the BR in the one year of the reporting period </w:t>
            </w:r>
          </w:p>
          <w:p w14:paraId="23612204" w14:textId="6AC7C892" w:rsidR="00451F57" w:rsidRPr="00A044C6" w:rsidRDefault="004812ED" w:rsidP="00A044C6">
            <w:pPr>
              <w:pStyle w:val="Tabletext"/>
              <w:ind w:left="284" w:hanging="284"/>
              <w:jc w:val="both"/>
              <w:rPr>
                <w:rFonts w:eastAsia="SimSun"/>
                <w:sz w:val="20"/>
              </w:rPr>
            </w:pPr>
            <w:r w:rsidRPr="00A044C6">
              <w:rPr>
                <w:rFonts w:eastAsia="SimSun"/>
                <w:sz w:val="20"/>
              </w:rPr>
              <w:t>–</w:t>
            </w:r>
            <w:r w:rsidRPr="00A044C6">
              <w:rPr>
                <w:rFonts w:eastAsia="SimSun"/>
                <w:sz w:val="20"/>
              </w:rPr>
              <w:tab/>
            </w:r>
            <w:r w:rsidR="00451F57" w:rsidRPr="00A044C6">
              <w:rPr>
                <w:rFonts w:eastAsia="SimSun"/>
                <w:sz w:val="20"/>
              </w:rPr>
              <w:t>Number of cases of harmful interference (to frequency assignments pertaining to space services) reported to the BR that are pending resolution</w:t>
            </w:r>
          </w:p>
          <w:p w14:paraId="6062B23E" w14:textId="41B98E0C" w:rsidR="00451F57" w:rsidRPr="00A044C6" w:rsidRDefault="004812ED" w:rsidP="00A044C6">
            <w:pPr>
              <w:pStyle w:val="Tabletext"/>
              <w:ind w:left="284" w:hanging="284"/>
              <w:jc w:val="both"/>
              <w:rPr>
                <w:rFonts w:eastAsia="SimSun"/>
                <w:sz w:val="20"/>
              </w:rPr>
            </w:pPr>
            <w:r w:rsidRPr="00A044C6">
              <w:rPr>
                <w:rFonts w:eastAsia="SimSun"/>
                <w:sz w:val="20"/>
              </w:rPr>
              <w:t>–</w:t>
            </w:r>
            <w:r w:rsidRPr="00A044C6">
              <w:rPr>
                <w:rFonts w:eastAsia="SimSun"/>
                <w:sz w:val="20"/>
              </w:rPr>
              <w:tab/>
            </w:r>
            <w:r w:rsidR="00451F57" w:rsidRPr="00A044C6">
              <w:rPr>
                <w:rFonts w:eastAsia="SimSun"/>
                <w:sz w:val="20"/>
              </w:rPr>
              <w:t>Number of cases of harmful interference (to assignments pertaining to terrestrial services) reported to the BR in the one year of the reporting period</w:t>
            </w:r>
          </w:p>
          <w:p w14:paraId="15A1C93C" w14:textId="3BB06302" w:rsidR="00451F57" w:rsidRPr="00A044C6" w:rsidRDefault="004812ED" w:rsidP="00A044C6">
            <w:pPr>
              <w:pStyle w:val="Tabletext"/>
              <w:ind w:left="284" w:hanging="284"/>
              <w:jc w:val="both"/>
              <w:rPr>
                <w:rFonts w:eastAsia="SimSun"/>
                <w:sz w:val="20"/>
              </w:rPr>
            </w:pPr>
            <w:r w:rsidRPr="00A044C6">
              <w:rPr>
                <w:rFonts w:eastAsia="SimSun"/>
                <w:sz w:val="20"/>
              </w:rPr>
              <w:t>–</w:t>
            </w:r>
            <w:r w:rsidRPr="00A044C6">
              <w:rPr>
                <w:rFonts w:eastAsia="SimSun"/>
                <w:sz w:val="20"/>
              </w:rPr>
              <w:tab/>
            </w:r>
            <w:r w:rsidR="00451F57" w:rsidRPr="00A044C6">
              <w:rPr>
                <w:rFonts w:eastAsia="SimSun"/>
                <w:sz w:val="20"/>
              </w:rPr>
              <w:t>Number of cases of harmful interference (to assignments pertaining to terrestrial services) reported to the BR that are pending resolution</w:t>
            </w:r>
          </w:p>
        </w:tc>
      </w:tr>
      <w:tr w:rsidR="00451F57" w:rsidRPr="00A044C6" w14:paraId="37FFCC8E" w14:textId="77777777" w:rsidTr="00A044C6">
        <w:tc>
          <w:tcPr>
            <w:tcW w:w="3285" w:type="dxa"/>
            <w:shd w:val="clear" w:color="auto" w:fill="9CC2E5"/>
          </w:tcPr>
          <w:p w14:paraId="0FA761B9" w14:textId="69454684" w:rsidR="00451F57" w:rsidRPr="00A044C6" w:rsidRDefault="00451F57" w:rsidP="007053B2">
            <w:pPr>
              <w:pStyle w:val="Tablehead"/>
              <w:jc w:val="left"/>
              <w:rPr>
                <w:rFonts w:eastAsia="SimSun"/>
                <w:sz w:val="20"/>
              </w:rPr>
            </w:pPr>
            <w:r w:rsidRPr="00A044C6">
              <w:rPr>
                <w:rFonts w:eastAsia="SimSun"/>
                <w:sz w:val="20"/>
              </w:rPr>
              <w:t>Targets for Goal 2: Sustainable Digital Transformation – by 2031</w:t>
            </w:r>
          </w:p>
        </w:tc>
        <w:tc>
          <w:tcPr>
            <w:tcW w:w="6524" w:type="dxa"/>
            <w:shd w:val="clear" w:color="auto" w:fill="9CC2E5"/>
          </w:tcPr>
          <w:p w14:paraId="235CBE5D" w14:textId="77777777" w:rsidR="00451F57" w:rsidRPr="00A044C6" w:rsidRDefault="00451F57" w:rsidP="007053B2">
            <w:pPr>
              <w:pStyle w:val="Tablehead"/>
              <w:jc w:val="left"/>
              <w:rPr>
                <w:rFonts w:eastAsia="SimSun"/>
                <w:sz w:val="20"/>
              </w:rPr>
            </w:pPr>
            <w:r w:rsidRPr="00A044C6">
              <w:rPr>
                <w:rFonts w:eastAsia="SimSun"/>
                <w:sz w:val="20"/>
              </w:rPr>
              <w:t>Change description</w:t>
            </w:r>
          </w:p>
        </w:tc>
      </w:tr>
      <w:tr w:rsidR="00451F57" w:rsidRPr="00A044C6" w14:paraId="4D7EC38E" w14:textId="77777777" w:rsidTr="00A044C6">
        <w:tc>
          <w:tcPr>
            <w:tcW w:w="3285" w:type="dxa"/>
          </w:tcPr>
          <w:p w14:paraId="6B572419" w14:textId="77777777" w:rsidR="00451F57" w:rsidRPr="00A044C6" w:rsidRDefault="00451F57" w:rsidP="007053B2">
            <w:pPr>
              <w:pStyle w:val="Tabletext"/>
              <w:rPr>
                <w:sz w:val="20"/>
              </w:rPr>
            </w:pPr>
            <w:r w:rsidRPr="00A044C6">
              <w:rPr>
                <w:sz w:val="20"/>
              </w:rPr>
              <w:t>2.7: Space for development</w:t>
            </w:r>
          </w:p>
        </w:tc>
        <w:tc>
          <w:tcPr>
            <w:tcW w:w="6524" w:type="dxa"/>
          </w:tcPr>
          <w:p w14:paraId="0910BBFC" w14:textId="77777777" w:rsidR="00451F57" w:rsidRPr="00A044C6" w:rsidRDefault="00451F57" w:rsidP="003056C0">
            <w:pPr>
              <w:pStyle w:val="Tabletext"/>
              <w:jc w:val="both"/>
              <w:rPr>
                <w:sz w:val="20"/>
              </w:rPr>
            </w:pPr>
            <w:r w:rsidRPr="00A044C6">
              <w:rPr>
                <w:sz w:val="20"/>
              </w:rPr>
              <w:t>Proposed associated indicators to be collected by the ITU Development Bureau:</w:t>
            </w:r>
          </w:p>
          <w:p w14:paraId="62087169" w14:textId="03021336" w:rsidR="00451F57" w:rsidRPr="00A044C6" w:rsidRDefault="004812ED" w:rsidP="004812ED">
            <w:pPr>
              <w:pStyle w:val="Tabletext"/>
              <w:ind w:left="284" w:hanging="284"/>
              <w:rPr>
                <w:rFonts w:eastAsia="SimSun"/>
                <w:sz w:val="20"/>
              </w:rPr>
            </w:pPr>
            <w:r w:rsidRPr="00A044C6">
              <w:rPr>
                <w:rFonts w:eastAsia="SimSun"/>
                <w:sz w:val="20"/>
              </w:rPr>
              <w:t>–</w:t>
            </w:r>
            <w:r w:rsidRPr="00A044C6">
              <w:rPr>
                <w:rFonts w:eastAsia="SimSun"/>
                <w:sz w:val="20"/>
              </w:rPr>
              <w:tab/>
            </w:r>
            <w:r w:rsidR="00451F57" w:rsidRPr="00A044C6">
              <w:rPr>
                <w:rFonts w:eastAsia="SimSun"/>
                <w:sz w:val="20"/>
              </w:rPr>
              <w:t>Satellite broadband subscriptions</w:t>
            </w:r>
            <w:r w:rsidR="00451F57" w:rsidRPr="00A044C6">
              <w:rPr>
                <w:rStyle w:val="FootnoteReference"/>
                <w:rFonts w:eastAsia="SimSun"/>
              </w:rPr>
              <w:footnoteReference w:id="1"/>
            </w:r>
          </w:p>
          <w:p w14:paraId="78F3B231" w14:textId="1FA6C956" w:rsidR="00451F57" w:rsidRPr="00A044C6" w:rsidRDefault="004812ED" w:rsidP="004812ED">
            <w:pPr>
              <w:pStyle w:val="Tabletext"/>
              <w:ind w:left="284" w:hanging="284"/>
              <w:rPr>
                <w:rFonts w:eastAsia="SimSun"/>
                <w:sz w:val="20"/>
              </w:rPr>
            </w:pPr>
            <w:r w:rsidRPr="00A044C6">
              <w:rPr>
                <w:rFonts w:eastAsia="SimSun"/>
                <w:sz w:val="20"/>
              </w:rPr>
              <w:t>–</w:t>
            </w:r>
            <w:r w:rsidRPr="00A044C6">
              <w:rPr>
                <w:rFonts w:eastAsia="SimSun"/>
                <w:sz w:val="20"/>
              </w:rPr>
              <w:tab/>
            </w:r>
            <w:r w:rsidR="00451F57" w:rsidRPr="00A044C6">
              <w:rPr>
                <w:rFonts w:eastAsia="SimSun"/>
                <w:sz w:val="20"/>
              </w:rPr>
              <w:t>[Countries with satellite-to-cell phone partnerships, by status (maintained by Global mobile Suppliers Association)]</w:t>
            </w:r>
          </w:p>
          <w:p w14:paraId="3807F4F7" w14:textId="77777777" w:rsidR="00451F57" w:rsidRPr="00A044C6" w:rsidRDefault="00451F57" w:rsidP="003056C0">
            <w:pPr>
              <w:pStyle w:val="Tabletext"/>
              <w:jc w:val="both"/>
              <w:rPr>
                <w:rFonts w:eastAsia="SimSun"/>
                <w:sz w:val="20"/>
              </w:rPr>
            </w:pPr>
            <w:r w:rsidRPr="00A044C6">
              <w:rPr>
                <w:rFonts w:eastAsia="SimSun"/>
                <w:sz w:val="20"/>
              </w:rPr>
              <w:t xml:space="preserve">Views were expressed with respect to inclusion of indent 1 under this topic, </w:t>
            </w:r>
            <w:proofErr w:type="gramStart"/>
            <w:r w:rsidRPr="00A044C6">
              <w:rPr>
                <w:rFonts w:eastAsia="SimSun"/>
                <w:sz w:val="20"/>
              </w:rPr>
              <w:t>due to the fact that</w:t>
            </w:r>
            <w:proofErr w:type="gramEnd"/>
            <w:r w:rsidRPr="00A044C6">
              <w:rPr>
                <w:rFonts w:eastAsia="SimSun"/>
                <w:sz w:val="20"/>
              </w:rPr>
              <w:t xml:space="preserve"> ITU should remain neutral with respect to terrestrial and space. </w:t>
            </w:r>
          </w:p>
          <w:p w14:paraId="244D889D" w14:textId="204B2D54" w:rsidR="00451F57" w:rsidRPr="00A044C6" w:rsidRDefault="00451F57" w:rsidP="003056C0">
            <w:pPr>
              <w:pStyle w:val="Tabletext"/>
              <w:jc w:val="both"/>
              <w:rPr>
                <w:rFonts w:eastAsia="SimSun"/>
                <w:sz w:val="20"/>
              </w:rPr>
            </w:pPr>
            <w:r w:rsidRPr="00A044C6">
              <w:rPr>
                <w:rFonts w:eastAsia="SimSun"/>
                <w:sz w:val="20"/>
              </w:rPr>
              <w:t>No consensus was reached in the RAG for the</w:t>
            </w:r>
            <w:r w:rsidR="004812ED" w:rsidRPr="00A044C6">
              <w:rPr>
                <w:rFonts w:eastAsia="SimSun"/>
                <w:sz w:val="20"/>
              </w:rPr>
              <w:t xml:space="preserve"> </w:t>
            </w:r>
            <w:r w:rsidRPr="00A044C6">
              <w:rPr>
                <w:rFonts w:eastAsia="SimSun"/>
                <w:sz w:val="20"/>
              </w:rPr>
              <w:t xml:space="preserve">inclusion of indent two of the indicators for Space for development in the Strategic Plan, because the matter is still under discussion at the WRC-27 </w:t>
            </w:r>
            <w:r w:rsidR="004812ED" w:rsidRPr="00A044C6">
              <w:rPr>
                <w:rFonts w:eastAsia="SimSun"/>
                <w:sz w:val="20"/>
              </w:rPr>
              <w:t xml:space="preserve">agenda item </w:t>
            </w:r>
            <w:r w:rsidRPr="00A044C6">
              <w:rPr>
                <w:rFonts w:eastAsia="SimSun"/>
                <w:sz w:val="20"/>
              </w:rPr>
              <w:t>1.13.</w:t>
            </w:r>
          </w:p>
        </w:tc>
      </w:tr>
    </w:tbl>
    <w:p w14:paraId="1320F43B" w14:textId="77777777" w:rsidR="00451F57" w:rsidRPr="00AE2C6C" w:rsidRDefault="00451F57" w:rsidP="004812ED">
      <w:pPr>
        <w:pStyle w:val="Tablefin"/>
      </w:pPr>
    </w:p>
    <w:p w14:paraId="72464682" w14:textId="45E8F6AF" w:rsidR="00451F57" w:rsidRPr="00AE2C6C" w:rsidRDefault="00AE2C6C" w:rsidP="004812ED">
      <w:pPr>
        <w:pStyle w:val="Heading1"/>
      </w:pPr>
      <w:r w:rsidRPr="00AE2C6C">
        <w:lastRenderedPageBreak/>
        <w:t>3</w:t>
      </w:r>
      <w:r w:rsidRPr="00AE2C6C">
        <w:tab/>
      </w:r>
      <w:r w:rsidR="00451F57" w:rsidRPr="00AE2C6C">
        <w:t xml:space="preserve">Additional </w:t>
      </w:r>
      <w:r w:rsidR="004812ED" w:rsidRPr="00AE2C6C">
        <w:t>indicators</w:t>
      </w:r>
    </w:p>
    <w:p w14:paraId="0D0BE995" w14:textId="77777777" w:rsidR="00451F57" w:rsidRPr="00AE2C6C" w:rsidRDefault="00451F57" w:rsidP="004812ED">
      <w:pPr>
        <w:jc w:val="both"/>
      </w:pPr>
      <w:r w:rsidRPr="00AE2C6C">
        <w:t xml:space="preserve">The RAG considered that the addition of the outcome indicators below would be beneficial to reflect the maintenance of the </w:t>
      </w:r>
      <w:proofErr w:type="spellStart"/>
      <w:r w:rsidRPr="00AE2C6C">
        <w:t>MIFR</w:t>
      </w:r>
      <w:proofErr w:type="spellEnd"/>
      <w:r w:rsidRPr="00AE2C6C">
        <w:t>:</w:t>
      </w:r>
    </w:p>
    <w:p w14:paraId="1D0CB274" w14:textId="77777777" w:rsidR="00451F57" w:rsidRPr="00AE2C6C" w:rsidRDefault="00451F57" w:rsidP="004812ED">
      <w:pPr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403"/>
      </w:tblGrid>
      <w:tr w:rsidR="00451F57" w:rsidRPr="00AE2C6C" w14:paraId="7F275F6D" w14:textId="77777777" w:rsidTr="00F36A55">
        <w:tc>
          <w:tcPr>
            <w:tcW w:w="6658" w:type="dxa"/>
          </w:tcPr>
          <w:p w14:paraId="0B26BDE6" w14:textId="25152F1D" w:rsidR="00451F57" w:rsidRPr="00AE2C6C" w:rsidRDefault="00A044C6" w:rsidP="00A044C6">
            <w:pPr>
              <w:pStyle w:val="Tabletext"/>
              <w:ind w:left="284" w:hanging="284"/>
            </w:pPr>
            <w:r>
              <w:rPr>
                <w:rFonts w:eastAsia="SimSun"/>
              </w:rPr>
              <w:t>–</w:t>
            </w:r>
            <w:r>
              <w:rPr>
                <w:rFonts w:eastAsia="SimSun"/>
              </w:rPr>
              <w:tab/>
            </w:r>
            <w:r w:rsidR="00451F57" w:rsidRPr="00AE2C6C">
              <w:t xml:space="preserve">Number of frequency assignments, whose findings have been reviewed pursuant to RR No. </w:t>
            </w:r>
            <w:r w:rsidR="00451F57" w:rsidRPr="00A044C6">
              <w:rPr>
                <w:b/>
                <w:bCs/>
              </w:rPr>
              <w:t>11.50</w:t>
            </w:r>
            <w:r w:rsidR="00451F57" w:rsidRPr="00AE2C6C">
              <w:t>, on a yearly basis.</w:t>
            </w:r>
          </w:p>
          <w:p w14:paraId="684FC50B" w14:textId="5D21D2CD" w:rsidR="00451F57" w:rsidRPr="00AE2C6C" w:rsidRDefault="00A044C6" w:rsidP="00A044C6">
            <w:pPr>
              <w:pStyle w:val="Tabletext"/>
              <w:ind w:left="284" w:hanging="284"/>
            </w:pPr>
            <w:r>
              <w:rPr>
                <w:rFonts w:eastAsia="SimSun"/>
              </w:rPr>
              <w:t>–</w:t>
            </w:r>
            <w:r>
              <w:rPr>
                <w:rFonts w:eastAsia="SimSun"/>
              </w:rPr>
              <w:tab/>
            </w:r>
            <w:r w:rsidR="00451F57" w:rsidRPr="00AE2C6C">
              <w:t xml:space="preserve">Number of cases treated by BR under RR No. </w:t>
            </w:r>
            <w:r w:rsidR="00451F57" w:rsidRPr="00A044C6">
              <w:rPr>
                <w:b/>
                <w:bCs/>
              </w:rPr>
              <w:t>13.6</w:t>
            </w:r>
            <w:r w:rsidR="00451F57" w:rsidRPr="00AE2C6C">
              <w:t>, on a yearly basis.</w:t>
            </w:r>
          </w:p>
        </w:tc>
        <w:tc>
          <w:tcPr>
            <w:tcW w:w="2403" w:type="dxa"/>
          </w:tcPr>
          <w:p w14:paraId="57472271" w14:textId="77777777" w:rsidR="00451F57" w:rsidRPr="00AE2C6C" w:rsidRDefault="00451F57" w:rsidP="00A044C6">
            <w:pPr>
              <w:pStyle w:val="Tabletext"/>
            </w:pPr>
            <w:proofErr w:type="spellStart"/>
            <w:r w:rsidRPr="00AE2C6C">
              <w:t>MIFR</w:t>
            </w:r>
            <w:proofErr w:type="spellEnd"/>
          </w:p>
          <w:p w14:paraId="4C5BF734" w14:textId="5F43D842" w:rsidR="00451F57" w:rsidRPr="00AE2C6C" w:rsidRDefault="00451F57" w:rsidP="00A044C6">
            <w:pPr>
              <w:pStyle w:val="Tabletext"/>
            </w:pPr>
            <w:proofErr w:type="spellStart"/>
            <w:r w:rsidRPr="00AE2C6C">
              <w:t>RRB</w:t>
            </w:r>
            <w:proofErr w:type="spellEnd"/>
            <w:r w:rsidRPr="00AE2C6C">
              <w:t>/BR files</w:t>
            </w:r>
          </w:p>
        </w:tc>
      </w:tr>
      <w:tr w:rsidR="00451F57" w:rsidRPr="00AE2C6C" w14:paraId="70367DE7" w14:textId="77777777" w:rsidTr="00F36A55">
        <w:tc>
          <w:tcPr>
            <w:tcW w:w="6658" w:type="dxa"/>
          </w:tcPr>
          <w:p w14:paraId="2484DB20" w14:textId="6F3F4776" w:rsidR="00451F57" w:rsidRPr="00AE2C6C" w:rsidRDefault="00A044C6" w:rsidP="00A044C6">
            <w:pPr>
              <w:pStyle w:val="Tabletext"/>
              <w:ind w:left="284" w:hanging="284"/>
            </w:pPr>
            <w:r>
              <w:rPr>
                <w:rFonts w:eastAsia="SimSun"/>
              </w:rPr>
              <w:t>–</w:t>
            </w:r>
            <w:r>
              <w:rPr>
                <w:rFonts w:eastAsia="SimSun"/>
              </w:rPr>
              <w:tab/>
            </w:r>
            <w:r w:rsidR="00451F57" w:rsidRPr="00AE2C6C">
              <w:t xml:space="preserve">Number of frequency assignments, whose findings have been reviewed pursuant to RR No. </w:t>
            </w:r>
            <w:r w:rsidR="00451F57" w:rsidRPr="00A044C6">
              <w:rPr>
                <w:b/>
                <w:bCs/>
              </w:rPr>
              <w:t>11.50</w:t>
            </w:r>
            <w:r w:rsidR="00451F57" w:rsidRPr="00AE2C6C">
              <w:t>, on a yearly basis.</w:t>
            </w:r>
          </w:p>
          <w:p w14:paraId="17D71E4A" w14:textId="6728380B" w:rsidR="00451F57" w:rsidRPr="00AE2C6C" w:rsidRDefault="00A044C6" w:rsidP="00A044C6">
            <w:pPr>
              <w:pStyle w:val="Tabletext"/>
              <w:ind w:left="284" w:hanging="284"/>
            </w:pPr>
            <w:r>
              <w:rPr>
                <w:rFonts w:eastAsia="SimSun"/>
              </w:rPr>
              <w:t>–</w:t>
            </w:r>
            <w:r>
              <w:rPr>
                <w:rFonts w:eastAsia="SimSun"/>
              </w:rPr>
              <w:tab/>
            </w:r>
            <w:r w:rsidR="00451F57" w:rsidRPr="00AE2C6C">
              <w:t xml:space="preserve">Number of cases treated by BR under RR No. </w:t>
            </w:r>
            <w:r w:rsidR="00451F57" w:rsidRPr="00A044C6">
              <w:rPr>
                <w:b/>
                <w:bCs/>
              </w:rPr>
              <w:t>13.6</w:t>
            </w:r>
            <w:r w:rsidR="00451F57" w:rsidRPr="00AE2C6C">
              <w:t>, on a yearly basis.</w:t>
            </w:r>
          </w:p>
        </w:tc>
        <w:tc>
          <w:tcPr>
            <w:tcW w:w="2403" w:type="dxa"/>
          </w:tcPr>
          <w:p w14:paraId="65E729AB" w14:textId="4452B4B4" w:rsidR="00451F57" w:rsidRPr="00AE2C6C" w:rsidRDefault="00451F57" w:rsidP="00A044C6">
            <w:pPr>
              <w:pStyle w:val="Tabletext"/>
            </w:pPr>
            <w:proofErr w:type="spellStart"/>
            <w:r w:rsidRPr="00AE2C6C">
              <w:t>MIFR</w:t>
            </w:r>
            <w:proofErr w:type="spellEnd"/>
            <w:r w:rsidRPr="00AE2C6C">
              <w:br/>
            </w:r>
            <w:proofErr w:type="spellStart"/>
            <w:r w:rsidRPr="00AE2C6C">
              <w:t>RRB</w:t>
            </w:r>
            <w:proofErr w:type="spellEnd"/>
            <w:r w:rsidRPr="00AE2C6C">
              <w:t>/BR files</w:t>
            </w:r>
          </w:p>
        </w:tc>
      </w:tr>
    </w:tbl>
    <w:p w14:paraId="23C38EF1" w14:textId="77777777" w:rsidR="00451F57" w:rsidRPr="00AE2C6C" w:rsidRDefault="00451F57" w:rsidP="00A044C6">
      <w:pPr>
        <w:pStyle w:val="Tablefin"/>
        <w:rPr>
          <w:highlight w:val="yellow"/>
        </w:rPr>
      </w:pPr>
    </w:p>
    <w:p w14:paraId="204F8A18" w14:textId="4C348241" w:rsidR="00451F57" w:rsidRPr="00AE2C6C" w:rsidRDefault="00AE2C6C" w:rsidP="00A044C6">
      <w:pPr>
        <w:pStyle w:val="Heading1"/>
        <w:rPr>
          <w:rFonts w:asciiTheme="minorHAnsi" w:hAnsiTheme="minorHAnsi" w:cstheme="minorBidi"/>
          <w:bCs/>
        </w:rPr>
      </w:pPr>
      <w:r w:rsidRPr="00AE2C6C">
        <w:rPr>
          <w:rFonts w:asciiTheme="minorHAnsi" w:hAnsiTheme="minorHAnsi" w:cstheme="minorBidi"/>
          <w:bCs/>
        </w:rPr>
        <w:t>4</w:t>
      </w:r>
      <w:r w:rsidRPr="00AE2C6C">
        <w:rPr>
          <w:rFonts w:asciiTheme="minorHAnsi" w:hAnsiTheme="minorHAnsi" w:cstheme="minorBidi"/>
          <w:bCs/>
        </w:rPr>
        <w:tab/>
      </w:r>
      <w:r w:rsidR="00451F57" w:rsidRPr="00AE2C6C">
        <w:rPr>
          <w:rFonts w:asciiTheme="minorHAnsi" w:hAnsiTheme="minorHAnsi" w:cstheme="minorBidi"/>
          <w:bCs/>
        </w:rPr>
        <w:t xml:space="preserve">Alignment between </w:t>
      </w:r>
      <w:r w:rsidR="00A044C6" w:rsidRPr="00AE2C6C">
        <w:rPr>
          <w:rFonts w:asciiTheme="minorHAnsi" w:hAnsiTheme="minorHAnsi" w:cstheme="minorBidi"/>
          <w:bCs/>
        </w:rPr>
        <w:t xml:space="preserve">Documents </w:t>
      </w:r>
      <w:hyperlink r:id="rId17">
        <w:r w:rsidR="00451F57" w:rsidRPr="003056C0">
          <w:rPr>
            <w:rStyle w:val="Hyperlink"/>
          </w:rPr>
          <w:t>CWG-SFP-4/DT/2(</w:t>
        </w:r>
        <w:proofErr w:type="spellStart"/>
        <w:r w:rsidR="00451F57" w:rsidRPr="003056C0">
          <w:rPr>
            <w:rStyle w:val="Hyperlink"/>
          </w:rPr>
          <w:t>Rev.3</w:t>
        </w:r>
        <w:proofErr w:type="spellEnd"/>
        <w:r w:rsidR="00451F57" w:rsidRPr="003056C0">
          <w:rPr>
            <w:rStyle w:val="Hyperlink"/>
          </w:rPr>
          <w:t>)</w:t>
        </w:r>
      </w:hyperlink>
      <w:r w:rsidR="00451F57" w:rsidRPr="00AE2C6C">
        <w:rPr>
          <w:rFonts w:asciiTheme="minorHAnsi" w:hAnsiTheme="minorHAnsi" w:cstheme="minorBidi"/>
          <w:bCs/>
        </w:rPr>
        <w:t xml:space="preserve"> (CWG-SFP) and</w:t>
      </w:r>
      <w:r w:rsidR="003056C0">
        <w:rPr>
          <w:rFonts w:asciiTheme="minorHAnsi" w:hAnsiTheme="minorHAnsi" w:cstheme="minorBidi"/>
          <w:bCs/>
        </w:rPr>
        <w:t> </w:t>
      </w:r>
      <w:hyperlink r:id="rId18">
        <w:r w:rsidR="00451F57" w:rsidRPr="00AE2C6C">
          <w:rPr>
            <w:rStyle w:val="Hyperlink"/>
            <w:rFonts w:asciiTheme="minorHAnsi" w:hAnsiTheme="minorHAnsi" w:cstheme="minorBidi"/>
            <w:bCs/>
          </w:rPr>
          <w:t>CWG-SFP-4/6</w:t>
        </w:r>
      </w:hyperlink>
      <w:r w:rsidR="00451F57" w:rsidRPr="00AE2C6C">
        <w:rPr>
          <w:rFonts w:asciiTheme="minorHAnsi" w:hAnsiTheme="minorHAnsi" w:cstheme="minorBidi"/>
          <w:bCs/>
        </w:rPr>
        <w:t xml:space="preserve"> (RAG)</w:t>
      </w:r>
    </w:p>
    <w:p w14:paraId="6D2F3133" w14:textId="53570333" w:rsidR="00451F57" w:rsidRPr="00AE2C6C" w:rsidRDefault="00451F57" w:rsidP="003056C0">
      <w:pPr>
        <w:jc w:val="both"/>
      </w:pPr>
      <w:r w:rsidRPr="00AE2C6C">
        <w:t>The RAG had not included the outcome “Enhanced use of radiocommunication services” and the corresponding outcome indicators in its contribution to the CWG-SFP. However, it is noted that they continue to appear in the proposed table contained in Appendix A (ITU results framework).</w:t>
      </w:r>
    </w:p>
    <w:p w14:paraId="1E04F51B" w14:textId="0CF1304F" w:rsidR="00451F57" w:rsidRPr="00AE2C6C" w:rsidRDefault="00451F57" w:rsidP="003056C0">
      <w:pPr>
        <w:jc w:val="both"/>
        <w:rPr>
          <w:rFonts w:asciiTheme="minorHAnsi" w:hAnsiTheme="minorHAnsi" w:cstheme="minorBidi"/>
        </w:rPr>
      </w:pPr>
      <w:r w:rsidRPr="00AE2C6C">
        <w:rPr>
          <w:rFonts w:asciiTheme="minorHAnsi" w:hAnsiTheme="minorHAnsi" w:cstheme="minorBidi"/>
        </w:rPr>
        <w:t>In its contribution to the CWG-SFP, the RAG had proposed revised indicators for the outcome ‘Enhanced application of ITU-R recommendations, including those dealing with propagation modelling, used for efficient spectrum management, as well as for sharing and compatibility. However, it is noted that in the table under Appendix A</w:t>
      </w:r>
      <w:r w:rsidR="00F36A55">
        <w:rPr>
          <w:rFonts w:asciiTheme="minorHAnsi" w:hAnsiTheme="minorHAnsi" w:cstheme="minorBidi"/>
        </w:rPr>
        <w:t xml:space="preserve"> –</w:t>
      </w:r>
      <w:r w:rsidRPr="00AE2C6C">
        <w:rPr>
          <w:rFonts w:asciiTheme="minorHAnsi" w:hAnsiTheme="minorHAnsi" w:cstheme="minorBidi"/>
        </w:rPr>
        <w:t xml:space="preserve"> ITU results framework, the outcome itself has been removed, and the new indicators appear in square brackets.</w:t>
      </w:r>
    </w:p>
    <w:p w14:paraId="3F3BCAB3" w14:textId="1BD7050B" w:rsidR="00451F57" w:rsidRPr="00AE2C6C" w:rsidRDefault="00451F57" w:rsidP="003056C0">
      <w:pPr>
        <w:jc w:val="both"/>
        <w:rPr>
          <w:rFonts w:asciiTheme="minorHAnsi" w:hAnsiTheme="minorHAnsi" w:cstheme="minorBidi"/>
        </w:rPr>
      </w:pPr>
      <w:r w:rsidRPr="00AE2C6C">
        <w:rPr>
          <w:rFonts w:asciiTheme="minorHAnsi" w:hAnsiTheme="minorHAnsi" w:cstheme="minorBidi"/>
        </w:rPr>
        <w:t xml:space="preserve">The RAG proposes to align </w:t>
      </w:r>
      <w:r w:rsidR="003056C0" w:rsidRPr="00AE2C6C">
        <w:rPr>
          <w:rFonts w:asciiTheme="minorHAnsi" w:hAnsiTheme="minorHAnsi" w:cstheme="minorBidi"/>
        </w:rPr>
        <w:t xml:space="preserve">Documents </w:t>
      </w:r>
      <w:hyperlink r:id="rId19">
        <w:r w:rsidRPr="003056C0">
          <w:rPr>
            <w:rStyle w:val="Hyperlink"/>
          </w:rPr>
          <w:t>CWG-SFP-4/DT/2(</w:t>
        </w:r>
        <w:proofErr w:type="spellStart"/>
        <w:r w:rsidRPr="003056C0">
          <w:rPr>
            <w:rStyle w:val="Hyperlink"/>
          </w:rPr>
          <w:t>Rev.3</w:t>
        </w:r>
        <w:proofErr w:type="spellEnd"/>
        <w:r w:rsidRPr="003056C0">
          <w:rPr>
            <w:rStyle w:val="Hyperlink"/>
          </w:rPr>
          <w:t>)</w:t>
        </w:r>
      </w:hyperlink>
      <w:r w:rsidRPr="00AE2C6C">
        <w:rPr>
          <w:rFonts w:asciiTheme="minorHAnsi" w:hAnsiTheme="minorHAnsi" w:cstheme="minorBidi"/>
        </w:rPr>
        <w:t xml:space="preserve"> (CWG-SFP) and </w:t>
      </w:r>
      <w:hyperlink r:id="rId20">
        <w:r w:rsidRPr="00AE2C6C">
          <w:rPr>
            <w:rStyle w:val="Hyperlink"/>
            <w:rFonts w:asciiTheme="minorHAnsi" w:hAnsiTheme="minorHAnsi" w:cstheme="minorBidi"/>
          </w:rPr>
          <w:t>CWG-SFP-4/6</w:t>
        </w:r>
      </w:hyperlink>
      <w:r w:rsidRPr="00AE2C6C">
        <w:rPr>
          <w:rFonts w:asciiTheme="minorHAnsi" w:hAnsiTheme="minorHAnsi" w:cstheme="minorBidi"/>
        </w:rPr>
        <w:t xml:space="preserve"> (RAG).</w:t>
      </w:r>
    </w:p>
    <w:p w14:paraId="17B46D3B" w14:textId="77777777" w:rsidR="00696A02" w:rsidRPr="00AE2C6C" w:rsidRDefault="00696A02" w:rsidP="003056C0">
      <w:pPr>
        <w:pStyle w:val="Headingb"/>
      </w:pPr>
      <w:r w:rsidRPr="00AE2C6C">
        <w:t xml:space="preserve">Contact  </w:t>
      </w:r>
    </w:p>
    <w:p w14:paraId="7942EE14" w14:textId="39206677" w:rsidR="00696A02" w:rsidRPr="003056C0" w:rsidRDefault="00696A02" w:rsidP="003056C0">
      <w:pPr>
        <w:spacing w:before="160"/>
      </w:pPr>
      <w:r w:rsidRPr="00AE2C6C">
        <w:t xml:space="preserve">Mr Mohammad </w:t>
      </w:r>
      <w:proofErr w:type="spellStart"/>
      <w:r w:rsidRPr="00AE2C6C">
        <w:t>ALJNOOBI</w:t>
      </w:r>
      <w:proofErr w:type="spellEnd"/>
      <w:r w:rsidRPr="00AE2C6C">
        <w:t xml:space="preserve"> </w:t>
      </w:r>
      <w:r w:rsidRPr="00AE2C6C">
        <w:br/>
        <w:t>Chair, Radiocommunication Advisory Group</w:t>
      </w:r>
      <w:r w:rsidRPr="00AE2C6C">
        <w:br/>
      </w:r>
      <w:hyperlink r:id="rId21" w:history="1">
        <w:proofErr w:type="spellStart"/>
        <w:r w:rsidRPr="00AE2C6C">
          <w:rPr>
            <w:rStyle w:val="Hyperlink"/>
          </w:rPr>
          <w:t>mjnoobi@cst.gov.sa</w:t>
        </w:r>
        <w:proofErr w:type="spellEnd"/>
      </w:hyperlink>
    </w:p>
    <w:sectPr w:rsidR="00696A02" w:rsidRPr="003056C0" w:rsidSect="00AD3606">
      <w:footerReference w:type="default" r:id="rId22"/>
      <w:headerReference w:type="first" r:id="rId23"/>
      <w:footerReference w:type="first" r:id="rId2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0787" w14:textId="77777777" w:rsidR="00197106" w:rsidRDefault="00197106">
      <w:r>
        <w:separator/>
      </w:r>
    </w:p>
  </w:endnote>
  <w:endnote w:type="continuationSeparator" w:id="0">
    <w:p w14:paraId="01647E5D" w14:textId="77777777" w:rsidR="00197106" w:rsidRDefault="0019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>
      <w:trPr>
        <w:jc w:val="center"/>
      </w:trPr>
      <w:tc>
        <w:tcPr>
          <w:tcW w:w="1803" w:type="dxa"/>
          <w:vAlign w:val="center"/>
        </w:tcPr>
        <w:p w14:paraId="727FD637" w14:textId="0ADC8A3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2B8A7653" w:rsidR="00EE49E8" w:rsidRPr="00E06FD5" w:rsidRDefault="00EE49E8" w:rsidP="00196060">
          <w:pPr>
            <w:pStyle w:val="Header"/>
            <w:tabs>
              <w:tab w:val="left" w:pos="631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640688">
            <w:rPr>
              <w:bCs/>
            </w:rPr>
            <w:t>SFP-</w:t>
          </w:r>
          <w:r w:rsidR="00AE2C6C">
            <w:rPr>
              <w:bCs/>
            </w:rPr>
            <w:t>5/5</w:t>
          </w:r>
          <w:r w:rsidR="00A52C84"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28E55B31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196060">
              <w:rPr>
                <w:rStyle w:val="Hyperlink"/>
              </w:rPr>
              <w:t>council.itu.int</w:t>
            </w:r>
            <w:proofErr w:type="spellEnd"/>
            <w:r w:rsidRPr="00196060">
              <w:rPr>
                <w:rStyle w:val="Hyperlink"/>
              </w:rPr>
              <w:t>/working-groups</w:t>
            </w:r>
          </w:hyperlink>
        </w:p>
      </w:tc>
      <w:tc>
        <w:tcPr>
          <w:tcW w:w="6957" w:type="dxa"/>
        </w:tcPr>
        <w:p w14:paraId="3F62E0D8" w14:textId="53838275" w:rsidR="00EE49E8" w:rsidRPr="00E06FD5" w:rsidRDefault="00EE49E8" w:rsidP="00196060">
          <w:pPr>
            <w:pStyle w:val="Header"/>
            <w:tabs>
              <w:tab w:val="left" w:pos="51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640688">
            <w:rPr>
              <w:bCs/>
            </w:rPr>
            <w:t>SFP-</w:t>
          </w:r>
          <w:r w:rsidR="00AE2C6C">
            <w:rPr>
              <w:bCs/>
            </w:rPr>
            <w:t>5</w:t>
          </w:r>
          <w:r w:rsidR="006E635B">
            <w:rPr>
              <w:bCs/>
            </w:rPr>
            <w:t>/</w:t>
          </w:r>
          <w:r w:rsidR="00AE2C6C">
            <w:rPr>
              <w:bCs/>
            </w:rPr>
            <w:t>5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831F3" w14:textId="77777777" w:rsidR="00197106" w:rsidRDefault="00197106">
      <w:r>
        <w:t>____________________</w:t>
      </w:r>
    </w:p>
  </w:footnote>
  <w:footnote w:type="continuationSeparator" w:id="0">
    <w:p w14:paraId="028DCB2B" w14:textId="77777777" w:rsidR="00197106" w:rsidRDefault="00197106">
      <w:r>
        <w:continuationSeparator/>
      </w:r>
    </w:p>
  </w:footnote>
  <w:footnote w:id="1">
    <w:p w14:paraId="73DC1036" w14:textId="77C5473F" w:rsidR="00451F57" w:rsidRPr="00B3369D" w:rsidRDefault="00451F57" w:rsidP="00451F57">
      <w:pPr>
        <w:pStyle w:val="FootnoteText"/>
      </w:pPr>
      <w:r>
        <w:rPr>
          <w:rStyle w:val="FootnoteReference"/>
        </w:rPr>
        <w:footnoteRef/>
      </w:r>
      <w:r w:rsidR="004812ED">
        <w:tab/>
      </w:r>
      <w:r w:rsidRPr="008667CE">
        <w:t xml:space="preserve">See </w:t>
      </w:r>
      <w:hyperlink r:id="rId1" w:tooltip="https://datahub.itu.int/data/?i=19303&amp;d=Technology&amp;g=11630" w:history="1">
        <w:r w:rsidRPr="00B3369D">
          <w:rPr>
            <w:rStyle w:val="Hyperlink"/>
          </w:rPr>
          <w:t>https://</w:t>
        </w:r>
        <w:proofErr w:type="spellStart"/>
        <w:r w:rsidRPr="00B3369D">
          <w:rPr>
            <w:rStyle w:val="Hyperlink"/>
          </w:rPr>
          <w:t>datahub.itu.int</w:t>
        </w:r>
        <w:proofErr w:type="spellEnd"/>
        <w:r w:rsidRPr="00B3369D">
          <w:rPr>
            <w:rStyle w:val="Hyperlink"/>
          </w:rPr>
          <w:t>/data/?</w:t>
        </w:r>
        <w:proofErr w:type="spellStart"/>
        <w:r w:rsidRPr="00B3369D">
          <w:rPr>
            <w:rStyle w:val="Hyperlink"/>
          </w:rPr>
          <w:t>i</w:t>
        </w:r>
        <w:proofErr w:type="spellEnd"/>
        <w:r w:rsidRPr="00B3369D">
          <w:rPr>
            <w:rStyle w:val="Hyperlink"/>
          </w:rPr>
          <w:t>=</w:t>
        </w:r>
        <w:proofErr w:type="spellStart"/>
        <w:r w:rsidRPr="00B3369D">
          <w:rPr>
            <w:rStyle w:val="Hyperlink"/>
          </w:rPr>
          <w:t>19303&amp;d</w:t>
        </w:r>
        <w:proofErr w:type="spellEnd"/>
        <w:r w:rsidRPr="00B3369D">
          <w:rPr>
            <w:rStyle w:val="Hyperlink"/>
          </w:rPr>
          <w:t>=</w:t>
        </w:r>
        <w:proofErr w:type="spellStart"/>
        <w:r w:rsidRPr="00B3369D">
          <w:rPr>
            <w:rStyle w:val="Hyperlink"/>
          </w:rPr>
          <w:t>Technology&amp;g</w:t>
        </w:r>
        <w:proofErr w:type="spellEnd"/>
        <w:r w:rsidRPr="00B3369D">
          <w:rPr>
            <w:rStyle w:val="Hyperlink"/>
          </w:rPr>
          <w:t>=11630</w:t>
        </w:r>
      </w:hyperlink>
      <w:r w:rsidR="004812E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3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D3FC896" id="Rectangle 2" o:spid="_x0000_s1026" style="position:absolute;margin-left:44.9pt;margin-top:5pt;width:130.15pt;height:42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3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7E9CA0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0DE4BB49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="00640688">
                            <w:rPr>
                              <w:b/>
                              <w:bCs/>
                              <w:szCs w:val="24"/>
                            </w:rPr>
                            <w:t>for strategic and financial plans 2028-2031</w:t>
                          </w:r>
                          <w:r>
                            <w:br/>
                          </w:r>
                          <w:r w:rsidR="00196060" w:rsidRPr="009C20D8">
                            <w:rPr>
                              <w:sz w:val="20"/>
                            </w:rPr>
                            <w:t>F</w:t>
                          </w:r>
                          <w:r w:rsidR="009C20D8" w:rsidRPr="009C20D8">
                            <w:rPr>
                              <w:sz w:val="20"/>
                            </w:rPr>
                            <w:t>ifth</w:t>
                          </w:r>
                          <w:r w:rsidRPr="009C20D8">
                            <w:rPr>
                              <w:sz w:val="20"/>
                            </w:rPr>
                            <w:t xml:space="preserve"> meeting </w:t>
                          </w:r>
                          <w:r w:rsidR="00A94376" w:rsidRPr="009C20D8">
                            <w:rPr>
                              <w:sz w:val="20"/>
                            </w:rPr>
                            <w:t>–</w:t>
                          </w:r>
                          <w:r w:rsidR="00B358B2" w:rsidRPr="009C20D8">
                            <w:rPr>
                              <w:sz w:val="20"/>
                            </w:rPr>
                            <w:t xml:space="preserve"> </w:t>
                          </w:r>
                          <w:r w:rsidR="009C20D8" w:rsidRPr="009C20D8">
                            <w:rPr>
                              <w:sz w:val="20"/>
                            </w:rPr>
                            <w:t xml:space="preserve">27 April </w:t>
                          </w:r>
                          <w:r w:rsidR="00E03C3D" w:rsidRPr="009C20D8">
                            <w:rPr>
                              <w:sz w:val="20"/>
                            </w:rPr>
                            <w:t>202</w:t>
                          </w:r>
                          <w:r w:rsidR="00196060" w:rsidRPr="009C20D8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0DE4BB49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="00640688">
                      <w:rPr>
                        <w:b/>
                        <w:bCs/>
                        <w:szCs w:val="24"/>
                      </w:rPr>
                      <w:t>for strategic and financial plans 2028-2031</w:t>
                    </w:r>
                    <w:r>
                      <w:br/>
                    </w:r>
                    <w:r w:rsidR="00196060" w:rsidRPr="009C20D8">
                      <w:rPr>
                        <w:sz w:val="20"/>
                      </w:rPr>
                      <w:t>F</w:t>
                    </w:r>
                    <w:r w:rsidR="009C20D8" w:rsidRPr="009C20D8">
                      <w:rPr>
                        <w:sz w:val="20"/>
                      </w:rPr>
                      <w:t>ifth</w:t>
                    </w:r>
                    <w:r w:rsidRPr="009C20D8">
                      <w:rPr>
                        <w:sz w:val="20"/>
                      </w:rPr>
                      <w:t xml:space="preserve"> meeting </w:t>
                    </w:r>
                    <w:r w:rsidR="00A94376" w:rsidRPr="009C20D8">
                      <w:rPr>
                        <w:sz w:val="20"/>
                      </w:rPr>
                      <w:t>–</w:t>
                    </w:r>
                    <w:r w:rsidR="00B358B2" w:rsidRPr="009C20D8">
                      <w:rPr>
                        <w:sz w:val="20"/>
                      </w:rPr>
                      <w:t xml:space="preserve"> </w:t>
                    </w:r>
                    <w:r w:rsidR="009C20D8" w:rsidRPr="009C20D8">
                      <w:rPr>
                        <w:sz w:val="20"/>
                      </w:rPr>
                      <w:t xml:space="preserve">27 April </w:t>
                    </w:r>
                    <w:r w:rsidR="00E03C3D" w:rsidRPr="009C20D8">
                      <w:rPr>
                        <w:sz w:val="20"/>
                      </w:rPr>
                      <w:t>202</w:t>
                    </w:r>
                    <w:r w:rsidR="00196060" w:rsidRPr="009C20D8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9021B"/>
    <w:multiLevelType w:val="hybridMultilevel"/>
    <w:tmpl w:val="7F8EEC48"/>
    <w:lvl w:ilvl="0" w:tplc="2FA2A5F2">
      <w:start w:val="1"/>
      <w:numFmt w:val="decimal"/>
      <w:lvlText w:val="%1."/>
      <w:lvlJc w:val="left"/>
      <w:pPr>
        <w:ind w:left="720" w:hanging="360"/>
      </w:pPr>
    </w:lvl>
    <w:lvl w:ilvl="1" w:tplc="CA827620">
      <w:start w:val="1"/>
      <w:numFmt w:val="lowerLetter"/>
      <w:lvlText w:val="%2."/>
      <w:lvlJc w:val="left"/>
      <w:pPr>
        <w:ind w:left="1440" w:hanging="360"/>
      </w:pPr>
    </w:lvl>
    <w:lvl w:ilvl="2" w:tplc="137A9FDE">
      <w:start w:val="1"/>
      <w:numFmt w:val="lowerRoman"/>
      <w:lvlText w:val="%3."/>
      <w:lvlJc w:val="right"/>
      <w:pPr>
        <w:ind w:left="2160" w:hanging="180"/>
      </w:pPr>
    </w:lvl>
    <w:lvl w:ilvl="3" w:tplc="9846575A">
      <w:start w:val="1"/>
      <w:numFmt w:val="decimal"/>
      <w:lvlText w:val="%4."/>
      <w:lvlJc w:val="left"/>
      <w:pPr>
        <w:ind w:left="2880" w:hanging="360"/>
      </w:pPr>
    </w:lvl>
    <w:lvl w:ilvl="4" w:tplc="83DAACE0">
      <w:start w:val="1"/>
      <w:numFmt w:val="lowerLetter"/>
      <w:lvlText w:val="%5."/>
      <w:lvlJc w:val="left"/>
      <w:pPr>
        <w:ind w:left="3600" w:hanging="360"/>
      </w:pPr>
    </w:lvl>
    <w:lvl w:ilvl="5" w:tplc="C18CB3DC">
      <w:start w:val="1"/>
      <w:numFmt w:val="lowerRoman"/>
      <w:lvlText w:val="%6."/>
      <w:lvlJc w:val="right"/>
      <w:pPr>
        <w:ind w:left="4320" w:hanging="180"/>
      </w:pPr>
    </w:lvl>
    <w:lvl w:ilvl="6" w:tplc="8646A4E4">
      <w:start w:val="1"/>
      <w:numFmt w:val="decimal"/>
      <w:lvlText w:val="%7."/>
      <w:lvlJc w:val="left"/>
      <w:pPr>
        <w:ind w:left="5040" w:hanging="360"/>
      </w:pPr>
    </w:lvl>
    <w:lvl w:ilvl="7" w:tplc="714C092C">
      <w:start w:val="1"/>
      <w:numFmt w:val="lowerLetter"/>
      <w:lvlText w:val="%8."/>
      <w:lvlJc w:val="left"/>
      <w:pPr>
        <w:ind w:left="5760" w:hanging="360"/>
      </w:pPr>
    </w:lvl>
    <w:lvl w:ilvl="8" w:tplc="58647DA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B251B"/>
    <w:multiLevelType w:val="hybridMultilevel"/>
    <w:tmpl w:val="F094E8E2"/>
    <w:lvl w:ilvl="0" w:tplc="2C0C000F">
      <w:start w:val="1"/>
      <w:numFmt w:val="decimal"/>
      <w:lvlText w:val="%1."/>
      <w:lvlJc w:val="left"/>
      <w:pPr>
        <w:ind w:left="720" w:hanging="360"/>
      </w:p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1377E"/>
    <w:multiLevelType w:val="multilevel"/>
    <w:tmpl w:val="5B1E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D34E92"/>
    <w:multiLevelType w:val="multilevel"/>
    <w:tmpl w:val="026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83B8E7"/>
    <w:multiLevelType w:val="hybridMultilevel"/>
    <w:tmpl w:val="FFFFFFFF"/>
    <w:lvl w:ilvl="0" w:tplc="A02072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70B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4F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A0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27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180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4F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40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6F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76B8D"/>
    <w:multiLevelType w:val="hybridMultilevel"/>
    <w:tmpl w:val="F6B63262"/>
    <w:lvl w:ilvl="0" w:tplc="D61471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A6592"/>
    <w:multiLevelType w:val="multilevel"/>
    <w:tmpl w:val="BE60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067691"/>
    <w:multiLevelType w:val="multilevel"/>
    <w:tmpl w:val="D3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C62E6F"/>
    <w:multiLevelType w:val="hybridMultilevel"/>
    <w:tmpl w:val="8642F774"/>
    <w:lvl w:ilvl="0" w:tplc="180A77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716E9"/>
    <w:multiLevelType w:val="hybridMultilevel"/>
    <w:tmpl w:val="38E06516"/>
    <w:lvl w:ilvl="0" w:tplc="180A77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424E3"/>
    <w:multiLevelType w:val="hybridMultilevel"/>
    <w:tmpl w:val="FFFFFFFF"/>
    <w:lvl w:ilvl="0" w:tplc="60BC8EE6">
      <w:start w:val="1"/>
      <w:numFmt w:val="bullet"/>
      <w:lvlText w:val="-"/>
      <w:lvlJc w:val="left"/>
      <w:pPr>
        <w:ind w:left="927" w:hanging="360"/>
      </w:pPr>
      <w:rPr>
        <w:rFonts w:ascii="Aptos" w:hAnsi="Aptos" w:hint="default"/>
      </w:rPr>
    </w:lvl>
    <w:lvl w:ilvl="1" w:tplc="ADF05E92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982A281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87B83E8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F44F40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BE24F844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5945E0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BF42DE44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5E08DDE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393741077">
    <w:abstractNumId w:val="6"/>
  </w:num>
  <w:num w:numId="3" w16cid:durableId="322634125">
    <w:abstractNumId w:val="7"/>
  </w:num>
  <w:num w:numId="4" w16cid:durableId="1851917942">
    <w:abstractNumId w:val="3"/>
  </w:num>
  <w:num w:numId="5" w16cid:durableId="1637222026">
    <w:abstractNumId w:val="4"/>
  </w:num>
  <w:num w:numId="6" w16cid:durableId="2014524449">
    <w:abstractNumId w:val="8"/>
  </w:num>
  <w:num w:numId="7" w16cid:durableId="1272974193">
    <w:abstractNumId w:val="2"/>
  </w:num>
  <w:num w:numId="8" w16cid:durableId="482089298">
    <w:abstractNumId w:val="11"/>
  </w:num>
  <w:num w:numId="9" w16cid:durableId="327634312">
    <w:abstractNumId w:val="5"/>
  </w:num>
  <w:num w:numId="10" w16cid:durableId="1434089836">
    <w:abstractNumId w:val="1"/>
  </w:num>
  <w:num w:numId="11" w16cid:durableId="827668673">
    <w:abstractNumId w:val="10"/>
  </w:num>
  <w:num w:numId="12" w16cid:durableId="125321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01A1A"/>
    <w:rsid w:val="0000248D"/>
    <w:rsid w:val="00003494"/>
    <w:rsid w:val="000170A7"/>
    <w:rsid w:val="000210D4"/>
    <w:rsid w:val="00021F65"/>
    <w:rsid w:val="00041094"/>
    <w:rsid w:val="00042F5B"/>
    <w:rsid w:val="00056C83"/>
    <w:rsid w:val="00057E29"/>
    <w:rsid w:val="00063016"/>
    <w:rsid w:val="00063599"/>
    <w:rsid w:val="00066795"/>
    <w:rsid w:val="00076A8F"/>
    <w:rsid w:val="00076AF6"/>
    <w:rsid w:val="00076C7E"/>
    <w:rsid w:val="00084C0E"/>
    <w:rsid w:val="00085CF2"/>
    <w:rsid w:val="0009108E"/>
    <w:rsid w:val="000920AB"/>
    <w:rsid w:val="00096304"/>
    <w:rsid w:val="000A3174"/>
    <w:rsid w:val="000A79E1"/>
    <w:rsid w:val="000B1705"/>
    <w:rsid w:val="000B1B95"/>
    <w:rsid w:val="000B7FA8"/>
    <w:rsid w:val="000C07B8"/>
    <w:rsid w:val="000C780C"/>
    <w:rsid w:val="000D2F3E"/>
    <w:rsid w:val="000D50E2"/>
    <w:rsid w:val="000D5ED9"/>
    <w:rsid w:val="000D75B2"/>
    <w:rsid w:val="000F07D9"/>
    <w:rsid w:val="000F2D63"/>
    <w:rsid w:val="001121F5"/>
    <w:rsid w:val="00117D3A"/>
    <w:rsid w:val="00122F8D"/>
    <w:rsid w:val="00130599"/>
    <w:rsid w:val="00133F1E"/>
    <w:rsid w:val="00136E56"/>
    <w:rsid w:val="001400DC"/>
    <w:rsid w:val="0014061D"/>
    <w:rsid w:val="00140A1B"/>
    <w:rsid w:val="00140CE1"/>
    <w:rsid w:val="001424C6"/>
    <w:rsid w:val="00144DD2"/>
    <w:rsid w:val="00144EC4"/>
    <w:rsid w:val="00151525"/>
    <w:rsid w:val="00152F42"/>
    <w:rsid w:val="00160A0C"/>
    <w:rsid w:val="00161714"/>
    <w:rsid w:val="001668E3"/>
    <w:rsid w:val="00172433"/>
    <w:rsid w:val="00172ED6"/>
    <w:rsid w:val="001751E5"/>
    <w:rsid w:val="001751FF"/>
    <w:rsid w:val="0017539C"/>
    <w:rsid w:val="00175AC2"/>
    <w:rsid w:val="0017609F"/>
    <w:rsid w:val="00176C03"/>
    <w:rsid w:val="00183108"/>
    <w:rsid w:val="001928C8"/>
    <w:rsid w:val="00196060"/>
    <w:rsid w:val="0019628A"/>
    <w:rsid w:val="00197106"/>
    <w:rsid w:val="001A19C2"/>
    <w:rsid w:val="001A74DC"/>
    <w:rsid w:val="001A7D1D"/>
    <w:rsid w:val="001B0E09"/>
    <w:rsid w:val="001B51DD"/>
    <w:rsid w:val="001C1F62"/>
    <w:rsid w:val="001C628E"/>
    <w:rsid w:val="001C7519"/>
    <w:rsid w:val="001D0973"/>
    <w:rsid w:val="001D3277"/>
    <w:rsid w:val="001E0F7B"/>
    <w:rsid w:val="001E0FBE"/>
    <w:rsid w:val="001E3AE9"/>
    <w:rsid w:val="001E4C74"/>
    <w:rsid w:val="001E5504"/>
    <w:rsid w:val="001F0437"/>
    <w:rsid w:val="001F2FEC"/>
    <w:rsid w:val="001F4C2F"/>
    <w:rsid w:val="001F512C"/>
    <w:rsid w:val="001F53FD"/>
    <w:rsid w:val="001F6417"/>
    <w:rsid w:val="0020704A"/>
    <w:rsid w:val="002119FD"/>
    <w:rsid w:val="002130E0"/>
    <w:rsid w:val="002135A1"/>
    <w:rsid w:val="002135F9"/>
    <w:rsid w:val="002145E1"/>
    <w:rsid w:val="00215A2C"/>
    <w:rsid w:val="0022316E"/>
    <w:rsid w:val="002254EA"/>
    <w:rsid w:val="00225CAF"/>
    <w:rsid w:val="00232087"/>
    <w:rsid w:val="002404ED"/>
    <w:rsid w:val="00244F7F"/>
    <w:rsid w:val="00246BAB"/>
    <w:rsid w:val="00247600"/>
    <w:rsid w:val="00251D8D"/>
    <w:rsid w:val="00257695"/>
    <w:rsid w:val="0026092B"/>
    <w:rsid w:val="00260ACE"/>
    <w:rsid w:val="002611E5"/>
    <w:rsid w:val="00261860"/>
    <w:rsid w:val="00262286"/>
    <w:rsid w:val="00264425"/>
    <w:rsid w:val="00265875"/>
    <w:rsid w:val="00266A58"/>
    <w:rsid w:val="00267569"/>
    <w:rsid w:val="00267D12"/>
    <w:rsid w:val="0027303B"/>
    <w:rsid w:val="00273BB5"/>
    <w:rsid w:val="00273D16"/>
    <w:rsid w:val="002752FB"/>
    <w:rsid w:val="002770E6"/>
    <w:rsid w:val="0028109B"/>
    <w:rsid w:val="0028122A"/>
    <w:rsid w:val="002856A7"/>
    <w:rsid w:val="00294611"/>
    <w:rsid w:val="0029557C"/>
    <w:rsid w:val="00296060"/>
    <w:rsid w:val="002A2188"/>
    <w:rsid w:val="002A3CAC"/>
    <w:rsid w:val="002A509B"/>
    <w:rsid w:val="002A5D23"/>
    <w:rsid w:val="002A63E6"/>
    <w:rsid w:val="002B1F58"/>
    <w:rsid w:val="002C1C7A"/>
    <w:rsid w:val="002C546B"/>
    <w:rsid w:val="002C54E2"/>
    <w:rsid w:val="002C6393"/>
    <w:rsid w:val="002D04CA"/>
    <w:rsid w:val="002E1E1F"/>
    <w:rsid w:val="002E5E87"/>
    <w:rsid w:val="002E64A1"/>
    <w:rsid w:val="002F0887"/>
    <w:rsid w:val="002F0A10"/>
    <w:rsid w:val="002F1283"/>
    <w:rsid w:val="002F4E1C"/>
    <w:rsid w:val="002F7C16"/>
    <w:rsid w:val="00300BA1"/>
    <w:rsid w:val="00300CFE"/>
    <w:rsid w:val="0030160F"/>
    <w:rsid w:val="003043FD"/>
    <w:rsid w:val="003056C0"/>
    <w:rsid w:val="00320223"/>
    <w:rsid w:val="00320869"/>
    <w:rsid w:val="00320DA7"/>
    <w:rsid w:val="00322D0D"/>
    <w:rsid w:val="00324F37"/>
    <w:rsid w:val="00333A5D"/>
    <w:rsid w:val="00334429"/>
    <w:rsid w:val="003446FE"/>
    <w:rsid w:val="00355EE1"/>
    <w:rsid w:val="00361465"/>
    <w:rsid w:val="00362B64"/>
    <w:rsid w:val="00366D89"/>
    <w:rsid w:val="00370032"/>
    <w:rsid w:val="003717FD"/>
    <w:rsid w:val="00374285"/>
    <w:rsid w:val="0037530E"/>
    <w:rsid w:val="00381001"/>
    <w:rsid w:val="003815DA"/>
    <w:rsid w:val="00383DE8"/>
    <w:rsid w:val="00384AA9"/>
    <w:rsid w:val="00384E65"/>
    <w:rsid w:val="003877F5"/>
    <w:rsid w:val="003942D4"/>
    <w:rsid w:val="003958A8"/>
    <w:rsid w:val="003A089D"/>
    <w:rsid w:val="003A3F56"/>
    <w:rsid w:val="003A5828"/>
    <w:rsid w:val="003A71DC"/>
    <w:rsid w:val="003B6FDF"/>
    <w:rsid w:val="003C064C"/>
    <w:rsid w:val="003C09BC"/>
    <w:rsid w:val="003C2533"/>
    <w:rsid w:val="003D2577"/>
    <w:rsid w:val="003D3384"/>
    <w:rsid w:val="003D55B9"/>
    <w:rsid w:val="003D5A7F"/>
    <w:rsid w:val="003E2F14"/>
    <w:rsid w:val="003E3A27"/>
    <w:rsid w:val="003E74F3"/>
    <w:rsid w:val="003F0953"/>
    <w:rsid w:val="003F3A08"/>
    <w:rsid w:val="003F58E9"/>
    <w:rsid w:val="003F6F94"/>
    <w:rsid w:val="003F734F"/>
    <w:rsid w:val="003F776C"/>
    <w:rsid w:val="00401662"/>
    <w:rsid w:val="004016E2"/>
    <w:rsid w:val="00403D1E"/>
    <w:rsid w:val="0040435A"/>
    <w:rsid w:val="00405ECF"/>
    <w:rsid w:val="00405FAB"/>
    <w:rsid w:val="00407434"/>
    <w:rsid w:val="00411747"/>
    <w:rsid w:val="00412367"/>
    <w:rsid w:val="00416A24"/>
    <w:rsid w:val="00421F65"/>
    <w:rsid w:val="00423DCF"/>
    <w:rsid w:val="00431D9E"/>
    <w:rsid w:val="00433CE8"/>
    <w:rsid w:val="00434A5C"/>
    <w:rsid w:val="00434AE1"/>
    <w:rsid w:val="00436616"/>
    <w:rsid w:val="00436E55"/>
    <w:rsid w:val="00437801"/>
    <w:rsid w:val="00445CE1"/>
    <w:rsid w:val="00450436"/>
    <w:rsid w:val="004511B4"/>
    <w:rsid w:val="00451F57"/>
    <w:rsid w:val="004544D9"/>
    <w:rsid w:val="00460C1B"/>
    <w:rsid w:val="00461DC4"/>
    <w:rsid w:val="00472411"/>
    <w:rsid w:val="00472BAD"/>
    <w:rsid w:val="0047373F"/>
    <w:rsid w:val="00473E44"/>
    <w:rsid w:val="00475E43"/>
    <w:rsid w:val="004812ED"/>
    <w:rsid w:val="00484009"/>
    <w:rsid w:val="00484540"/>
    <w:rsid w:val="00490E72"/>
    <w:rsid w:val="00491157"/>
    <w:rsid w:val="00491AAB"/>
    <w:rsid w:val="00491F52"/>
    <w:rsid w:val="004921C8"/>
    <w:rsid w:val="00495B0B"/>
    <w:rsid w:val="004964B7"/>
    <w:rsid w:val="00496DC5"/>
    <w:rsid w:val="004A1364"/>
    <w:rsid w:val="004A1B8B"/>
    <w:rsid w:val="004A458D"/>
    <w:rsid w:val="004A530D"/>
    <w:rsid w:val="004B03FC"/>
    <w:rsid w:val="004B0995"/>
    <w:rsid w:val="004B0E46"/>
    <w:rsid w:val="004C0402"/>
    <w:rsid w:val="004C6836"/>
    <w:rsid w:val="004D11C5"/>
    <w:rsid w:val="004D1851"/>
    <w:rsid w:val="004D384A"/>
    <w:rsid w:val="004D599D"/>
    <w:rsid w:val="004D7343"/>
    <w:rsid w:val="004D7996"/>
    <w:rsid w:val="004E024F"/>
    <w:rsid w:val="004E0754"/>
    <w:rsid w:val="004E0FFC"/>
    <w:rsid w:val="004E2037"/>
    <w:rsid w:val="004E2EA5"/>
    <w:rsid w:val="004E3AEB"/>
    <w:rsid w:val="004F357A"/>
    <w:rsid w:val="004F3E98"/>
    <w:rsid w:val="004F551E"/>
    <w:rsid w:val="0050223C"/>
    <w:rsid w:val="00502913"/>
    <w:rsid w:val="00504742"/>
    <w:rsid w:val="005060A4"/>
    <w:rsid w:val="00515150"/>
    <w:rsid w:val="005178A1"/>
    <w:rsid w:val="005243FF"/>
    <w:rsid w:val="00525B20"/>
    <w:rsid w:val="00533D34"/>
    <w:rsid w:val="005363EB"/>
    <w:rsid w:val="00536710"/>
    <w:rsid w:val="0054178E"/>
    <w:rsid w:val="00541E6B"/>
    <w:rsid w:val="005462AC"/>
    <w:rsid w:val="005501E5"/>
    <w:rsid w:val="00550BD7"/>
    <w:rsid w:val="00551A37"/>
    <w:rsid w:val="00557BB4"/>
    <w:rsid w:val="00564FBC"/>
    <w:rsid w:val="00564FE7"/>
    <w:rsid w:val="005718FE"/>
    <w:rsid w:val="005766C2"/>
    <w:rsid w:val="005800BC"/>
    <w:rsid w:val="00580295"/>
    <w:rsid w:val="0058182D"/>
    <w:rsid w:val="00582442"/>
    <w:rsid w:val="005849EA"/>
    <w:rsid w:val="0059197D"/>
    <w:rsid w:val="005A335D"/>
    <w:rsid w:val="005A4B80"/>
    <w:rsid w:val="005B0868"/>
    <w:rsid w:val="005B5555"/>
    <w:rsid w:val="005B603B"/>
    <w:rsid w:val="005C4432"/>
    <w:rsid w:val="005D056D"/>
    <w:rsid w:val="005D1650"/>
    <w:rsid w:val="005D28DD"/>
    <w:rsid w:val="005D5A92"/>
    <w:rsid w:val="005D621C"/>
    <w:rsid w:val="005E0B93"/>
    <w:rsid w:val="005E2BD5"/>
    <w:rsid w:val="005E413D"/>
    <w:rsid w:val="005E5CC9"/>
    <w:rsid w:val="005E7048"/>
    <w:rsid w:val="005F020D"/>
    <w:rsid w:val="005F3269"/>
    <w:rsid w:val="005F5808"/>
    <w:rsid w:val="005F71E2"/>
    <w:rsid w:val="005F7744"/>
    <w:rsid w:val="00605512"/>
    <w:rsid w:val="00607E79"/>
    <w:rsid w:val="00615FDC"/>
    <w:rsid w:val="00623AE3"/>
    <w:rsid w:val="00627E4F"/>
    <w:rsid w:val="0063330A"/>
    <w:rsid w:val="00634501"/>
    <w:rsid w:val="0063568D"/>
    <w:rsid w:val="00640688"/>
    <w:rsid w:val="006445FF"/>
    <w:rsid w:val="0064737F"/>
    <w:rsid w:val="006535F1"/>
    <w:rsid w:val="0065557D"/>
    <w:rsid w:val="00660000"/>
    <w:rsid w:val="00660D50"/>
    <w:rsid w:val="00662984"/>
    <w:rsid w:val="006644AA"/>
    <w:rsid w:val="00664648"/>
    <w:rsid w:val="00670786"/>
    <w:rsid w:val="00670936"/>
    <w:rsid w:val="006716BB"/>
    <w:rsid w:val="00676C7D"/>
    <w:rsid w:val="00677E94"/>
    <w:rsid w:val="00696A02"/>
    <w:rsid w:val="006A08FD"/>
    <w:rsid w:val="006A2674"/>
    <w:rsid w:val="006A4D3C"/>
    <w:rsid w:val="006A6B67"/>
    <w:rsid w:val="006B1859"/>
    <w:rsid w:val="006B2FEE"/>
    <w:rsid w:val="006B393D"/>
    <w:rsid w:val="006B39E8"/>
    <w:rsid w:val="006B6680"/>
    <w:rsid w:val="006B6DCC"/>
    <w:rsid w:val="006B71EB"/>
    <w:rsid w:val="006C50A5"/>
    <w:rsid w:val="006C5D4D"/>
    <w:rsid w:val="006E51CC"/>
    <w:rsid w:val="006E5B60"/>
    <w:rsid w:val="006E635B"/>
    <w:rsid w:val="006F3B57"/>
    <w:rsid w:val="00702DEF"/>
    <w:rsid w:val="00704E25"/>
    <w:rsid w:val="007053B2"/>
    <w:rsid w:val="00706861"/>
    <w:rsid w:val="00706F94"/>
    <w:rsid w:val="00715EB3"/>
    <w:rsid w:val="00716D74"/>
    <w:rsid w:val="00720538"/>
    <w:rsid w:val="00726C19"/>
    <w:rsid w:val="007321A2"/>
    <w:rsid w:val="007411C3"/>
    <w:rsid w:val="0074309F"/>
    <w:rsid w:val="007433E5"/>
    <w:rsid w:val="007447C8"/>
    <w:rsid w:val="00745DD0"/>
    <w:rsid w:val="007504A8"/>
    <w:rsid w:val="0075051B"/>
    <w:rsid w:val="00762076"/>
    <w:rsid w:val="00767499"/>
    <w:rsid w:val="00771699"/>
    <w:rsid w:val="00775655"/>
    <w:rsid w:val="007757C9"/>
    <w:rsid w:val="00775DBC"/>
    <w:rsid w:val="00776CB2"/>
    <w:rsid w:val="007815F2"/>
    <w:rsid w:val="0078193E"/>
    <w:rsid w:val="00784AF3"/>
    <w:rsid w:val="0078775C"/>
    <w:rsid w:val="00790A82"/>
    <w:rsid w:val="00791A97"/>
    <w:rsid w:val="00793188"/>
    <w:rsid w:val="0079342D"/>
    <w:rsid w:val="00794D34"/>
    <w:rsid w:val="007953C8"/>
    <w:rsid w:val="007977B4"/>
    <w:rsid w:val="007A02CE"/>
    <w:rsid w:val="007A1205"/>
    <w:rsid w:val="007A7B1B"/>
    <w:rsid w:val="007A7D4D"/>
    <w:rsid w:val="007B1003"/>
    <w:rsid w:val="007B43A8"/>
    <w:rsid w:val="007B7CEB"/>
    <w:rsid w:val="007C2112"/>
    <w:rsid w:val="007C2901"/>
    <w:rsid w:val="007C2E1A"/>
    <w:rsid w:val="007C4C8E"/>
    <w:rsid w:val="007D58B3"/>
    <w:rsid w:val="007D6962"/>
    <w:rsid w:val="007D7150"/>
    <w:rsid w:val="007E4124"/>
    <w:rsid w:val="007F1EF2"/>
    <w:rsid w:val="007F66A6"/>
    <w:rsid w:val="0080311E"/>
    <w:rsid w:val="00804FDD"/>
    <w:rsid w:val="008079C2"/>
    <w:rsid w:val="00813A27"/>
    <w:rsid w:val="00813E5E"/>
    <w:rsid w:val="008160F3"/>
    <w:rsid w:val="00820239"/>
    <w:rsid w:val="008208A3"/>
    <w:rsid w:val="008222A2"/>
    <w:rsid w:val="00825608"/>
    <w:rsid w:val="00826C63"/>
    <w:rsid w:val="008310B6"/>
    <w:rsid w:val="0083581B"/>
    <w:rsid w:val="00835E42"/>
    <w:rsid w:val="00844738"/>
    <w:rsid w:val="00855512"/>
    <w:rsid w:val="00863874"/>
    <w:rsid w:val="00864AFF"/>
    <w:rsid w:val="00864B58"/>
    <w:rsid w:val="00865925"/>
    <w:rsid w:val="00872563"/>
    <w:rsid w:val="0087296B"/>
    <w:rsid w:val="00874055"/>
    <w:rsid w:val="00876B95"/>
    <w:rsid w:val="00887F12"/>
    <w:rsid w:val="00891503"/>
    <w:rsid w:val="00893181"/>
    <w:rsid w:val="0089454E"/>
    <w:rsid w:val="00894834"/>
    <w:rsid w:val="0089601D"/>
    <w:rsid w:val="008964B4"/>
    <w:rsid w:val="00896CD4"/>
    <w:rsid w:val="008A19E8"/>
    <w:rsid w:val="008A4422"/>
    <w:rsid w:val="008B0122"/>
    <w:rsid w:val="008B169D"/>
    <w:rsid w:val="008B18C7"/>
    <w:rsid w:val="008B4403"/>
    <w:rsid w:val="008B4A6A"/>
    <w:rsid w:val="008B5D37"/>
    <w:rsid w:val="008C242C"/>
    <w:rsid w:val="008C4C47"/>
    <w:rsid w:val="008C767C"/>
    <w:rsid w:val="008C7E27"/>
    <w:rsid w:val="008D3D71"/>
    <w:rsid w:val="008D65BE"/>
    <w:rsid w:val="008E1DD5"/>
    <w:rsid w:val="008E30EA"/>
    <w:rsid w:val="008F0E7C"/>
    <w:rsid w:val="008F39A4"/>
    <w:rsid w:val="008F7448"/>
    <w:rsid w:val="0090147A"/>
    <w:rsid w:val="00904CA8"/>
    <w:rsid w:val="009173EF"/>
    <w:rsid w:val="0092143E"/>
    <w:rsid w:val="00921783"/>
    <w:rsid w:val="00922C17"/>
    <w:rsid w:val="0092315F"/>
    <w:rsid w:val="0092526E"/>
    <w:rsid w:val="00931047"/>
    <w:rsid w:val="00932906"/>
    <w:rsid w:val="0093337E"/>
    <w:rsid w:val="00935DB4"/>
    <w:rsid w:val="00937812"/>
    <w:rsid w:val="009455C0"/>
    <w:rsid w:val="00945FE9"/>
    <w:rsid w:val="00953AC4"/>
    <w:rsid w:val="009554D2"/>
    <w:rsid w:val="0095604E"/>
    <w:rsid w:val="00960471"/>
    <w:rsid w:val="00961B0B"/>
    <w:rsid w:val="009625AB"/>
    <w:rsid w:val="00962D33"/>
    <w:rsid w:val="009662F6"/>
    <w:rsid w:val="009708AA"/>
    <w:rsid w:val="00971C28"/>
    <w:rsid w:val="009720C0"/>
    <w:rsid w:val="00972157"/>
    <w:rsid w:val="00976EE9"/>
    <w:rsid w:val="009847CE"/>
    <w:rsid w:val="00991FDB"/>
    <w:rsid w:val="00993FDA"/>
    <w:rsid w:val="00996921"/>
    <w:rsid w:val="009A233C"/>
    <w:rsid w:val="009A2B0A"/>
    <w:rsid w:val="009B2D4B"/>
    <w:rsid w:val="009B305A"/>
    <w:rsid w:val="009B38AE"/>
    <w:rsid w:val="009B38C3"/>
    <w:rsid w:val="009C20D8"/>
    <w:rsid w:val="009C253A"/>
    <w:rsid w:val="009C6395"/>
    <w:rsid w:val="009D3D4F"/>
    <w:rsid w:val="009D5EDC"/>
    <w:rsid w:val="009E17BD"/>
    <w:rsid w:val="009E3951"/>
    <w:rsid w:val="009E40DB"/>
    <w:rsid w:val="009E485A"/>
    <w:rsid w:val="009E49F7"/>
    <w:rsid w:val="009F0390"/>
    <w:rsid w:val="009F347C"/>
    <w:rsid w:val="009F7198"/>
    <w:rsid w:val="00A00B72"/>
    <w:rsid w:val="00A00F6E"/>
    <w:rsid w:val="00A03230"/>
    <w:rsid w:val="00A044C6"/>
    <w:rsid w:val="00A04CEC"/>
    <w:rsid w:val="00A132E7"/>
    <w:rsid w:val="00A13AD1"/>
    <w:rsid w:val="00A170FE"/>
    <w:rsid w:val="00A26513"/>
    <w:rsid w:val="00A27E28"/>
    <w:rsid w:val="00A27F92"/>
    <w:rsid w:val="00A32257"/>
    <w:rsid w:val="00A322C1"/>
    <w:rsid w:val="00A32B9C"/>
    <w:rsid w:val="00A34664"/>
    <w:rsid w:val="00A36D20"/>
    <w:rsid w:val="00A44FC9"/>
    <w:rsid w:val="00A467DF"/>
    <w:rsid w:val="00A47967"/>
    <w:rsid w:val="00A514A4"/>
    <w:rsid w:val="00A52C84"/>
    <w:rsid w:val="00A53261"/>
    <w:rsid w:val="00A55622"/>
    <w:rsid w:val="00A61CF0"/>
    <w:rsid w:val="00A66180"/>
    <w:rsid w:val="00A66C4D"/>
    <w:rsid w:val="00A700BB"/>
    <w:rsid w:val="00A72684"/>
    <w:rsid w:val="00A743D8"/>
    <w:rsid w:val="00A75023"/>
    <w:rsid w:val="00A75AF3"/>
    <w:rsid w:val="00A770E5"/>
    <w:rsid w:val="00A815FF"/>
    <w:rsid w:val="00A83502"/>
    <w:rsid w:val="00A84C19"/>
    <w:rsid w:val="00A91DA5"/>
    <w:rsid w:val="00A92209"/>
    <w:rsid w:val="00A93BAD"/>
    <w:rsid w:val="00A94376"/>
    <w:rsid w:val="00A978A5"/>
    <w:rsid w:val="00AA0742"/>
    <w:rsid w:val="00AA42F1"/>
    <w:rsid w:val="00AB4229"/>
    <w:rsid w:val="00AB678C"/>
    <w:rsid w:val="00AC2023"/>
    <w:rsid w:val="00AC71A2"/>
    <w:rsid w:val="00AD0CCC"/>
    <w:rsid w:val="00AD15B3"/>
    <w:rsid w:val="00AD2031"/>
    <w:rsid w:val="00AD3606"/>
    <w:rsid w:val="00AD4A3D"/>
    <w:rsid w:val="00AE116A"/>
    <w:rsid w:val="00AE2C6C"/>
    <w:rsid w:val="00AE2CAB"/>
    <w:rsid w:val="00AE70FA"/>
    <w:rsid w:val="00AF4BFA"/>
    <w:rsid w:val="00AF6E49"/>
    <w:rsid w:val="00B004E8"/>
    <w:rsid w:val="00B01CDC"/>
    <w:rsid w:val="00B01EBB"/>
    <w:rsid w:val="00B04A67"/>
    <w:rsid w:val="00B0583C"/>
    <w:rsid w:val="00B060F0"/>
    <w:rsid w:val="00B064F8"/>
    <w:rsid w:val="00B06ED6"/>
    <w:rsid w:val="00B07BDE"/>
    <w:rsid w:val="00B1132D"/>
    <w:rsid w:val="00B1706F"/>
    <w:rsid w:val="00B339C4"/>
    <w:rsid w:val="00B358B2"/>
    <w:rsid w:val="00B40A81"/>
    <w:rsid w:val="00B41225"/>
    <w:rsid w:val="00B44910"/>
    <w:rsid w:val="00B4510E"/>
    <w:rsid w:val="00B453EB"/>
    <w:rsid w:val="00B46518"/>
    <w:rsid w:val="00B473AD"/>
    <w:rsid w:val="00B53028"/>
    <w:rsid w:val="00B54F72"/>
    <w:rsid w:val="00B56294"/>
    <w:rsid w:val="00B5701C"/>
    <w:rsid w:val="00B624FC"/>
    <w:rsid w:val="00B6882B"/>
    <w:rsid w:val="00B72267"/>
    <w:rsid w:val="00B72E88"/>
    <w:rsid w:val="00B73BD5"/>
    <w:rsid w:val="00B75653"/>
    <w:rsid w:val="00B76EB6"/>
    <w:rsid w:val="00B7737B"/>
    <w:rsid w:val="00B824C8"/>
    <w:rsid w:val="00B84259"/>
    <w:rsid w:val="00B84B9D"/>
    <w:rsid w:val="00BA5065"/>
    <w:rsid w:val="00BB5AA2"/>
    <w:rsid w:val="00BC0C7F"/>
    <w:rsid w:val="00BC251A"/>
    <w:rsid w:val="00BC4D24"/>
    <w:rsid w:val="00BC6B35"/>
    <w:rsid w:val="00BD032B"/>
    <w:rsid w:val="00BD0560"/>
    <w:rsid w:val="00BD1693"/>
    <w:rsid w:val="00BD6046"/>
    <w:rsid w:val="00BD628B"/>
    <w:rsid w:val="00BD6503"/>
    <w:rsid w:val="00BE2640"/>
    <w:rsid w:val="00BE2815"/>
    <w:rsid w:val="00BE3BCB"/>
    <w:rsid w:val="00BE768E"/>
    <w:rsid w:val="00BF37DF"/>
    <w:rsid w:val="00BF64AA"/>
    <w:rsid w:val="00C01189"/>
    <w:rsid w:val="00C0509B"/>
    <w:rsid w:val="00C06A98"/>
    <w:rsid w:val="00C06DB9"/>
    <w:rsid w:val="00C1664D"/>
    <w:rsid w:val="00C170AF"/>
    <w:rsid w:val="00C20549"/>
    <w:rsid w:val="00C20E20"/>
    <w:rsid w:val="00C22359"/>
    <w:rsid w:val="00C22BD8"/>
    <w:rsid w:val="00C32111"/>
    <w:rsid w:val="00C32772"/>
    <w:rsid w:val="00C354B7"/>
    <w:rsid w:val="00C374DE"/>
    <w:rsid w:val="00C47AD4"/>
    <w:rsid w:val="00C52D81"/>
    <w:rsid w:val="00C55198"/>
    <w:rsid w:val="00C746CC"/>
    <w:rsid w:val="00C77600"/>
    <w:rsid w:val="00C841D4"/>
    <w:rsid w:val="00C85FF3"/>
    <w:rsid w:val="00C86229"/>
    <w:rsid w:val="00C87B42"/>
    <w:rsid w:val="00C91D98"/>
    <w:rsid w:val="00C95D92"/>
    <w:rsid w:val="00C97D39"/>
    <w:rsid w:val="00CA6393"/>
    <w:rsid w:val="00CA7CB8"/>
    <w:rsid w:val="00CB18FF"/>
    <w:rsid w:val="00CC02B1"/>
    <w:rsid w:val="00CC5810"/>
    <w:rsid w:val="00CD0C08"/>
    <w:rsid w:val="00CD5BBD"/>
    <w:rsid w:val="00CE03FB"/>
    <w:rsid w:val="00CE20C6"/>
    <w:rsid w:val="00CE42CB"/>
    <w:rsid w:val="00CE433C"/>
    <w:rsid w:val="00CE6371"/>
    <w:rsid w:val="00CF0161"/>
    <w:rsid w:val="00CF080D"/>
    <w:rsid w:val="00CF33F3"/>
    <w:rsid w:val="00CF342B"/>
    <w:rsid w:val="00CF7555"/>
    <w:rsid w:val="00D01772"/>
    <w:rsid w:val="00D06183"/>
    <w:rsid w:val="00D064FC"/>
    <w:rsid w:val="00D11CFC"/>
    <w:rsid w:val="00D12468"/>
    <w:rsid w:val="00D1572D"/>
    <w:rsid w:val="00D2161D"/>
    <w:rsid w:val="00D22C42"/>
    <w:rsid w:val="00D22E8E"/>
    <w:rsid w:val="00D2330E"/>
    <w:rsid w:val="00D3063C"/>
    <w:rsid w:val="00D464CC"/>
    <w:rsid w:val="00D53C61"/>
    <w:rsid w:val="00D63CCE"/>
    <w:rsid w:val="00D65041"/>
    <w:rsid w:val="00D6631D"/>
    <w:rsid w:val="00D67279"/>
    <w:rsid w:val="00D74743"/>
    <w:rsid w:val="00D84AD3"/>
    <w:rsid w:val="00D8DCE0"/>
    <w:rsid w:val="00D92837"/>
    <w:rsid w:val="00D95F52"/>
    <w:rsid w:val="00DA196C"/>
    <w:rsid w:val="00DB00D5"/>
    <w:rsid w:val="00DB1936"/>
    <w:rsid w:val="00DB384B"/>
    <w:rsid w:val="00DB6AF9"/>
    <w:rsid w:val="00DC0538"/>
    <w:rsid w:val="00DC127F"/>
    <w:rsid w:val="00DC341D"/>
    <w:rsid w:val="00DC7085"/>
    <w:rsid w:val="00DD00F8"/>
    <w:rsid w:val="00DE70AE"/>
    <w:rsid w:val="00DF0189"/>
    <w:rsid w:val="00DF0B74"/>
    <w:rsid w:val="00DF0E85"/>
    <w:rsid w:val="00DF54BE"/>
    <w:rsid w:val="00DF65AB"/>
    <w:rsid w:val="00E02373"/>
    <w:rsid w:val="00E03C3D"/>
    <w:rsid w:val="00E03E50"/>
    <w:rsid w:val="00E06FD5"/>
    <w:rsid w:val="00E071F2"/>
    <w:rsid w:val="00E1010B"/>
    <w:rsid w:val="00E10C7A"/>
    <w:rsid w:val="00E10E80"/>
    <w:rsid w:val="00E10FBD"/>
    <w:rsid w:val="00E124F0"/>
    <w:rsid w:val="00E146C3"/>
    <w:rsid w:val="00E227F3"/>
    <w:rsid w:val="00E26DA9"/>
    <w:rsid w:val="00E2782D"/>
    <w:rsid w:val="00E351A7"/>
    <w:rsid w:val="00E35355"/>
    <w:rsid w:val="00E37A04"/>
    <w:rsid w:val="00E44698"/>
    <w:rsid w:val="00E51E08"/>
    <w:rsid w:val="00E545C6"/>
    <w:rsid w:val="00E54F98"/>
    <w:rsid w:val="00E57717"/>
    <w:rsid w:val="00E60F04"/>
    <w:rsid w:val="00E6198C"/>
    <w:rsid w:val="00E65171"/>
    <w:rsid w:val="00E65922"/>
    <w:rsid w:val="00E65B24"/>
    <w:rsid w:val="00E726D5"/>
    <w:rsid w:val="00E75124"/>
    <w:rsid w:val="00E8121A"/>
    <w:rsid w:val="00E839F7"/>
    <w:rsid w:val="00E85370"/>
    <w:rsid w:val="00E854E4"/>
    <w:rsid w:val="00E85E1D"/>
    <w:rsid w:val="00E86DBF"/>
    <w:rsid w:val="00E9350F"/>
    <w:rsid w:val="00E936A4"/>
    <w:rsid w:val="00EA1850"/>
    <w:rsid w:val="00EA54F0"/>
    <w:rsid w:val="00EA5B41"/>
    <w:rsid w:val="00EB097E"/>
    <w:rsid w:val="00EB0C64"/>
    <w:rsid w:val="00EB0D6F"/>
    <w:rsid w:val="00EB2232"/>
    <w:rsid w:val="00EB30FD"/>
    <w:rsid w:val="00EC414C"/>
    <w:rsid w:val="00EC5337"/>
    <w:rsid w:val="00EC63FC"/>
    <w:rsid w:val="00EC7208"/>
    <w:rsid w:val="00ED2CB8"/>
    <w:rsid w:val="00ED454D"/>
    <w:rsid w:val="00ED5FED"/>
    <w:rsid w:val="00ED7690"/>
    <w:rsid w:val="00EE49E8"/>
    <w:rsid w:val="00F00272"/>
    <w:rsid w:val="00F10F19"/>
    <w:rsid w:val="00F11A81"/>
    <w:rsid w:val="00F15303"/>
    <w:rsid w:val="00F16736"/>
    <w:rsid w:val="00F16BAB"/>
    <w:rsid w:val="00F2126E"/>
    <w:rsid w:val="00F2150A"/>
    <w:rsid w:val="00F2246F"/>
    <w:rsid w:val="00F22D93"/>
    <w:rsid w:val="00F231D8"/>
    <w:rsid w:val="00F23FDE"/>
    <w:rsid w:val="00F264CE"/>
    <w:rsid w:val="00F33FE6"/>
    <w:rsid w:val="00F36A33"/>
    <w:rsid w:val="00F36A55"/>
    <w:rsid w:val="00F44C00"/>
    <w:rsid w:val="00F45D2C"/>
    <w:rsid w:val="00F46C5F"/>
    <w:rsid w:val="00F52367"/>
    <w:rsid w:val="00F57607"/>
    <w:rsid w:val="00F57C9A"/>
    <w:rsid w:val="00F632C0"/>
    <w:rsid w:val="00F72B71"/>
    <w:rsid w:val="00F74694"/>
    <w:rsid w:val="00F75152"/>
    <w:rsid w:val="00F7780A"/>
    <w:rsid w:val="00F80C08"/>
    <w:rsid w:val="00F814E3"/>
    <w:rsid w:val="00F94117"/>
    <w:rsid w:val="00F94A63"/>
    <w:rsid w:val="00FA15D3"/>
    <w:rsid w:val="00FA1C28"/>
    <w:rsid w:val="00FA48B3"/>
    <w:rsid w:val="00FA4AA3"/>
    <w:rsid w:val="00FA550F"/>
    <w:rsid w:val="00FA67B7"/>
    <w:rsid w:val="00FA79AF"/>
    <w:rsid w:val="00FA7B07"/>
    <w:rsid w:val="00FB1279"/>
    <w:rsid w:val="00FB423A"/>
    <w:rsid w:val="00FB6856"/>
    <w:rsid w:val="00FB6B76"/>
    <w:rsid w:val="00FB7596"/>
    <w:rsid w:val="00FB7C4C"/>
    <w:rsid w:val="00FC51B0"/>
    <w:rsid w:val="00FD27CB"/>
    <w:rsid w:val="00FD5C63"/>
    <w:rsid w:val="00FD7016"/>
    <w:rsid w:val="00FE09C7"/>
    <w:rsid w:val="00FE328C"/>
    <w:rsid w:val="00FE4077"/>
    <w:rsid w:val="00FE500D"/>
    <w:rsid w:val="00FE6E22"/>
    <w:rsid w:val="00FE77D2"/>
    <w:rsid w:val="00FF29FC"/>
    <w:rsid w:val="010D9CC8"/>
    <w:rsid w:val="02C0D3AD"/>
    <w:rsid w:val="03B83D60"/>
    <w:rsid w:val="040D4772"/>
    <w:rsid w:val="086B882E"/>
    <w:rsid w:val="08AE0A11"/>
    <w:rsid w:val="09CBC6F6"/>
    <w:rsid w:val="0B589F81"/>
    <w:rsid w:val="0BDA5CBC"/>
    <w:rsid w:val="0D2039F8"/>
    <w:rsid w:val="0DF6FC4D"/>
    <w:rsid w:val="0F64B001"/>
    <w:rsid w:val="0F9F212C"/>
    <w:rsid w:val="0FB423ED"/>
    <w:rsid w:val="0FD1461B"/>
    <w:rsid w:val="0FDC0C1A"/>
    <w:rsid w:val="10E701B7"/>
    <w:rsid w:val="12517003"/>
    <w:rsid w:val="13378FCC"/>
    <w:rsid w:val="13C88E2D"/>
    <w:rsid w:val="1453BD4E"/>
    <w:rsid w:val="146087DA"/>
    <w:rsid w:val="14E61D92"/>
    <w:rsid w:val="16294027"/>
    <w:rsid w:val="16BE061F"/>
    <w:rsid w:val="181D277F"/>
    <w:rsid w:val="18F41D81"/>
    <w:rsid w:val="1954027D"/>
    <w:rsid w:val="1A101481"/>
    <w:rsid w:val="1AB69160"/>
    <w:rsid w:val="1AF714AF"/>
    <w:rsid w:val="1B025325"/>
    <w:rsid w:val="1B2A1F75"/>
    <w:rsid w:val="1B8FE5BD"/>
    <w:rsid w:val="1C9D73FF"/>
    <w:rsid w:val="1D8C1D29"/>
    <w:rsid w:val="1D9CE2FE"/>
    <w:rsid w:val="21F31318"/>
    <w:rsid w:val="22005228"/>
    <w:rsid w:val="227CB77D"/>
    <w:rsid w:val="23449247"/>
    <w:rsid w:val="23E65027"/>
    <w:rsid w:val="23EB7F64"/>
    <w:rsid w:val="246434B4"/>
    <w:rsid w:val="24908575"/>
    <w:rsid w:val="24B4E610"/>
    <w:rsid w:val="25CEF490"/>
    <w:rsid w:val="2703C463"/>
    <w:rsid w:val="277C1145"/>
    <w:rsid w:val="27B3FD93"/>
    <w:rsid w:val="280FBD46"/>
    <w:rsid w:val="292C374C"/>
    <w:rsid w:val="293BF3F9"/>
    <w:rsid w:val="29737C17"/>
    <w:rsid w:val="29F90284"/>
    <w:rsid w:val="2B9B373B"/>
    <w:rsid w:val="2C5E82DA"/>
    <w:rsid w:val="2C94D24F"/>
    <w:rsid w:val="2F3F452D"/>
    <w:rsid w:val="2F81CAD0"/>
    <w:rsid w:val="2FAFC316"/>
    <w:rsid w:val="300DBCC5"/>
    <w:rsid w:val="304D84A9"/>
    <w:rsid w:val="3250CE6A"/>
    <w:rsid w:val="338805BF"/>
    <w:rsid w:val="350C39C1"/>
    <w:rsid w:val="35CB6993"/>
    <w:rsid w:val="362E5841"/>
    <w:rsid w:val="368AF14C"/>
    <w:rsid w:val="38711B30"/>
    <w:rsid w:val="39194A99"/>
    <w:rsid w:val="3954F4ED"/>
    <w:rsid w:val="3A557F80"/>
    <w:rsid w:val="3A57F8D0"/>
    <w:rsid w:val="3AA0BAF0"/>
    <w:rsid w:val="3B47C29C"/>
    <w:rsid w:val="3C14A60F"/>
    <w:rsid w:val="3C6E84AE"/>
    <w:rsid w:val="3D05E110"/>
    <w:rsid w:val="3D1DF2C8"/>
    <w:rsid w:val="3D4A6C6C"/>
    <w:rsid w:val="3D4B3552"/>
    <w:rsid w:val="3DA0739C"/>
    <w:rsid w:val="3DD6E101"/>
    <w:rsid w:val="3DDD7A16"/>
    <w:rsid w:val="3DFB0EAF"/>
    <w:rsid w:val="426250AB"/>
    <w:rsid w:val="42B99DE8"/>
    <w:rsid w:val="4342BCF1"/>
    <w:rsid w:val="43738203"/>
    <w:rsid w:val="4406CD9D"/>
    <w:rsid w:val="447D961F"/>
    <w:rsid w:val="46B4117B"/>
    <w:rsid w:val="46D81F0B"/>
    <w:rsid w:val="47C816B2"/>
    <w:rsid w:val="48C3BBBA"/>
    <w:rsid w:val="48E4D50D"/>
    <w:rsid w:val="49AC1E64"/>
    <w:rsid w:val="4BDFA6DC"/>
    <w:rsid w:val="4D04B4EA"/>
    <w:rsid w:val="4F51308A"/>
    <w:rsid w:val="4FB4B51A"/>
    <w:rsid w:val="5029AC1D"/>
    <w:rsid w:val="50EF765B"/>
    <w:rsid w:val="517A1A9E"/>
    <w:rsid w:val="517E8490"/>
    <w:rsid w:val="5184E0CE"/>
    <w:rsid w:val="51D56DE8"/>
    <w:rsid w:val="5240BC22"/>
    <w:rsid w:val="52A0F703"/>
    <w:rsid w:val="52DEBEF2"/>
    <w:rsid w:val="52F317E9"/>
    <w:rsid w:val="537123AC"/>
    <w:rsid w:val="553976E7"/>
    <w:rsid w:val="562297E8"/>
    <w:rsid w:val="579FADEC"/>
    <w:rsid w:val="57DC34E4"/>
    <w:rsid w:val="57FFFB17"/>
    <w:rsid w:val="590274B6"/>
    <w:rsid w:val="5AAFE9B9"/>
    <w:rsid w:val="5AE27DA0"/>
    <w:rsid w:val="5AEA0A17"/>
    <w:rsid w:val="5B3AC486"/>
    <w:rsid w:val="5B70F28A"/>
    <w:rsid w:val="5CB739E5"/>
    <w:rsid w:val="5CDA744F"/>
    <w:rsid w:val="5DB2E402"/>
    <w:rsid w:val="5E56053E"/>
    <w:rsid w:val="5E8FDCB5"/>
    <w:rsid w:val="5F30F724"/>
    <w:rsid w:val="5F563783"/>
    <w:rsid w:val="60753B4F"/>
    <w:rsid w:val="6099707A"/>
    <w:rsid w:val="613BBE3A"/>
    <w:rsid w:val="62B30A61"/>
    <w:rsid w:val="63DB3C2A"/>
    <w:rsid w:val="64584884"/>
    <w:rsid w:val="6527606D"/>
    <w:rsid w:val="65A6BDB4"/>
    <w:rsid w:val="66219628"/>
    <w:rsid w:val="664D21BC"/>
    <w:rsid w:val="674ACD47"/>
    <w:rsid w:val="687BB799"/>
    <w:rsid w:val="68E35069"/>
    <w:rsid w:val="6D04517F"/>
    <w:rsid w:val="6D850D4D"/>
    <w:rsid w:val="6D977C7B"/>
    <w:rsid w:val="6DB29AE2"/>
    <w:rsid w:val="6E01E358"/>
    <w:rsid w:val="6E2DF332"/>
    <w:rsid w:val="6E6FE640"/>
    <w:rsid w:val="6EA4F1D6"/>
    <w:rsid w:val="6F4BE939"/>
    <w:rsid w:val="6F730190"/>
    <w:rsid w:val="701D7C76"/>
    <w:rsid w:val="703CC915"/>
    <w:rsid w:val="70A08CD6"/>
    <w:rsid w:val="70BB3875"/>
    <w:rsid w:val="70DFCF4C"/>
    <w:rsid w:val="72667EBB"/>
    <w:rsid w:val="72C19509"/>
    <w:rsid w:val="7370638F"/>
    <w:rsid w:val="7453AFDD"/>
    <w:rsid w:val="747BF882"/>
    <w:rsid w:val="74EC02C6"/>
    <w:rsid w:val="7586DD11"/>
    <w:rsid w:val="75F28D64"/>
    <w:rsid w:val="765F02BB"/>
    <w:rsid w:val="77257456"/>
    <w:rsid w:val="772CA8FC"/>
    <w:rsid w:val="78CF404A"/>
    <w:rsid w:val="7933F774"/>
    <w:rsid w:val="7A85CF05"/>
    <w:rsid w:val="7B3091BC"/>
    <w:rsid w:val="7BBF9ADA"/>
    <w:rsid w:val="7C4B0338"/>
    <w:rsid w:val="7CF982C3"/>
    <w:rsid w:val="7CFA675B"/>
    <w:rsid w:val="7D42CEFD"/>
    <w:rsid w:val="7D828AEA"/>
    <w:rsid w:val="7DD6B606"/>
    <w:rsid w:val="7ECCCA6A"/>
    <w:rsid w:val="7F45FA19"/>
    <w:rsid w:val="7FE2C31B"/>
    <w:rsid w:val="7FE69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63E59"/>
  <w15:docId w15:val="{329B1899-2EF7-457A-BF83-0C2DC1BE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39E8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7053B2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4812ED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676C7D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5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7053B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84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FD701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752FB"/>
    <w:rPr>
      <w:color w:val="666666"/>
    </w:rPr>
  </w:style>
  <w:style w:type="table" w:styleId="GridTable4">
    <w:name w:val="Grid Table 4"/>
    <w:basedOn w:val="TableNormal"/>
    <w:uiPriority w:val="49"/>
    <w:rsid w:val="00FA7B0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5D5A92"/>
    <w:rPr>
      <w:rFonts w:ascii="Calibri" w:hAnsi="Calibri"/>
      <w:sz w:val="24"/>
      <w:lang w:val="en-GB" w:eastAsia="en-US"/>
    </w:rPr>
  </w:style>
  <w:style w:type="paragraph" w:styleId="ListParagraph">
    <w:name w:val="List Paragraph"/>
    <w:aliases w:val="Recommendation,List Paragraph11,O5,Para_sk,Resume Title,- Bullets"/>
    <w:basedOn w:val="Normal"/>
    <w:link w:val="ListParagraphChar"/>
    <w:uiPriority w:val="34"/>
    <w:qFormat/>
    <w:rsid w:val="00A72684"/>
    <w:pPr>
      <w:ind w:left="720"/>
      <w:contextualSpacing/>
    </w:pPr>
  </w:style>
  <w:style w:type="character" w:customStyle="1" w:styleId="ListParagraphChar">
    <w:name w:val="List Paragraph Char"/>
    <w:aliases w:val="Recommendation Char,List Paragraph11 Char,O5 Char,Para_sk Char,Resume Title Char,- Bullets Char"/>
    <w:basedOn w:val="DefaultParagraphFont"/>
    <w:link w:val="ListParagraph"/>
    <w:uiPriority w:val="34"/>
    <w:locked/>
    <w:rsid w:val="00A322C1"/>
    <w:rPr>
      <w:rFonts w:ascii="Calibri" w:hAnsi="Calibri"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4812ED"/>
    <w:rPr>
      <w:rFonts w:ascii="Calibri" w:hAnsi="Calibri"/>
      <w:sz w:val="22"/>
      <w:lang w:val="en-GB" w:eastAsia="en-US"/>
    </w:rPr>
  </w:style>
  <w:style w:type="character" w:customStyle="1" w:styleId="normaltextrun">
    <w:name w:val="normaltextrun"/>
    <w:basedOn w:val="DefaultParagraphFont"/>
    <w:rsid w:val="004A1364"/>
  </w:style>
  <w:style w:type="paragraph" w:customStyle="1" w:styleId="Tablefin">
    <w:name w:val="Table_fin"/>
    <w:basedOn w:val="Tabletext"/>
    <w:rsid w:val="004812ED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4-CL-C-0139/en" TargetMode="External"/><Relationship Id="rId18" Type="http://schemas.openxmlformats.org/officeDocument/2006/relationships/hyperlink" Target="https://www.itu.int/md/S26-CWGSFP4-C-0006/e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mjnoobi@cst.gov.s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en/council/CWG-SFP-2028-2031/Pages/default.aspx" TargetMode="External"/><Relationship Id="rId17" Type="http://schemas.openxmlformats.org/officeDocument/2006/relationships/hyperlink" Target="http://itu.int/md/S26-CWGSFP4-260112-TD-0002/e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itu.int/md/S26-CWGSFP4-260112-TD-0002/en" TargetMode="External"/><Relationship Id="rId20" Type="http://schemas.openxmlformats.org/officeDocument/2006/relationships/hyperlink" Target="https://www.itu.int/md/S26-CWGSFP4-C-0006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23-RAG-C-0055/en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R23-RAG-C-0055/en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itu.int/md/S26-CWGSFP4-260112-TD-0002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6-CWGSFP4-C-0006/en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hub.itu.int/data/?i=19303&amp;d=Technology&amp;g=116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146B739B54F40B714F2E60E92A517" ma:contentTypeVersion="18" ma:contentTypeDescription="Create a new document." ma:contentTypeScope="" ma:versionID="6a32a9e747222e33a64f7648b39be70d">
  <xsd:schema xmlns:xsd="http://www.w3.org/2001/XMLSchema" xmlns:xs="http://www.w3.org/2001/XMLSchema" xmlns:p="http://schemas.microsoft.com/office/2006/metadata/properties" xmlns:ns2="6524ed65-50c7-4fb3-9954-e6cb51bee540" xmlns:ns3="cb5c4e96-d2fa-4fb5-b842-8bb7a9e662f3" targetNamespace="http://schemas.microsoft.com/office/2006/metadata/properties" ma:root="true" ma:fieldsID="8e2308d1675b6b9f92fc3012c2652fe1" ns2:_="" ns3:_="">
    <xsd:import namespace="6524ed65-50c7-4fb3-9954-e6cb51bee540"/>
    <xsd:import namespace="cb5c4e96-d2fa-4fb5-b842-8bb7a9e66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ed65-50c7-4fb3-9954-e6cb51bee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c4e96-d2fa-4fb5-b842-8bb7a9e66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873559-c6c3-47ee-b04e-0ebdf642dd30}" ma:internalName="TaxCatchAll" ma:showField="CatchAllData" ma:web="cb5c4e96-d2fa-4fb5-b842-8bb7a9e66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24ed65-50c7-4fb3-9954-e6cb51bee540">
      <Terms xmlns="http://schemas.microsoft.com/office/infopath/2007/PartnerControls"/>
    </lcf76f155ced4ddcb4097134ff3c332f>
    <TaxCatchAll xmlns="cb5c4e96-d2fa-4fb5-b842-8bb7a9e662f3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E73CC-ADC8-4BE6-AA1A-21816FA8F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4ed65-50c7-4fb3-9954-e6cb51bee540"/>
    <ds:schemaRef ds:uri="cb5c4e96-d2fa-4fb5-b842-8bb7a9e66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FDA031-4D65-4237-B216-76B6BD579F55}">
  <ds:schemaRefs>
    <ds:schemaRef ds:uri="http://purl.org/dc/elements/1.1/"/>
    <ds:schemaRef ds:uri="cb5c4e96-d2fa-4fb5-b842-8bb7a9e662f3"/>
    <ds:schemaRef ds:uri="http://purl.org/dc/dcmitype/"/>
    <ds:schemaRef ds:uri="http://schemas.microsoft.com/office/2006/metadata/properties"/>
    <ds:schemaRef ds:uri="http://schemas.microsoft.com/office/2006/documentManagement/types"/>
    <ds:schemaRef ds:uri="6524ed65-50c7-4fb3-9954-e6cb51bee54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C7F905-3FE5-4DB2-8A5D-0B16CB3CE9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693</Words>
  <Characters>4627</Characters>
  <Application>Microsoft Office Word</Application>
  <DocSecurity>0</DocSecurity>
  <Lines>514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Liaison statement to the Council Working Group for strategic and financial plans 2028-2031</vt:lpstr>
    </vt:vector>
  </TitlesOfParts>
  <Manager/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statement to the Council Working Group for strategic and financial plans 2028-2031</dc:title>
  <dc:subject>ITU Council Working Group on Financial and Human Resources</dc:subject>
  <cp:keywords>CWG-SFP; Council-26; C26</cp:keywords>
  <dc:description/>
  <dcterms:created xsi:type="dcterms:W3CDTF">2026-04-14T11:42:00Z</dcterms:created>
  <dcterms:modified xsi:type="dcterms:W3CDTF">2026-04-14T12:05:00Z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dcf76eb8-ec84-4b71-97bc-9e960c51973a</vt:lpwstr>
  </property>
  <property fmtid="{D5CDD505-2E9C-101B-9397-08002B2CF9AE}" pid="3" name="ContentTypeId">
    <vt:lpwstr>0x0101005F2146B739B54F40B714F2E60E92A517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