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96C33" w14:paraId="0043AC80" w14:textId="77777777" w:rsidTr="00AD3606">
        <w:trPr>
          <w:cantSplit/>
          <w:trHeight w:val="23"/>
        </w:trPr>
        <w:tc>
          <w:tcPr>
            <w:tcW w:w="3969" w:type="dxa"/>
            <w:vMerge w:val="restart"/>
            <w:tcMar>
              <w:left w:w="0" w:type="dxa"/>
            </w:tcMar>
          </w:tcPr>
          <w:p w14:paraId="60A806D3" w14:textId="6316C87D" w:rsidR="00AD3606" w:rsidRPr="005E79C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47DDDA8" w:rsidR="00AD3606" w:rsidRPr="00196C33" w:rsidRDefault="00AD3606" w:rsidP="00472BAD">
            <w:pPr>
              <w:tabs>
                <w:tab w:val="left" w:pos="851"/>
              </w:tabs>
              <w:spacing w:before="0" w:line="240" w:lineRule="atLeast"/>
              <w:jc w:val="right"/>
              <w:rPr>
                <w:b/>
                <w:lang w:val="fr-FR"/>
              </w:rPr>
            </w:pPr>
            <w:r w:rsidRPr="00A77C56">
              <w:rPr>
                <w:b/>
                <w:lang w:val="fr-FR"/>
              </w:rPr>
              <w:t xml:space="preserve">Document </w:t>
            </w:r>
            <w:proofErr w:type="spellStart"/>
            <w:r w:rsidRPr="00A77C56">
              <w:rPr>
                <w:b/>
                <w:lang w:val="fr-FR"/>
              </w:rPr>
              <w:t>C</w:t>
            </w:r>
            <w:r w:rsidR="00A52C84" w:rsidRPr="00A77C56">
              <w:rPr>
                <w:b/>
                <w:lang w:val="fr-FR"/>
              </w:rPr>
              <w:t>WG</w:t>
            </w:r>
            <w:proofErr w:type="spellEnd"/>
            <w:r w:rsidR="00A52C84" w:rsidRPr="00A77C56">
              <w:rPr>
                <w:b/>
                <w:lang w:val="fr-FR"/>
              </w:rPr>
              <w:t>-</w:t>
            </w:r>
            <w:proofErr w:type="spellStart"/>
            <w:r w:rsidR="00F264CE" w:rsidRPr="00A77C56">
              <w:rPr>
                <w:b/>
                <w:lang w:val="fr-FR"/>
              </w:rPr>
              <w:t>SFP-</w:t>
            </w:r>
            <w:r w:rsidR="00587C1B" w:rsidRPr="00A77C56">
              <w:rPr>
                <w:b/>
                <w:lang w:val="fr-FR"/>
              </w:rPr>
              <w:t>4</w:t>
            </w:r>
            <w:proofErr w:type="spellEnd"/>
            <w:r w:rsidRPr="00A77C56">
              <w:rPr>
                <w:b/>
                <w:lang w:val="fr-FR"/>
              </w:rPr>
              <w:t>/</w:t>
            </w:r>
            <w:proofErr w:type="spellStart"/>
            <w:r w:rsidR="00273D16" w:rsidRPr="00A77C56">
              <w:rPr>
                <w:b/>
                <w:lang w:val="fr-FR"/>
              </w:rPr>
              <w:t>INF</w:t>
            </w:r>
            <w:proofErr w:type="spellEnd"/>
            <w:r w:rsidR="00273D16" w:rsidRPr="00A77C56">
              <w:rPr>
                <w:b/>
                <w:lang w:val="fr-FR"/>
              </w:rPr>
              <w:t>/</w:t>
            </w:r>
            <w:r w:rsidR="006B6520" w:rsidRPr="00A77C56">
              <w:rPr>
                <w:b/>
                <w:lang w:val="fr-FR"/>
              </w:rPr>
              <w:t>4</w:t>
            </w:r>
          </w:p>
        </w:tc>
      </w:tr>
      <w:tr w:rsidR="00AD3606" w:rsidRPr="005E79C5" w14:paraId="789B45BA" w14:textId="77777777" w:rsidTr="00AD3606">
        <w:trPr>
          <w:cantSplit/>
        </w:trPr>
        <w:tc>
          <w:tcPr>
            <w:tcW w:w="3969" w:type="dxa"/>
            <w:vMerge/>
          </w:tcPr>
          <w:p w14:paraId="3F3D4E17" w14:textId="77777777" w:rsidR="00AD3606" w:rsidRPr="00196C33"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50690F9B" w:rsidR="00AD3606" w:rsidRPr="005E79C5" w:rsidRDefault="00FE6AEA" w:rsidP="00AD3606">
            <w:pPr>
              <w:tabs>
                <w:tab w:val="left" w:pos="851"/>
              </w:tabs>
              <w:spacing w:before="0"/>
              <w:jc w:val="right"/>
              <w:rPr>
                <w:b/>
              </w:rPr>
            </w:pPr>
            <w:r>
              <w:rPr>
                <w:b/>
              </w:rPr>
              <w:t>11</w:t>
            </w:r>
            <w:r w:rsidR="00A77C56">
              <w:rPr>
                <w:b/>
              </w:rPr>
              <w:t xml:space="preserve"> December </w:t>
            </w:r>
            <w:r w:rsidR="00C202F1">
              <w:rPr>
                <w:b/>
              </w:rPr>
              <w:t>2025</w:t>
            </w:r>
          </w:p>
        </w:tc>
      </w:tr>
      <w:tr w:rsidR="00AD3606" w:rsidRPr="005E79C5" w14:paraId="58A84C4A" w14:textId="77777777" w:rsidTr="00AD3606">
        <w:trPr>
          <w:cantSplit/>
          <w:trHeight w:val="23"/>
        </w:trPr>
        <w:tc>
          <w:tcPr>
            <w:tcW w:w="3969" w:type="dxa"/>
            <w:vMerge/>
          </w:tcPr>
          <w:p w14:paraId="77CEDDAA" w14:textId="77777777" w:rsidR="00AD3606" w:rsidRPr="005E79C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5E79C5" w:rsidRDefault="00891503" w:rsidP="00AD3606">
            <w:pPr>
              <w:tabs>
                <w:tab w:val="left" w:pos="851"/>
              </w:tabs>
              <w:spacing w:before="0" w:line="240" w:lineRule="atLeast"/>
              <w:jc w:val="right"/>
              <w:rPr>
                <w:b/>
              </w:rPr>
            </w:pPr>
            <w:r w:rsidRPr="005E79C5">
              <w:rPr>
                <w:b/>
              </w:rPr>
              <w:t>English</w:t>
            </w:r>
            <w:r w:rsidR="009B2D4B" w:rsidRPr="005E79C5">
              <w:rPr>
                <w:b/>
              </w:rPr>
              <w:t xml:space="preserve"> only</w:t>
            </w:r>
          </w:p>
        </w:tc>
      </w:tr>
      <w:tr w:rsidR="00472BAD" w:rsidRPr="005E79C5" w14:paraId="12C5EF5F" w14:textId="77777777" w:rsidTr="00AD3606">
        <w:trPr>
          <w:cantSplit/>
          <w:trHeight w:val="23"/>
        </w:trPr>
        <w:tc>
          <w:tcPr>
            <w:tcW w:w="3969" w:type="dxa"/>
          </w:tcPr>
          <w:p w14:paraId="4B839BA2" w14:textId="77777777" w:rsidR="00472BAD" w:rsidRPr="005E79C5" w:rsidRDefault="00472BAD" w:rsidP="00AD3606">
            <w:pPr>
              <w:tabs>
                <w:tab w:val="left" w:pos="851"/>
              </w:tabs>
              <w:spacing w:line="240" w:lineRule="atLeast"/>
              <w:rPr>
                <w:b/>
              </w:rPr>
            </w:pPr>
          </w:p>
        </w:tc>
        <w:tc>
          <w:tcPr>
            <w:tcW w:w="5245" w:type="dxa"/>
          </w:tcPr>
          <w:p w14:paraId="12F66D25" w14:textId="77777777" w:rsidR="00472BAD" w:rsidRPr="005E79C5" w:rsidRDefault="00472BAD" w:rsidP="00AD3606">
            <w:pPr>
              <w:tabs>
                <w:tab w:val="left" w:pos="851"/>
              </w:tabs>
              <w:spacing w:before="0" w:line="240" w:lineRule="atLeast"/>
              <w:jc w:val="right"/>
              <w:rPr>
                <w:b/>
              </w:rPr>
            </w:pPr>
          </w:p>
        </w:tc>
      </w:tr>
      <w:tr w:rsidR="00AD3606" w:rsidRPr="005E79C5" w14:paraId="27000B2A" w14:textId="77777777" w:rsidTr="00AD3606">
        <w:trPr>
          <w:cantSplit/>
        </w:trPr>
        <w:tc>
          <w:tcPr>
            <w:tcW w:w="9214" w:type="dxa"/>
            <w:gridSpan w:val="2"/>
            <w:tcMar>
              <w:left w:w="0" w:type="dxa"/>
            </w:tcMar>
          </w:tcPr>
          <w:p w14:paraId="4E7CDB90" w14:textId="2BB839DD" w:rsidR="00AD3606" w:rsidRPr="005E79C5" w:rsidRDefault="00273D16" w:rsidP="00676C7D">
            <w:pPr>
              <w:pStyle w:val="Source"/>
              <w:framePr w:hSpace="0" w:wrap="auto" w:vAnchor="margin" w:hAnchor="text" w:xAlign="left" w:yAlign="inline"/>
            </w:pPr>
            <w:bookmarkStart w:id="8" w:name="dsource" w:colFirst="0" w:colLast="0"/>
            <w:bookmarkEnd w:id="7"/>
            <w:r w:rsidRPr="005E79C5">
              <w:t>Note</w:t>
            </w:r>
            <w:r w:rsidR="00AD3606" w:rsidRPr="005E79C5">
              <w:t xml:space="preserve"> by the </w:t>
            </w:r>
            <w:r w:rsidR="005E79C5" w:rsidRPr="005E79C5">
              <w:t>Secretary-General</w:t>
            </w:r>
          </w:p>
        </w:tc>
      </w:tr>
      <w:tr w:rsidR="00AD3606" w:rsidRPr="005E79C5" w14:paraId="2340750D" w14:textId="77777777" w:rsidTr="00AD3606">
        <w:trPr>
          <w:cantSplit/>
        </w:trPr>
        <w:tc>
          <w:tcPr>
            <w:tcW w:w="9214" w:type="dxa"/>
            <w:gridSpan w:val="2"/>
            <w:tcMar>
              <w:left w:w="0" w:type="dxa"/>
            </w:tcMar>
          </w:tcPr>
          <w:p w14:paraId="47B91AA8" w14:textId="3B412D69" w:rsidR="00AD3606" w:rsidRPr="005E79C5" w:rsidRDefault="00415513" w:rsidP="00676C7D">
            <w:pPr>
              <w:pStyle w:val="Subtitle"/>
              <w:framePr w:hSpace="0" w:wrap="auto" w:xAlign="left" w:yAlign="inline"/>
            </w:pPr>
            <w:bookmarkStart w:id="9" w:name="dtitle1" w:colFirst="0" w:colLast="0"/>
            <w:bookmarkEnd w:id="8"/>
            <w:r w:rsidRPr="009C05D4">
              <w:t>LINKING ITU STRATEGIC AND FINANCIAL PLANS</w:t>
            </w:r>
          </w:p>
        </w:tc>
      </w:tr>
      <w:tr w:rsidR="00AD3606" w:rsidRPr="005E79C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5E79C5" w:rsidRDefault="00F16BAB" w:rsidP="00F16BAB">
            <w:pPr>
              <w:spacing w:before="160"/>
              <w:rPr>
                <w:b/>
                <w:bCs/>
                <w:sz w:val="26"/>
                <w:szCs w:val="26"/>
              </w:rPr>
            </w:pPr>
            <w:r w:rsidRPr="005E79C5">
              <w:rPr>
                <w:b/>
                <w:bCs/>
                <w:sz w:val="26"/>
                <w:szCs w:val="26"/>
              </w:rPr>
              <w:t>Purpose</w:t>
            </w:r>
          </w:p>
          <w:p w14:paraId="2E09FE8B" w14:textId="7A256843" w:rsidR="00AD3606" w:rsidRPr="005E79C5" w:rsidRDefault="00807B9D" w:rsidP="00FE6AEA">
            <w:pPr>
              <w:jc w:val="both"/>
            </w:pPr>
            <w:r w:rsidRPr="00807B9D">
              <w:t>This document outlines the approach taken by the Secretariat to link ITU’s strategic and financial plans. The approach relies on the principles of results-based management to ensure that resources are applied to activities with significant impact. The document includes a timeline illustrating the process for developing and integrating the financial aspects into the draft Strategic and Financial Plans for 2028-2031.</w:t>
            </w:r>
          </w:p>
          <w:p w14:paraId="5076D5C4" w14:textId="28F00572" w:rsidR="00AD3606" w:rsidRPr="005E79C5" w:rsidRDefault="00AD3606" w:rsidP="00F16BAB">
            <w:pPr>
              <w:spacing w:before="160"/>
              <w:rPr>
                <w:b/>
                <w:bCs/>
                <w:sz w:val="26"/>
                <w:szCs w:val="26"/>
              </w:rPr>
            </w:pPr>
            <w:r w:rsidRPr="005E79C5">
              <w:rPr>
                <w:b/>
                <w:bCs/>
                <w:sz w:val="26"/>
                <w:szCs w:val="26"/>
              </w:rPr>
              <w:t>Action required</w:t>
            </w:r>
          </w:p>
          <w:p w14:paraId="53A776F1" w14:textId="1B49AFCA" w:rsidR="00891503" w:rsidRPr="005E79C5" w:rsidRDefault="00273D16" w:rsidP="00FE6AEA">
            <w:pPr>
              <w:spacing w:before="160"/>
              <w:jc w:val="both"/>
            </w:pPr>
            <w:r w:rsidRPr="005E79C5">
              <w:t xml:space="preserve">This </w:t>
            </w:r>
            <w:r w:rsidR="00A75CC3" w:rsidRPr="005E79C5">
              <w:t>document</w:t>
            </w:r>
            <w:r w:rsidRPr="005E79C5">
              <w:t xml:space="preserve"> is transmitted to the</w:t>
            </w:r>
            <w:r w:rsidR="00A75CC3" w:rsidRPr="005E79C5">
              <w:t xml:space="preserve"> Council Working Group for strategic and financial plans 2028-2031</w:t>
            </w:r>
            <w:r w:rsidRPr="005E79C5">
              <w:t xml:space="preserve"> </w:t>
            </w:r>
            <w:r w:rsidRPr="005E79C5">
              <w:rPr>
                <w:b/>
                <w:bCs/>
              </w:rPr>
              <w:t>for information</w:t>
            </w:r>
            <w:r w:rsidRPr="005E79C5">
              <w:t>.</w:t>
            </w:r>
          </w:p>
          <w:p w14:paraId="2AAB18B0" w14:textId="53B34B54" w:rsidR="00AD3606" w:rsidRPr="005E79C5" w:rsidRDefault="00891503" w:rsidP="00891503">
            <w:pPr>
              <w:spacing w:before="160"/>
              <w:rPr>
                <w:caps/>
                <w:sz w:val="22"/>
              </w:rPr>
            </w:pPr>
            <w:r w:rsidRPr="005E79C5">
              <w:rPr>
                <w:sz w:val="22"/>
              </w:rPr>
              <w:t>__________________</w:t>
            </w:r>
            <w:r w:rsidR="00AD3606" w:rsidRPr="005E79C5">
              <w:rPr>
                <w:sz w:val="22"/>
              </w:rPr>
              <w:t>__________________</w:t>
            </w:r>
          </w:p>
          <w:p w14:paraId="00DEE14C" w14:textId="77777777" w:rsidR="00AD3606" w:rsidRPr="005E79C5" w:rsidRDefault="00AD3606" w:rsidP="00F16BAB">
            <w:pPr>
              <w:spacing w:before="160"/>
              <w:rPr>
                <w:b/>
                <w:bCs/>
                <w:sz w:val="26"/>
                <w:szCs w:val="26"/>
              </w:rPr>
            </w:pPr>
            <w:r w:rsidRPr="005E79C5">
              <w:rPr>
                <w:b/>
                <w:bCs/>
                <w:sz w:val="26"/>
                <w:szCs w:val="26"/>
              </w:rPr>
              <w:t>References</w:t>
            </w:r>
          </w:p>
          <w:p w14:paraId="0175CD6C" w14:textId="51466A76" w:rsidR="00AD3606" w:rsidRPr="00A77C56" w:rsidRDefault="00FD7016" w:rsidP="00F16BAB">
            <w:pPr>
              <w:spacing w:after="160"/>
              <w:rPr>
                <w:i/>
                <w:iCs/>
                <w:sz w:val="22"/>
                <w:szCs w:val="22"/>
              </w:rPr>
            </w:pPr>
            <w:hyperlink r:id="rId11" w:history="1">
              <w:r w:rsidRPr="00A77C56">
                <w:rPr>
                  <w:rStyle w:val="Hyperlink"/>
                  <w:i/>
                  <w:iCs/>
                  <w:sz w:val="22"/>
                  <w:szCs w:val="22"/>
                </w:rPr>
                <w:t>CWG-</w:t>
              </w:r>
              <w:r w:rsidR="00F264CE" w:rsidRPr="00A77C56">
                <w:rPr>
                  <w:rStyle w:val="Hyperlink"/>
                  <w:i/>
                  <w:iCs/>
                  <w:sz w:val="22"/>
                  <w:szCs w:val="22"/>
                </w:rPr>
                <w:t>SFP</w:t>
              </w:r>
              <w:r w:rsidRPr="00A77C56">
                <w:rPr>
                  <w:rStyle w:val="Hyperlink"/>
                  <w:i/>
                  <w:iCs/>
                  <w:sz w:val="22"/>
                  <w:szCs w:val="22"/>
                </w:rPr>
                <w:t xml:space="preserve"> website</w:t>
              </w:r>
            </w:hyperlink>
            <w:r w:rsidRPr="00A77C56">
              <w:rPr>
                <w:i/>
                <w:iCs/>
                <w:sz w:val="22"/>
                <w:szCs w:val="22"/>
              </w:rPr>
              <w:t xml:space="preserve">; </w:t>
            </w:r>
            <w:hyperlink r:id="rId12" w:tgtFrame="_blank" w:history="1">
              <w:r w:rsidR="00A26588" w:rsidRPr="00A77C56">
                <w:rPr>
                  <w:rStyle w:val="normaltextrun"/>
                  <w:rFonts w:cs="Calibri"/>
                  <w:i/>
                  <w:iCs/>
                  <w:color w:val="0563C1"/>
                  <w:sz w:val="22"/>
                  <w:szCs w:val="22"/>
                  <w:u w:val="single"/>
                  <w:shd w:val="clear" w:color="auto" w:fill="FFFFFF"/>
                </w:rPr>
                <w:t>Resolution 1428 (</w:t>
              </w:r>
              <w:proofErr w:type="spellStart"/>
              <w:r w:rsidR="00A26588" w:rsidRPr="00A77C56">
                <w:rPr>
                  <w:rStyle w:val="normaltextrun"/>
                  <w:rFonts w:cs="Calibri"/>
                  <w:i/>
                  <w:iCs/>
                  <w:color w:val="0563C1"/>
                  <w:sz w:val="22"/>
                  <w:szCs w:val="22"/>
                  <w:u w:val="single"/>
                  <w:shd w:val="clear" w:color="auto" w:fill="FFFFFF"/>
                </w:rPr>
                <w:t>C24</w:t>
              </w:r>
              <w:proofErr w:type="spellEnd"/>
              <w:r w:rsidR="00A26588" w:rsidRPr="00A77C56">
                <w:rPr>
                  <w:rStyle w:val="normaltextrun"/>
                  <w:rFonts w:cs="Calibri"/>
                  <w:i/>
                  <w:iCs/>
                  <w:color w:val="0563C1"/>
                  <w:sz w:val="22"/>
                  <w:szCs w:val="22"/>
                  <w:u w:val="single"/>
                  <w:shd w:val="clear" w:color="auto" w:fill="FFFFFF"/>
                </w:rPr>
                <w:t>)</w:t>
              </w:r>
            </w:hyperlink>
            <w:r w:rsidR="00A26588" w:rsidRPr="00A77C56">
              <w:rPr>
                <w:i/>
                <w:iCs/>
                <w:sz w:val="22"/>
                <w:szCs w:val="22"/>
              </w:rPr>
              <w:t xml:space="preserve">; </w:t>
            </w:r>
            <w:bookmarkStart w:id="10" w:name="_Hlk215134928"/>
            <w:r w:rsidR="00A77C56" w:rsidRPr="00A77C56">
              <w:rPr>
                <w:i/>
                <w:iCs/>
                <w:sz w:val="22"/>
                <w:szCs w:val="22"/>
              </w:rPr>
              <w:t xml:space="preserve">Document </w:t>
            </w:r>
            <w:hyperlink r:id="rId13" w:history="1">
              <w:r w:rsidR="00A26588" w:rsidRPr="00A77C56">
                <w:rPr>
                  <w:rStyle w:val="Hyperlink"/>
                  <w:i/>
                  <w:iCs/>
                  <w:sz w:val="22"/>
                  <w:szCs w:val="22"/>
                </w:rPr>
                <w:t>CWG-SFP-3/6</w:t>
              </w:r>
            </w:hyperlink>
            <w:bookmarkEnd w:id="10"/>
          </w:p>
        </w:tc>
      </w:tr>
    </w:tbl>
    <w:p w14:paraId="4CDB8B60" w14:textId="77777777" w:rsidR="00E227F3" w:rsidRPr="005E79C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1D7ED322" w14:textId="77777777" w:rsidR="0090147A" w:rsidRPr="005E79C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E79C5">
        <w:br w:type="page"/>
      </w:r>
    </w:p>
    <w:bookmarkEnd w:id="5"/>
    <w:bookmarkEnd w:id="11"/>
    <w:p w14:paraId="530989E7" w14:textId="77777777" w:rsidR="0031445B" w:rsidRPr="00B46A69" w:rsidRDefault="0031445B" w:rsidP="004E2129">
      <w:pPr>
        <w:pStyle w:val="Headingb"/>
      </w:pPr>
      <w:r w:rsidRPr="00B46A69">
        <w:lastRenderedPageBreak/>
        <w:t>Introduction</w:t>
      </w:r>
    </w:p>
    <w:p w14:paraId="2FFC4141" w14:textId="7FC4E2EB" w:rsidR="0031445B" w:rsidRDefault="0031445B" w:rsidP="004E2129">
      <w:pPr>
        <w:jc w:val="both"/>
      </w:pPr>
      <w:r>
        <w:t xml:space="preserve">As presented to the </w:t>
      </w:r>
      <w:r w:rsidRPr="00624DC5">
        <w:t xml:space="preserve">third meeting </w:t>
      </w:r>
      <w:r>
        <w:t xml:space="preserve">of the </w:t>
      </w:r>
      <w:r w:rsidRPr="00367EF8">
        <w:t>Council Working Group for strategic and financial plans 2028-2031 (CWG-SFP)</w:t>
      </w:r>
      <w:r>
        <w:t>, for the development of the draft Strategic and Financial Plans for 2028-2031, ITU will focus on strengthening its Results-Based Management (</w:t>
      </w:r>
      <w:proofErr w:type="spellStart"/>
      <w:r>
        <w:t>RBM</w:t>
      </w:r>
      <w:proofErr w:type="spellEnd"/>
      <w:r>
        <w:t xml:space="preserve">) framework to ensure effective integration of strategic, financial and operational plans (see </w:t>
      </w:r>
      <w:r w:rsidR="003B675B">
        <w:t>Document </w:t>
      </w:r>
      <w:hyperlink r:id="rId14" w:history="1">
        <w:r w:rsidRPr="007020C8">
          <w:rPr>
            <w:rStyle w:val="Hyperlink"/>
          </w:rPr>
          <w:t>CWG-SFP-3/6</w:t>
        </w:r>
      </w:hyperlink>
      <w:r>
        <w:t xml:space="preserve">). Specifically, this enhancement will apply a data-driven approach to more clearly distinguish between expected results (impact and outcome indicators at the level of the Strategic Plan) and the routine work plans (outputs, activities and their costs) at the level of the Operational Plans. </w:t>
      </w:r>
    </w:p>
    <w:p w14:paraId="7B602863" w14:textId="77777777" w:rsidR="0031445B" w:rsidRDefault="0031445B" w:rsidP="004E2129">
      <w:pPr>
        <w:jc w:val="both"/>
      </w:pPr>
      <w:r>
        <w:t xml:space="preserve">This structured results chain will help to improve the allocation of resources and workflows towards tangible and measurable results, as well as improve the clarity of future financial and operational reporting. Diagram 1 below visualizes how the Strategic and Operational Plans cover specific areas of the overall results chain, and the way in which the Financial Plan is integrated into the process. </w:t>
      </w:r>
    </w:p>
    <w:p w14:paraId="716E4E67" w14:textId="77777777" w:rsidR="008C7D7F" w:rsidRPr="003B675B" w:rsidRDefault="008C7D7F" w:rsidP="003B675B">
      <w:pPr>
        <w:pStyle w:val="FigureNo"/>
      </w:pPr>
      <w:r>
        <w:t>DIAGRAM 1</w:t>
      </w:r>
    </w:p>
    <w:p w14:paraId="2FC2C360" w14:textId="2FD20F7F" w:rsidR="008C7D7F" w:rsidRPr="001D4CDA" w:rsidRDefault="008C7D7F" w:rsidP="003B675B">
      <w:pPr>
        <w:pStyle w:val="Figuretitle"/>
      </w:pPr>
      <w:r w:rsidRPr="001D4CDA">
        <w:t xml:space="preserve">Integration of Strategic, </w:t>
      </w:r>
      <w:r w:rsidR="0092537E">
        <w:t xml:space="preserve">Financial and </w:t>
      </w:r>
      <w:r w:rsidRPr="001D4CDA">
        <w:t>Operational Plans in overall results chain</w:t>
      </w:r>
    </w:p>
    <w:p w14:paraId="420B90DD" w14:textId="77777777" w:rsidR="008C7D7F" w:rsidRPr="003B675B" w:rsidRDefault="008C7D7F" w:rsidP="003B675B">
      <w:pPr>
        <w:pStyle w:val="Figure"/>
      </w:pPr>
      <w:r w:rsidRPr="003B675B">
        <w:drawing>
          <wp:inline distT="0" distB="0" distL="0" distR="0" wp14:anchorId="4ED21E5E" wp14:editId="7A48969A">
            <wp:extent cx="6181725" cy="3230880"/>
            <wp:effectExtent l="0" t="0" r="9525" b="7620"/>
            <wp:docPr id="711965404" name="Picture 1" descr="A diagram of a financial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65404" name="Picture 1" descr="A diagram of a financial pla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3230880"/>
                    </a:xfrm>
                    <a:prstGeom prst="rect">
                      <a:avLst/>
                    </a:prstGeom>
                    <a:noFill/>
                  </pic:spPr>
                </pic:pic>
              </a:graphicData>
            </a:graphic>
          </wp:inline>
        </w:drawing>
      </w:r>
    </w:p>
    <w:p w14:paraId="23ADB1A4" w14:textId="77777777" w:rsidR="008C7D7F" w:rsidRPr="0083096C" w:rsidRDefault="008C7D7F" w:rsidP="003B675B">
      <w:pPr>
        <w:pStyle w:val="Headingb"/>
      </w:pPr>
      <w:r>
        <w:t xml:space="preserve">Integrating the </w:t>
      </w:r>
      <w:r w:rsidRPr="0083096C">
        <w:t xml:space="preserve">Financial </w:t>
      </w:r>
      <w:r>
        <w:t xml:space="preserve">and Strategic </w:t>
      </w:r>
      <w:r w:rsidRPr="0083096C">
        <w:t>Plan</w:t>
      </w:r>
      <w:r>
        <w:t>s</w:t>
      </w:r>
    </w:p>
    <w:p w14:paraId="5984AD61" w14:textId="77777777" w:rsidR="008C7D7F" w:rsidRDefault="008C7D7F" w:rsidP="003B675B">
      <w:pPr>
        <w:jc w:val="both"/>
      </w:pPr>
      <w:r>
        <w:t xml:space="preserve">The Financial Plan developed at the level of the Strategic Plan is an estimate of the expected revenues and the allocation of resources to each of the desired Priorities/Outcomes, based on their relative priority as defined in the Strategic Plan. The Financial Plan provides guidance for the budgeting and delivery of Outputs in Operational Plans during the period covered by the Strategic Plan. </w:t>
      </w:r>
    </w:p>
    <w:p w14:paraId="51FC430B" w14:textId="77777777" w:rsidR="008C7D7F" w:rsidRDefault="008C7D7F" w:rsidP="003B675B">
      <w:pPr>
        <w:jc w:val="both"/>
      </w:pPr>
      <w:r>
        <w:t>It is envisaged that there will be several stages of development, as summarized below:</w:t>
      </w:r>
    </w:p>
    <w:p w14:paraId="55A4F0E9" w14:textId="00BF1721" w:rsidR="008C7D7F" w:rsidRPr="00A77C56" w:rsidRDefault="00A77C56" w:rsidP="00070617">
      <w:pPr>
        <w:pStyle w:val="Heading1"/>
        <w:spacing w:before="360"/>
      </w:pPr>
      <w:r w:rsidRPr="00B30645">
        <w:lastRenderedPageBreak/>
        <w:t>1</w:t>
      </w:r>
      <w:r w:rsidRPr="00B30645">
        <w:tab/>
      </w:r>
      <w:r w:rsidR="008C7D7F" w:rsidRPr="00A77C56">
        <w:t xml:space="preserve">Validation of </w:t>
      </w:r>
      <w:r w:rsidR="00973F3C" w:rsidRPr="00A77C56">
        <w:t xml:space="preserve">revenue streams </w:t>
      </w:r>
      <w:r w:rsidR="008C7D7F" w:rsidRPr="00A77C56">
        <w:t>for 2028</w:t>
      </w:r>
      <w:r w:rsidR="00973F3C">
        <w:t>-</w:t>
      </w:r>
      <w:r w:rsidR="008C7D7F" w:rsidRPr="00A77C56">
        <w:t>2031</w:t>
      </w:r>
    </w:p>
    <w:p w14:paraId="33BAF469" w14:textId="2B3611EF" w:rsidR="008C7D7F" w:rsidRDefault="008C7D7F" w:rsidP="00973F3C">
      <w:pPr>
        <w:jc w:val="both"/>
      </w:pPr>
      <w:r>
        <w:t>As part of the preparatory work, the Secretariat is validating all major revenue streams to ensure the credibility of the baseline for the 2028</w:t>
      </w:r>
      <w:r w:rsidR="00410F72">
        <w:t>-</w:t>
      </w:r>
      <w:r>
        <w:t>2031 period:</w:t>
      </w:r>
    </w:p>
    <w:p w14:paraId="263F2ADA" w14:textId="37CB4842" w:rsidR="008C7D7F" w:rsidRDefault="00973F3C" w:rsidP="00973F3C">
      <w:pPr>
        <w:pStyle w:val="enumlev1"/>
        <w:jc w:val="both"/>
      </w:pPr>
      <w:r>
        <w:t>–</w:t>
      </w:r>
      <w:r>
        <w:tab/>
      </w:r>
      <w:r w:rsidR="008C7D7F">
        <w:t>Regular Budget (Contributory Units): Stability of CU commitments, membership trends, and scenario modelling for potential adjustments at ITU Plenipotentiary Conference in 2026 (PP-26).</w:t>
      </w:r>
    </w:p>
    <w:p w14:paraId="605BA457" w14:textId="51C16ECD" w:rsidR="008C7D7F" w:rsidRDefault="00973F3C" w:rsidP="00973F3C">
      <w:pPr>
        <w:pStyle w:val="enumlev1"/>
        <w:jc w:val="both"/>
      </w:pPr>
      <w:r>
        <w:t>–</w:t>
      </w:r>
      <w:r>
        <w:tab/>
      </w:r>
      <w:r w:rsidR="008C7D7F">
        <w:t>Satellite Network Filing (</w:t>
      </w:r>
      <w:proofErr w:type="spellStart"/>
      <w:r w:rsidR="008C7D7F">
        <w:t>SNF</w:t>
      </w:r>
      <w:proofErr w:type="spellEnd"/>
      <w:r w:rsidR="008C7D7F">
        <w:t>) Revenues: Updated projections based on the 2026-2027 revenue patterns, implementation of the revised cost-recovery methodology, and expected filing volumes.</w:t>
      </w:r>
    </w:p>
    <w:p w14:paraId="36BC91D2" w14:textId="006872D8" w:rsidR="008C7D7F" w:rsidRDefault="00973F3C" w:rsidP="00973F3C">
      <w:pPr>
        <w:pStyle w:val="enumlev1"/>
        <w:jc w:val="both"/>
      </w:pPr>
      <w:r>
        <w:t>–</w:t>
      </w:r>
      <w:r>
        <w:tab/>
      </w:r>
      <w:r w:rsidR="008C7D7F">
        <w:t>Publications and Sales: Trends in digital distribution and anticipated revenue levels.</w:t>
      </w:r>
    </w:p>
    <w:p w14:paraId="7B32F48F" w14:textId="3AC366A4" w:rsidR="008C7D7F" w:rsidRDefault="00973F3C" w:rsidP="00973F3C">
      <w:pPr>
        <w:pStyle w:val="enumlev1"/>
        <w:jc w:val="both"/>
      </w:pPr>
      <w:r>
        <w:t>–</w:t>
      </w:r>
      <w:r>
        <w:tab/>
      </w:r>
      <w:r w:rsidR="008C7D7F">
        <w:t>Interest and Miscellaneous Income: Conservative estimates based on reserve utilisation, cash management, timing of receipts and global economic outlook on investment trends.</w:t>
      </w:r>
    </w:p>
    <w:p w14:paraId="6CDD18E5" w14:textId="77777777" w:rsidR="008C7D7F" w:rsidRDefault="008C7D7F" w:rsidP="00973F3C">
      <w:pPr>
        <w:jc w:val="both"/>
      </w:pPr>
      <w:r>
        <w:t>Based on the preliminary analysis of these validated streams, the initial indicative budget envelope for 2028-2031 is approximately CHF 650 million, subject to refinement following Council guidance.</w:t>
      </w:r>
    </w:p>
    <w:p w14:paraId="7910E846" w14:textId="5BC82431" w:rsidR="008C7D7F" w:rsidRPr="00A77C56" w:rsidRDefault="00A77C56" w:rsidP="00070617">
      <w:pPr>
        <w:pStyle w:val="Heading1"/>
        <w:spacing w:before="360"/>
      </w:pPr>
      <w:r w:rsidRPr="00B30645">
        <w:t>2</w:t>
      </w:r>
      <w:r w:rsidRPr="00B30645">
        <w:tab/>
      </w:r>
      <w:r w:rsidR="008C7D7F" w:rsidRPr="00A77C56">
        <w:t>Link to the 2026</w:t>
      </w:r>
      <w:r w:rsidR="00973F3C">
        <w:t>-</w:t>
      </w:r>
      <w:r w:rsidR="008C7D7F" w:rsidRPr="00A77C56">
        <w:t xml:space="preserve">2027 </w:t>
      </w:r>
      <w:r w:rsidR="00973F3C" w:rsidRPr="00A77C56">
        <w:t>operational planning exercise</w:t>
      </w:r>
    </w:p>
    <w:p w14:paraId="18ABB29A" w14:textId="0D8E87BE" w:rsidR="008C7D7F" w:rsidRDefault="008C7D7F" w:rsidP="008C7D7F">
      <w:pPr>
        <w:jc w:val="both"/>
      </w:pPr>
      <w:r>
        <w:t>The ongoing operational planning exercise for 2026</w:t>
      </w:r>
      <w:r w:rsidR="00410F72">
        <w:t>-</w:t>
      </w:r>
      <w:r>
        <w:t>2027 is providing essential data for refining the strategic and financial frameworks for the next period. This exercise:</w:t>
      </w:r>
    </w:p>
    <w:p w14:paraId="0DEF8A73" w14:textId="19159723" w:rsidR="008C7D7F" w:rsidRDefault="00973F3C" w:rsidP="00973F3C">
      <w:pPr>
        <w:pStyle w:val="enumlev1"/>
        <w:jc w:val="both"/>
      </w:pPr>
      <w:r>
        <w:t>–</w:t>
      </w:r>
      <w:r>
        <w:tab/>
      </w:r>
      <w:r w:rsidR="008C7D7F">
        <w:t>Clarifies the actual resource requirements for delivering outputs.</w:t>
      </w:r>
    </w:p>
    <w:p w14:paraId="399F22B6" w14:textId="68C3C5A3" w:rsidR="008C7D7F" w:rsidRDefault="00973F3C" w:rsidP="00973F3C">
      <w:pPr>
        <w:pStyle w:val="enumlev1"/>
        <w:jc w:val="both"/>
      </w:pPr>
      <w:r>
        <w:t>–</w:t>
      </w:r>
      <w:r>
        <w:tab/>
      </w:r>
      <w:r w:rsidR="008C7D7F">
        <w:t xml:space="preserve">Identifies opportunities for efficiency gains from digitalisation, process redesign, and </w:t>
      </w:r>
      <w:proofErr w:type="spellStart"/>
      <w:r w:rsidR="008C7D7F">
        <w:t>RBM</w:t>
      </w:r>
      <w:proofErr w:type="spellEnd"/>
      <w:r w:rsidR="008C7D7F">
        <w:t xml:space="preserve"> tools.</w:t>
      </w:r>
    </w:p>
    <w:p w14:paraId="29037E27" w14:textId="7C0F93B2" w:rsidR="008C7D7F" w:rsidRDefault="00973F3C" w:rsidP="00973F3C">
      <w:pPr>
        <w:pStyle w:val="enumlev1"/>
        <w:jc w:val="both"/>
      </w:pPr>
      <w:r>
        <w:t>–</w:t>
      </w:r>
      <w:r>
        <w:tab/>
      </w:r>
      <w:r w:rsidR="008C7D7F">
        <w:t>Helps determine which outputs should be maintained, scaled up, or concluded.</w:t>
      </w:r>
    </w:p>
    <w:p w14:paraId="060B7670" w14:textId="51424C44" w:rsidR="008C7D7F" w:rsidRDefault="00973F3C" w:rsidP="00973F3C">
      <w:pPr>
        <w:pStyle w:val="enumlev1"/>
        <w:jc w:val="both"/>
      </w:pPr>
      <w:r>
        <w:t>–</w:t>
      </w:r>
      <w:r>
        <w:tab/>
      </w:r>
      <w:r w:rsidR="008C7D7F">
        <w:t>Enables refinement of sectoral priorities and thematic areas for the 2028-2031 Strategic Plan.</w:t>
      </w:r>
    </w:p>
    <w:p w14:paraId="00CB591E" w14:textId="77777777" w:rsidR="008C7D7F" w:rsidRPr="001154B6" w:rsidRDefault="008C7D7F" w:rsidP="008C7D7F">
      <w:pPr>
        <w:jc w:val="both"/>
        <w:rPr>
          <w:b/>
          <w:bCs/>
        </w:rPr>
      </w:pPr>
      <w:r>
        <w:t>This operational insight is a critical input for aligning strategic objectives with realistic financial envelopes.</w:t>
      </w:r>
    </w:p>
    <w:p w14:paraId="142690BE" w14:textId="655FD1DA" w:rsidR="008C7D7F" w:rsidRPr="00A77C56" w:rsidRDefault="00A77C56" w:rsidP="00070617">
      <w:pPr>
        <w:pStyle w:val="Heading1"/>
        <w:spacing w:before="360"/>
      </w:pPr>
      <w:r w:rsidRPr="002A75EC">
        <w:t>3</w:t>
      </w:r>
      <w:r w:rsidRPr="002A75EC">
        <w:tab/>
      </w:r>
      <w:r w:rsidR="008C7D7F" w:rsidRPr="00A77C56">
        <w:t xml:space="preserve">Path </w:t>
      </w:r>
      <w:r w:rsidR="00973F3C" w:rsidRPr="00A77C56">
        <w:t>toward a full costing of the strategic plan</w:t>
      </w:r>
    </w:p>
    <w:p w14:paraId="268B8F62" w14:textId="77777777" w:rsidR="008C7D7F" w:rsidRDefault="008C7D7F" w:rsidP="008C7D7F">
      <w:pPr>
        <w:jc w:val="both"/>
      </w:pPr>
      <w:r>
        <w:t>Once strategic priorities and expected results have been agreed by the CWG-SFP, the Secretariat will proceed with a complete review of the Strategic Plan, including:</w:t>
      </w:r>
    </w:p>
    <w:p w14:paraId="53087715" w14:textId="275CB603" w:rsidR="008C7D7F" w:rsidRDefault="00973F3C" w:rsidP="00973F3C">
      <w:pPr>
        <w:pStyle w:val="enumlev1"/>
        <w:jc w:val="both"/>
      </w:pPr>
      <w:r>
        <w:t>–</w:t>
      </w:r>
      <w:r>
        <w:tab/>
      </w:r>
      <w:r w:rsidR="008C7D7F">
        <w:t>Resource envelopes required for each Priority.</w:t>
      </w:r>
    </w:p>
    <w:p w14:paraId="06CD45F9" w14:textId="6C11FA3E" w:rsidR="008C7D7F" w:rsidRDefault="00973F3C" w:rsidP="00973F3C">
      <w:pPr>
        <w:pStyle w:val="enumlev1"/>
        <w:jc w:val="both"/>
      </w:pPr>
      <w:r>
        <w:t>–</w:t>
      </w:r>
      <w:r>
        <w:tab/>
      </w:r>
      <w:r w:rsidR="008C7D7F">
        <w:t>Estimated efficiencies and savings that offset expenditure growth.</w:t>
      </w:r>
    </w:p>
    <w:p w14:paraId="0C021B74" w14:textId="0CD65F77" w:rsidR="008C7D7F" w:rsidRDefault="00973F3C" w:rsidP="00973F3C">
      <w:pPr>
        <w:pStyle w:val="enumlev1"/>
        <w:jc w:val="both"/>
      </w:pPr>
      <w:r>
        <w:t>–</w:t>
      </w:r>
      <w:r>
        <w:tab/>
      </w:r>
      <w:r w:rsidR="008C7D7F">
        <w:t xml:space="preserve">Alignment of </w:t>
      </w:r>
      <w:proofErr w:type="spellStart"/>
      <w:r w:rsidR="008C7D7F">
        <w:t>RBM</w:t>
      </w:r>
      <w:proofErr w:type="spellEnd"/>
      <w:r w:rsidR="008C7D7F">
        <w:t xml:space="preserve"> indicators with the financial framework.</w:t>
      </w:r>
    </w:p>
    <w:p w14:paraId="47E3FB3F" w14:textId="037A364A" w:rsidR="008C7D7F" w:rsidRDefault="00973F3C" w:rsidP="00973F3C">
      <w:pPr>
        <w:pStyle w:val="enumlev1"/>
        <w:jc w:val="both"/>
      </w:pPr>
      <w:r>
        <w:t>–</w:t>
      </w:r>
      <w:r>
        <w:tab/>
      </w:r>
      <w:r w:rsidR="008C7D7F">
        <w:t>Clear articulation of how the Financial Plan supports the delivery of ITU’s mandate.</w:t>
      </w:r>
    </w:p>
    <w:p w14:paraId="102A6C04" w14:textId="77777777" w:rsidR="008C7D7F" w:rsidRDefault="008C7D7F" w:rsidP="008C7D7F">
      <w:pPr>
        <w:jc w:val="both"/>
      </w:pPr>
      <w:r>
        <w:t>This ensures that the Financial Plan presented to PP-26 is evidence-based, transparent, and results-oriented. Annex</w:t>
      </w:r>
      <w:r w:rsidRPr="002D4892">
        <w:t xml:space="preserve"> 1 below visualizes</w:t>
      </w:r>
      <w:r>
        <w:t xml:space="preserve"> the timeline for the development and approval of the financial plan.</w:t>
      </w:r>
    </w:p>
    <w:p w14:paraId="460D4581" w14:textId="77777777" w:rsidR="00973F3C" w:rsidRDefault="00973F3C">
      <w:pPr>
        <w:tabs>
          <w:tab w:val="clear" w:pos="567"/>
          <w:tab w:val="clear" w:pos="1134"/>
          <w:tab w:val="clear" w:pos="1701"/>
          <w:tab w:val="clear" w:pos="2268"/>
          <w:tab w:val="clear" w:pos="2835"/>
        </w:tabs>
        <w:overflowPunct/>
        <w:autoSpaceDE/>
        <w:autoSpaceDN/>
        <w:adjustRightInd/>
        <w:spacing w:before="0"/>
        <w:textAlignment w:val="auto"/>
      </w:pPr>
      <w:r>
        <w:br w:type="page"/>
      </w:r>
    </w:p>
    <w:p w14:paraId="401ECB77" w14:textId="3FF5716D" w:rsidR="008C7D7F" w:rsidRDefault="008C7D7F" w:rsidP="00973F3C">
      <w:pPr>
        <w:pStyle w:val="AnnexNo"/>
      </w:pPr>
      <w:r>
        <w:lastRenderedPageBreak/>
        <w:t>ANNEX</w:t>
      </w:r>
    </w:p>
    <w:p w14:paraId="0E99FEED" w14:textId="3A2B14EF" w:rsidR="008C7D7F" w:rsidRPr="002A75EC" w:rsidRDefault="008C7D7F" w:rsidP="00973F3C">
      <w:pPr>
        <w:pStyle w:val="Annextitle"/>
      </w:pPr>
      <w:r w:rsidRPr="002A75EC">
        <w:t xml:space="preserve">Timeline for the </w:t>
      </w:r>
      <w:r w:rsidR="00973F3C" w:rsidRPr="002A75EC">
        <w:t>development and approval of the financial plan</w:t>
      </w:r>
    </w:p>
    <w:tbl>
      <w:tblPr>
        <w:tblW w:w="8640" w:type="dxa"/>
        <w:jc w:val="center"/>
        <w:tblLayout w:type="fixed"/>
        <w:tblLook w:val="04A0" w:firstRow="1" w:lastRow="0" w:firstColumn="1" w:lastColumn="0" w:noHBand="0" w:noVBand="1"/>
      </w:tblPr>
      <w:tblGrid>
        <w:gridCol w:w="5807"/>
        <w:gridCol w:w="1416"/>
        <w:gridCol w:w="1417"/>
      </w:tblGrid>
      <w:tr w:rsidR="008C7D7F" w:rsidRPr="004754E0" w14:paraId="48519FF6" w14:textId="77777777" w:rsidTr="0FECDA16">
        <w:trPr>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4F1C6C9B" w14:textId="756F378A" w:rsidR="008C7D7F" w:rsidRPr="004754E0" w:rsidRDefault="008C7D7F" w:rsidP="00973F3C">
            <w:pPr>
              <w:pStyle w:val="Tabletext"/>
              <w:rPr>
                <w:lang w:eastAsia="en-GB"/>
              </w:rPr>
            </w:pPr>
            <w:r w:rsidRPr="004754E0">
              <w:rPr>
                <w:lang w:eastAsia="en-GB"/>
              </w:rPr>
              <w:t>Presentation of the revised approach and initial revenue envelope</w:t>
            </w:r>
          </w:p>
        </w:tc>
        <w:tc>
          <w:tcPr>
            <w:tcW w:w="1416" w:type="dxa"/>
            <w:vMerge w:val="restart"/>
            <w:tcBorders>
              <w:top w:val="single" w:sz="4" w:space="0" w:color="auto"/>
              <w:left w:val="single" w:sz="4" w:space="0" w:color="auto"/>
              <w:bottom w:val="single" w:sz="4" w:space="0" w:color="auto"/>
              <w:right w:val="single" w:sz="4" w:space="0" w:color="auto"/>
            </w:tcBorders>
            <w:noWrap/>
            <w:vAlign w:val="center"/>
            <w:hideMark/>
          </w:tcPr>
          <w:p w14:paraId="107F5625" w14:textId="65B15CB8" w:rsidR="008C7D7F" w:rsidRPr="004754E0" w:rsidRDefault="008C7D7F" w:rsidP="000D1ACE">
            <w:pPr>
              <w:pStyle w:val="Tabletext"/>
              <w:jc w:val="center"/>
              <w:rPr>
                <w:lang w:eastAsia="en-GB"/>
              </w:rPr>
            </w:pPr>
            <w:r w:rsidRPr="004754E0">
              <w:rPr>
                <w:lang w:eastAsia="en-GB"/>
              </w:rPr>
              <w:t>Jan</w:t>
            </w:r>
            <w:r w:rsidR="000D1ACE">
              <w:rPr>
                <w:lang w:eastAsia="en-GB"/>
              </w:rPr>
              <w:t xml:space="preserve">. </w:t>
            </w:r>
            <w:r w:rsidRPr="004754E0">
              <w:rPr>
                <w:lang w:eastAsia="en-GB"/>
              </w:rPr>
              <w:t>26</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14:paraId="00188922" w14:textId="7C0BF094" w:rsidR="008C7D7F" w:rsidRPr="004754E0" w:rsidRDefault="008C7D7F" w:rsidP="000D1ACE">
            <w:pPr>
              <w:pStyle w:val="Tabletext"/>
              <w:jc w:val="center"/>
              <w:rPr>
                <w:rFonts w:cs="Calibri"/>
                <w:lang w:eastAsia="en-GB"/>
              </w:rPr>
            </w:pPr>
            <w:r w:rsidRPr="0FECDA16">
              <w:rPr>
                <w:rFonts w:cs="Calibri"/>
                <w:lang w:eastAsia="en-GB"/>
              </w:rPr>
              <w:t>CWG-</w:t>
            </w:r>
            <w:r w:rsidR="00381969">
              <w:rPr>
                <w:rFonts w:cs="Calibri"/>
                <w:lang w:eastAsia="en-GB"/>
              </w:rPr>
              <w:t>SFP</w:t>
            </w:r>
          </w:p>
        </w:tc>
      </w:tr>
      <w:tr w:rsidR="008C7D7F" w:rsidRPr="004754E0" w14:paraId="01ACF04A"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7E728C90" w14:textId="17355E4C" w:rsidR="008C7D7F" w:rsidRPr="004754E0" w:rsidRDefault="008C7D7F" w:rsidP="00973F3C">
            <w:pPr>
              <w:pStyle w:val="Tabletext"/>
              <w:rPr>
                <w:lang w:eastAsia="en-GB"/>
              </w:rPr>
            </w:pPr>
            <w:r w:rsidRPr="004754E0">
              <w:rPr>
                <w:lang w:eastAsia="en-GB"/>
              </w:rPr>
              <w:t>Guidance on structure, assumptions, and modelling scenarios</w:t>
            </w:r>
          </w:p>
        </w:tc>
        <w:tc>
          <w:tcPr>
            <w:tcW w:w="1416" w:type="dxa"/>
            <w:vMerge/>
            <w:vAlign w:val="center"/>
            <w:hideMark/>
          </w:tcPr>
          <w:p w14:paraId="0B8762E2" w14:textId="77777777" w:rsidR="008C7D7F" w:rsidRPr="004754E0" w:rsidRDefault="008C7D7F" w:rsidP="000D1ACE">
            <w:pPr>
              <w:pStyle w:val="Tabletext"/>
              <w:jc w:val="center"/>
              <w:rPr>
                <w:lang w:eastAsia="en-GB"/>
              </w:rPr>
            </w:pPr>
          </w:p>
        </w:tc>
        <w:tc>
          <w:tcPr>
            <w:tcW w:w="1417" w:type="dxa"/>
            <w:vMerge/>
            <w:vAlign w:val="center"/>
            <w:hideMark/>
          </w:tcPr>
          <w:p w14:paraId="63E9213C" w14:textId="77777777" w:rsidR="008C7D7F" w:rsidRPr="004754E0" w:rsidRDefault="008C7D7F" w:rsidP="000D1ACE">
            <w:pPr>
              <w:pStyle w:val="Tabletext"/>
              <w:jc w:val="center"/>
              <w:rPr>
                <w:rFonts w:cs="Calibri"/>
                <w:lang w:eastAsia="en-GB"/>
              </w:rPr>
            </w:pPr>
          </w:p>
        </w:tc>
      </w:tr>
      <w:tr w:rsidR="008C7D7F" w:rsidRPr="00C44F82" w14:paraId="4724643A"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628AF32A" w14:textId="7EA4E6C0" w:rsidR="008C7D7F" w:rsidRPr="00C44F82" w:rsidRDefault="008C7D7F" w:rsidP="00973F3C">
            <w:pPr>
              <w:pStyle w:val="Tabletext"/>
              <w:rPr>
                <w:lang w:eastAsia="en-GB"/>
              </w:rPr>
            </w:pPr>
            <w:r w:rsidRPr="00C44F82">
              <w:rPr>
                <w:lang w:eastAsia="en-GB"/>
              </w:rPr>
              <w:t>Review of the refined draft Financial Plan aligned with the updated Strategic Plan</w:t>
            </w:r>
          </w:p>
        </w:tc>
        <w:tc>
          <w:tcPr>
            <w:tcW w:w="1416" w:type="dxa"/>
            <w:tcBorders>
              <w:top w:val="nil"/>
              <w:left w:val="nil"/>
              <w:bottom w:val="single" w:sz="4" w:space="0" w:color="auto"/>
              <w:right w:val="single" w:sz="4" w:space="0" w:color="auto"/>
            </w:tcBorders>
            <w:noWrap/>
            <w:vAlign w:val="center"/>
            <w:hideMark/>
          </w:tcPr>
          <w:p w14:paraId="079F7984" w14:textId="1DE7FEFC" w:rsidR="008C7D7F" w:rsidRPr="00C44F82" w:rsidRDefault="008C7D7F" w:rsidP="000D1ACE">
            <w:pPr>
              <w:pStyle w:val="Tabletext"/>
              <w:jc w:val="center"/>
              <w:rPr>
                <w:lang w:eastAsia="en-GB"/>
              </w:rPr>
            </w:pPr>
            <w:r w:rsidRPr="00C44F82">
              <w:rPr>
                <w:lang w:eastAsia="en-GB"/>
              </w:rPr>
              <w:t>TB</w:t>
            </w:r>
            <w:r w:rsidR="00F1426E">
              <w:rPr>
                <w:lang w:eastAsia="en-GB"/>
              </w:rPr>
              <w:t>D</w:t>
            </w:r>
          </w:p>
        </w:tc>
        <w:tc>
          <w:tcPr>
            <w:tcW w:w="1417" w:type="dxa"/>
            <w:tcBorders>
              <w:top w:val="nil"/>
              <w:left w:val="nil"/>
              <w:bottom w:val="single" w:sz="4" w:space="0" w:color="auto"/>
              <w:right w:val="single" w:sz="4" w:space="0" w:color="auto"/>
            </w:tcBorders>
            <w:noWrap/>
            <w:vAlign w:val="center"/>
            <w:hideMark/>
          </w:tcPr>
          <w:p w14:paraId="0C056C9C" w14:textId="77777777" w:rsidR="008C7D7F" w:rsidRPr="00C44F82" w:rsidRDefault="008C7D7F" w:rsidP="000D1ACE">
            <w:pPr>
              <w:pStyle w:val="Tabletext"/>
              <w:jc w:val="center"/>
              <w:rPr>
                <w:rFonts w:cs="Calibri"/>
                <w:lang w:eastAsia="en-GB"/>
              </w:rPr>
            </w:pPr>
            <w:r w:rsidRPr="00C44F82">
              <w:rPr>
                <w:rFonts w:cs="Calibri"/>
                <w:lang w:eastAsia="en-GB"/>
              </w:rPr>
              <w:t>CWG-SFP</w:t>
            </w:r>
          </w:p>
        </w:tc>
      </w:tr>
      <w:tr w:rsidR="008C7D7F" w:rsidRPr="00C44F82" w14:paraId="695A7E9C"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5A25F0D1" w14:textId="38CBD486" w:rsidR="008C7D7F" w:rsidRPr="00C44F82" w:rsidRDefault="008C7D7F" w:rsidP="00973F3C">
            <w:pPr>
              <w:pStyle w:val="Tabletext"/>
              <w:rPr>
                <w:lang w:eastAsia="en-GB"/>
              </w:rPr>
            </w:pPr>
            <w:r w:rsidRPr="00C44F82">
              <w:rPr>
                <w:lang w:eastAsia="en-GB"/>
              </w:rPr>
              <w:t>Review and endorsement of the refined draft Financial Plan aligned with the updated Strategic Plan</w:t>
            </w:r>
          </w:p>
        </w:tc>
        <w:tc>
          <w:tcPr>
            <w:tcW w:w="1416" w:type="dxa"/>
            <w:vMerge w:val="restart"/>
            <w:tcBorders>
              <w:top w:val="nil"/>
              <w:left w:val="single" w:sz="4" w:space="0" w:color="auto"/>
              <w:bottom w:val="single" w:sz="4" w:space="0" w:color="auto"/>
              <w:right w:val="single" w:sz="4" w:space="0" w:color="auto"/>
            </w:tcBorders>
            <w:noWrap/>
            <w:vAlign w:val="center"/>
            <w:hideMark/>
          </w:tcPr>
          <w:p w14:paraId="7C946367" w14:textId="3F32B692" w:rsidR="008C7D7F" w:rsidRPr="00C44F82" w:rsidRDefault="008C7D7F" w:rsidP="000D1ACE">
            <w:pPr>
              <w:pStyle w:val="Tabletext"/>
              <w:jc w:val="center"/>
              <w:rPr>
                <w:lang w:eastAsia="en-GB"/>
              </w:rPr>
            </w:pPr>
            <w:r w:rsidRPr="00C44F82">
              <w:rPr>
                <w:lang w:eastAsia="en-GB"/>
              </w:rPr>
              <w:t>Apr</w:t>
            </w:r>
            <w:r w:rsidR="000D1ACE">
              <w:rPr>
                <w:lang w:eastAsia="en-GB"/>
              </w:rPr>
              <w:t xml:space="preserve">. </w:t>
            </w:r>
            <w:r w:rsidRPr="00C44F82">
              <w:rPr>
                <w:lang w:eastAsia="en-GB"/>
              </w:rPr>
              <w:t>26</w:t>
            </w:r>
          </w:p>
        </w:tc>
        <w:tc>
          <w:tcPr>
            <w:tcW w:w="1417" w:type="dxa"/>
            <w:vMerge w:val="restart"/>
            <w:tcBorders>
              <w:top w:val="nil"/>
              <w:left w:val="single" w:sz="4" w:space="0" w:color="auto"/>
              <w:bottom w:val="single" w:sz="4" w:space="0" w:color="auto"/>
              <w:right w:val="single" w:sz="4" w:space="0" w:color="auto"/>
            </w:tcBorders>
            <w:noWrap/>
            <w:vAlign w:val="center"/>
            <w:hideMark/>
          </w:tcPr>
          <w:p w14:paraId="63B672AF" w14:textId="77777777" w:rsidR="008C7D7F" w:rsidRPr="00C44F82" w:rsidRDefault="008C7D7F" w:rsidP="000D1ACE">
            <w:pPr>
              <w:pStyle w:val="Tabletext"/>
              <w:jc w:val="center"/>
              <w:rPr>
                <w:lang w:eastAsia="en-GB"/>
              </w:rPr>
            </w:pPr>
            <w:r w:rsidRPr="00C44F82">
              <w:rPr>
                <w:lang w:eastAsia="en-GB"/>
              </w:rPr>
              <w:t>Council 2026</w:t>
            </w:r>
          </w:p>
        </w:tc>
      </w:tr>
      <w:tr w:rsidR="008C7D7F" w:rsidRPr="00C44F82" w14:paraId="47F7CE24"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4FB81B1C" w14:textId="4F20CFAC" w:rsidR="008C7D7F" w:rsidRPr="00C44F82" w:rsidRDefault="008C7D7F" w:rsidP="00973F3C">
            <w:pPr>
              <w:pStyle w:val="Tabletext"/>
              <w:rPr>
                <w:lang w:eastAsia="en-GB"/>
              </w:rPr>
            </w:pPr>
            <w:r w:rsidRPr="00C44F82">
              <w:rPr>
                <w:lang w:eastAsia="en-GB"/>
              </w:rPr>
              <w:t>Validation of revenue projections and sector-level expenditure envelopes</w:t>
            </w:r>
          </w:p>
        </w:tc>
        <w:tc>
          <w:tcPr>
            <w:tcW w:w="1416" w:type="dxa"/>
            <w:vMerge/>
            <w:vAlign w:val="center"/>
            <w:hideMark/>
          </w:tcPr>
          <w:p w14:paraId="64F4E559" w14:textId="77777777" w:rsidR="008C7D7F" w:rsidRPr="00C44F82" w:rsidRDefault="008C7D7F" w:rsidP="000D1ACE">
            <w:pPr>
              <w:pStyle w:val="Tabletext"/>
              <w:jc w:val="center"/>
              <w:rPr>
                <w:lang w:eastAsia="en-GB"/>
              </w:rPr>
            </w:pPr>
          </w:p>
        </w:tc>
        <w:tc>
          <w:tcPr>
            <w:tcW w:w="1417" w:type="dxa"/>
            <w:vMerge/>
            <w:vAlign w:val="center"/>
            <w:hideMark/>
          </w:tcPr>
          <w:p w14:paraId="220F81EB" w14:textId="77777777" w:rsidR="008C7D7F" w:rsidRPr="00C44F82" w:rsidRDefault="008C7D7F" w:rsidP="000D1ACE">
            <w:pPr>
              <w:pStyle w:val="Tabletext"/>
              <w:jc w:val="center"/>
              <w:rPr>
                <w:lang w:eastAsia="en-GB"/>
              </w:rPr>
            </w:pPr>
          </w:p>
        </w:tc>
      </w:tr>
      <w:tr w:rsidR="008C7D7F" w:rsidRPr="00C44F82" w14:paraId="7F6D70DA"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08AC16A5" w14:textId="5D02CA89" w:rsidR="008C7D7F" w:rsidRPr="00C44F82" w:rsidRDefault="008C7D7F" w:rsidP="00973F3C">
            <w:pPr>
              <w:pStyle w:val="Tabletext"/>
              <w:rPr>
                <w:lang w:eastAsia="en-GB"/>
              </w:rPr>
            </w:pPr>
            <w:r w:rsidRPr="00C44F82">
              <w:rPr>
                <w:lang w:eastAsia="en-GB"/>
              </w:rPr>
              <w:t>Direction on Decision 5 elements to be submitted to PP</w:t>
            </w:r>
            <w:r w:rsidR="000D1ACE">
              <w:rPr>
                <w:lang w:eastAsia="en-GB"/>
              </w:rPr>
              <w:noBreakHyphen/>
            </w:r>
            <w:r w:rsidRPr="00C44F82">
              <w:rPr>
                <w:lang w:eastAsia="en-GB"/>
              </w:rPr>
              <w:t>26</w:t>
            </w:r>
          </w:p>
        </w:tc>
        <w:tc>
          <w:tcPr>
            <w:tcW w:w="1416" w:type="dxa"/>
            <w:vMerge/>
            <w:vAlign w:val="center"/>
            <w:hideMark/>
          </w:tcPr>
          <w:p w14:paraId="4CED6A11" w14:textId="77777777" w:rsidR="008C7D7F" w:rsidRPr="00C44F82" w:rsidRDefault="008C7D7F" w:rsidP="000D1ACE">
            <w:pPr>
              <w:pStyle w:val="Tabletext"/>
              <w:jc w:val="center"/>
              <w:rPr>
                <w:lang w:eastAsia="en-GB"/>
              </w:rPr>
            </w:pPr>
          </w:p>
        </w:tc>
        <w:tc>
          <w:tcPr>
            <w:tcW w:w="1417" w:type="dxa"/>
            <w:vMerge/>
            <w:vAlign w:val="center"/>
            <w:hideMark/>
          </w:tcPr>
          <w:p w14:paraId="4B0AFBDF" w14:textId="77777777" w:rsidR="008C7D7F" w:rsidRPr="00C44F82" w:rsidRDefault="008C7D7F" w:rsidP="000D1ACE">
            <w:pPr>
              <w:pStyle w:val="Tabletext"/>
              <w:jc w:val="center"/>
              <w:rPr>
                <w:lang w:eastAsia="en-GB"/>
              </w:rPr>
            </w:pPr>
          </w:p>
        </w:tc>
      </w:tr>
      <w:tr w:rsidR="008C7D7F" w:rsidRPr="00C44F82" w14:paraId="5DF7C6B2"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248F490B" w14:textId="7D731463" w:rsidR="008C7D7F" w:rsidRPr="00C44F82" w:rsidRDefault="3B5D16EB" w:rsidP="00973F3C">
            <w:pPr>
              <w:pStyle w:val="Tabletext"/>
              <w:rPr>
                <w:lang w:eastAsia="en-GB"/>
              </w:rPr>
            </w:pPr>
            <w:r w:rsidRPr="0FECDA16">
              <w:rPr>
                <w:lang w:eastAsia="en-GB"/>
              </w:rPr>
              <w:t>A</w:t>
            </w:r>
            <w:r w:rsidR="008C7D7F" w:rsidRPr="0FECDA16">
              <w:rPr>
                <w:lang w:eastAsia="en-GB"/>
              </w:rPr>
              <w:t>pproval of the ITU Strategic and Financial Plans 2028</w:t>
            </w:r>
            <w:r w:rsidR="0A3DF126" w:rsidRPr="0FECDA16">
              <w:rPr>
                <w:lang w:eastAsia="en-GB"/>
              </w:rPr>
              <w:t>-</w:t>
            </w:r>
            <w:r w:rsidR="008C7D7F" w:rsidRPr="0FECDA16">
              <w:rPr>
                <w:lang w:eastAsia="en-GB"/>
              </w:rPr>
              <w:t>2031</w:t>
            </w:r>
          </w:p>
        </w:tc>
        <w:tc>
          <w:tcPr>
            <w:tcW w:w="1416" w:type="dxa"/>
            <w:vMerge w:val="restart"/>
            <w:tcBorders>
              <w:top w:val="nil"/>
              <w:left w:val="single" w:sz="4" w:space="0" w:color="auto"/>
              <w:bottom w:val="single" w:sz="4" w:space="0" w:color="auto"/>
              <w:right w:val="single" w:sz="4" w:space="0" w:color="auto"/>
            </w:tcBorders>
            <w:noWrap/>
            <w:vAlign w:val="center"/>
            <w:hideMark/>
          </w:tcPr>
          <w:p w14:paraId="27F1E990" w14:textId="1314AB9B" w:rsidR="008C7D7F" w:rsidRPr="00C44F82" w:rsidRDefault="008C7D7F" w:rsidP="000D1ACE">
            <w:pPr>
              <w:pStyle w:val="Tabletext"/>
              <w:jc w:val="center"/>
              <w:rPr>
                <w:lang w:eastAsia="en-GB"/>
              </w:rPr>
            </w:pPr>
            <w:r w:rsidRPr="00C44F82">
              <w:rPr>
                <w:lang w:eastAsia="en-GB"/>
              </w:rPr>
              <w:t>Nov</w:t>
            </w:r>
            <w:r w:rsidR="000D1ACE">
              <w:rPr>
                <w:lang w:eastAsia="en-GB"/>
              </w:rPr>
              <w:t xml:space="preserve">. </w:t>
            </w:r>
            <w:r w:rsidRPr="00C44F82">
              <w:rPr>
                <w:lang w:eastAsia="en-GB"/>
              </w:rPr>
              <w:t>26</w:t>
            </w:r>
          </w:p>
        </w:tc>
        <w:tc>
          <w:tcPr>
            <w:tcW w:w="1417" w:type="dxa"/>
            <w:vMerge w:val="restart"/>
            <w:tcBorders>
              <w:top w:val="nil"/>
              <w:left w:val="single" w:sz="4" w:space="0" w:color="auto"/>
              <w:bottom w:val="single" w:sz="4" w:space="0" w:color="auto"/>
              <w:right w:val="single" w:sz="4" w:space="0" w:color="auto"/>
            </w:tcBorders>
            <w:noWrap/>
            <w:vAlign w:val="center"/>
            <w:hideMark/>
          </w:tcPr>
          <w:p w14:paraId="069A067E" w14:textId="77777777" w:rsidR="008C7D7F" w:rsidRPr="00C44F82" w:rsidRDefault="008C7D7F" w:rsidP="000D1ACE">
            <w:pPr>
              <w:pStyle w:val="Tabletext"/>
              <w:jc w:val="center"/>
              <w:rPr>
                <w:lang w:eastAsia="en-GB"/>
              </w:rPr>
            </w:pPr>
            <w:r w:rsidRPr="00C44F82">
              <w:rPr>
                <w:lang w:eastAsia="en-GB"/>
              </w:rPr>
              <w:t>PP-26</w:t>
            </w:r>
          </w:p>
        </w:tc>
      </w:tr>
      <w:tr w:rsidR="008C7D7F" w:rsidRPr="00C44F82" w14:paraId="401028EC"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058E79FA" w14:textId="77777777" w:rsidR="008C7D7F" w:rsidRPr="00C44F82" w:rsidRDefault="008C7D7F" w:rsidP="00973F3C">
            <w:pPr>
              <w:pStyle w:val="Tabletext"/>
              <w:rPr>
                <w:lang w:eastAsia="en-GB"/>
              </w:rPr>
            </w:pPr>
            <w:r w:rsidRPr="00C44F82">
              <w:rPr>
                <w:lang w:eastAsia="en-GB"/>
              </w:rPr>
              <w:t>Decision on the Contributory Unit value, expenditure ceilings, and long-term sustainability measures</w:t>
            </w:r>
          </w:p>
        </w:tc>
        <w:tc>
          <w:tcPr>
            <w:tcW w:w="1416" w:type="dxa"/>
            <w:vMerge/>
            <w:vAlign w:val="center"/>
            <w:hideMark/>
          </w:tcPr>
          <w:p w14:paraId="45EA2118" w14:textId="77777777" w:rsidR="008C7D7F" w:rsidRPr="00C44F82" w:rsidRDefault="008C7D7F" w:rsidP="000D1ACE">
            <w:pPr>
              <w:pStyle w:val="Tabletext"/>
              <w:jc w:val="center"/>
              <w:rPr>
                <w:lang w:eastAsia="en-GB"/>
              </w:rPr>
            </w:pPr>
          </w:p>
        </w:tc>
        <w:tc>
          <w:tcPr>
            <w:tcW w:w="1417" w:type="dxa"/>
            <w:vMerge/>
            <w:vAlign w:val="center"/>
            <w:hideMark/>
          </w:tcPr>
          <w:p w14:paraId="4204752D" w14:textId="77777777" w:rsidR="008C7D7F" w:rsidRPr="00C44F82" w:rsidRDefault="008C7D7F" w:rsidP="000D1ACE">
            <w:pPr>
              <w:pStyle w:val="Tabletext"/>
              <w:jc w:val="center"/>
              <w:rPr>
                <w:lang w:eastAsia="en-GB"/>
              </w:rPr>
            </w:pPr>
          </w:p>
        </w:tc>
      </w:tr>
      <w:tr w:rsidR="008C7D7F" w:rsidRPr="00C44F82" w14:paraId="158BDA61" w14:textId="77777777" w:rsidTr="0FECDA16">
        <w:trPr>
          <w:jc w:val="center"/>
        </w:trPr>
        <w:tc>
          <w:tcPr>
            <w:tcW w:w="5807" w:type="dxa"/>
            <w:tcBorders>
              <w:top w:val="nil"/>
              <w:left w:val="single" w:sz="4" w:space="0" w:color="auto"/>
              <w:bottom w:val="single" w:sz="4" w:space="0" w:color="auto"/>
              <w:right w:val="single" w:sz="4" w:space="0" w:color="auto"/>
            </w:tcBorders>
            <w:vAlign w:val="center"/>
            <w:hideMark/>
          </w:tcPr>
          <w:p w14:paraId="46FEBCF3" w14:textId="42BF8ED4" w:rsidR="008C7D7F" w:rsidRPr="00C44F82" w:rsidRDefault="008C7D7F" w:rsidP="00973F3C">
            <w:pPr>
              <w:pStyle w:val="Tabletext"/>
              <w:rPr>
                <w:lang w:eastAsia="en-GB"/>
              </w:rPr>
            </w:pPr>
            <w:r w:rsidRPr="00C44F82">
              <w:rPr>
                <w:lang w:eastAsia="en-GB"/>
              </w:rPr>
              <w:t>Adoption of the revised Decision 5</w:t>
            </w:r>
          </w:p>
        </w:tc>
        <w:tc>
          <w:tcPr>
            <w:tcW w:w="1416" w:type="dxa"/>
            <w:vMerge/>
            <w:vAlign w:val="center"/>
            <w:hideMark/>
          </w:tcPr>
          <w:p w14:paraId="35A3A09A" w14:textId="77777777" w:rsidR="008C7D7F" w:rsidRPr="00C44F82" w:rsidRDefault="008C7D7F" w:rsidP="000D1ACE">
            <w:pPr>
              <w:pStyle w:val="Tabletext"/>
              <w:jc w:val="center"/>
              <w:rPr>
                <w:lang w:eastAsia="en-GB"/>
              </w:rPr>
            </w:pPr>
          </w:p>
        </w:tc>
        <w:tc>
          <w:tcPr>
            <w:tcW w:w="1417" w:type="dxa"/>
            <w:vMerge/>
            <w:vAlign w:val="center"/>
            <w:hideMark/>
          </w:tcPr>
          <w:p w14:paraId="6155041E" w14:textId="77777777" w:rsidR="008C7D7F" w:rsidRPr="00C44F82" w:rsidRDefault="008C7D7F" w:rsidP="000D1ACE">
            <w:pPr>
              <w:pStyle w:val="Tabletext"/>
              <w:jc w:val="center"/>
              <w:rPr>
                <w:lang w:eastAsia="en-GB"/>
              </w:rPr>
            </w:pPr>
          </w:p>
        </w:tc>
      </w:tr>
    </w:tbl>
    <w:p w14:paraId="314568CC" w14:textId="77777777" w:rsidR="008C7D7F" w:rsidRDefault="008C7D7F" w:rsidP="008C7D7F">
      <w:pPr>
        <w:jc w:val="both"/>
      </w:pPr>
    </w:p>
    <w:p w14:paraId="3357A3D0" w14:textId="77777777" w:rsidR="000D1ACE" w:rsidRDefault="000D1ACE" w:rsidP="008C7D7F">
      <w:pPr>
        <w:jc w:val="both"/>
      </w:pPr>
    </w:p>
    <w:p w14:paraId="280E269E" w14:textId="77777777" w:rsidR="000D1ACE" w:rsidRDefault="000D1ACE">
      <w:pPr>
        <w:jc w:val="center"/>
      </w:pPr>
      <w:r>
        <w:t>______________</w:t>
      </w:r>
    </w:p>
    <w:sectPr w:rsidR="000D1ACE"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C841" w14:textId="77777777" w:rsidR="00B40448" w:rsidRDefault="00B40448">
      <w:r>
        <w:separator/>
      </w:r>
    </w:p>
  </w:endnote>
  <w:endnote w:type="continuationSeparator" w:id="0">
    <w:p w14:paraId="1CFA1196" w14:textId="77777777" w:rsidR="00B40448" w:rsidRDefault="00B4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EF4D7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04B12B76" w:rsidR="00EE49E8" w:rsidRPr="002F27CE" w:rsidRDefault="00EE49E8" w:rsidP="00A52C84">
          <w:pPr>
            <w:pStyle w:val="Header"/>
            <w:tabs>
              <w:tab w:val="left" w:pos="6028"/>
              <w:tab w:val="right" w:pos="8505"/>
              <w:tab w:val="right" w:pos="9639"/>
            </w:tabs>
            <w:jc w:val="left"/>
            <w:rPr>
              <w:rFonts w:ascii="Arial" w:hAnsi="Arial" w:cs="Arial"/>
              <w:b/>
              <w:bCs/>
              <w:szCs w:val="18"/>
              <w:lang w:val="it-IT"/>
            </w:rPr>
          </w:pPr>
          <w:r>
            <w:rPr>
              <w:bCs/>
            </w:rPr>
            <w:tab/>
          </w:r>
          <w:r w:rsidR="00A52C84" w:rsidRPr="002F27CE">
            <w:rPr>
              <w:bCs/>
              <w:lang w:val="it-IT"/>
            </w:rPr>
            <w:t>CWG-</w:t>
          </w:r>
          <w:r w:rsidR="00640688" w:rsidRPr="002F27CE">
            <w:rPr>
              <w:bCs/>
              <w:lang w:val="it-IT"/>
            </w:rPr>
            <w:t>SFP-</w:t>
          </w:r>
          <w:r w:rsidR="00A75CC3" w:rsidRPr="002F27CE">
            <w:rPr>
              <w:bCs/>
              <w:lang w:val="it-IT"/>
            </w:rPr>
            <w:t>4</w:t>
          </w:r>
          <w:r w:rsidR="00A52C84" w:rsidRPr="002F27CE">
            <w:rPr>
              <w:bCs/>
              <w:lang w:val="it-IT"/>
            </w:rPr>
            <w:t>/</w:t>
          </w:r>
          <w:r w:rsidR="00273D16" w:rsidRPr="002F27CE">
            <w:rPr>
              <w:bCs/>
              <w:lang w:val="it-IT"/>
            </w:rPr>
            <w:t>INF/</w:t>
          </w:r>
          <w:r w:rsidR="00A77C56">
            <w:rPr>
              <w:bCs/>
              <w:lang w:val="it-IT"/>
            </w:rPr>
            <w:t>4</w:t>
          </w:r>
          <w:r w:rsidR="00A52C84" w:rsidRPr="002F27CE">
            <w:rPr>
              <w:bCs/>
              <w:lang w:val="it-IT"/>
            </w:rPr>
            <w:t>-E</w:t>
          </w:r>
          <w:r w:rsidRPr="002F27CE">
            <w:rPr>
              <w:bCs/>
              <w:lang w:val="it-IT"/>
            </w:rPr>
            <w:tab/>
          </w:r>
          <w:r>
            <w:fldChar w:fldCharType="begin"/>
          </w:r>
          <w:r w:rsidRPr="002F27CE">
            <w:rPr>
              <w:lang w:val="it-IT"/>
            </w:rPr>
            <w:instrText>PAGE</w:instrText>
          </w:r>
          <w:r>
            <w:fldChar w:fldCharType="separate"/>
          </w:r>
          <w:r w:rsidRPr="002F27CE">
            <w:rPr>
              <w:lang w:val="it-IT"/>
            </w:rPr>
            <w:t>1</w:t>
          </w:r>
          <w:r>
            <w:rPr>
              <w:noProof/>
            </w:rPr>
            <w:fldChar w:fldCharType="end"/>
          </w:r>
        </w:p>
      </w:tc>
    </w:tr>
  </w:tbl>
  <w:p w14:paraId="44006CCE" w14:textId="77777777" w:rsidR="00EE49E8" w:rsidRPr="002F27CE" w:rsidRDefault="00EE49E8" w:rsidP="00EE49E8">
    <w:pPr>
      <w:pStyle w:val="Header"/>
      <w:tabs>
        <w:tab w:val="left" w:pos="8080"/>
        <w:tab w:val="right" w:pos="9072"/>
      </w:tabs>
      <w:jc w:val="left"/>
      <w:rPr>
        <w:bCs/>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EF4D71" w14:paraId="4F588A4C" w14:textId="77777777" w:rsidTr="00A52C84">
      <w:trPr>
        <w:jc w:val="center"/>
      </w:trPr>
      <w:tc>
        <w:tcPr>
          <w:tcW w:w="3107" w:type="dxa"/>
          <w:vAlign w:val="center"/>
        </w:tcPr>
        <w:p w14:paraId="4E7A2825" w14:textId="0A5D3D5C" w:rsidR="00EE49E8" w:rsidRDefault="00A52C84" w:rsidP="00EE49E8">
          <w:pPr>
            <w:pStyle w:val="Header"/>
            <w:jc w:val="left"/>
            <w:rPr>
              <w:noProof/>
            </w:rPr>
          </w:pPr>
          <w:hyperlink r:id="rId1" w:history="1">
            <w:proofErr w:type="spellStart"/>
            <w:r w:rsidRPr="00A75CC3">
              <w:rPr>
                <w:rStyle w:val="Hyperlink"/>
              </w:rPr>
              <w:t>council.itu.int</w:t>
            </w:r>
            <w:proofErr w:type="spellEnd"/>
            <w:r w:rsidRPr="00A75CC3">
              <w:rPr>
                <w:rStyle w:val="Hyperlink"/>
              </w:rPr>
              <w:t>/working-groups</w:t>
            </w:r>
          </w:hyperlink>
        </w:p>
      </w:tc>
      <w:tc>
        <w:tcPr>
          <w:tcW w:w="6957" w:type="dxa"/>
        </w:tcPr>
        <w:p w14:paraId="3F62E0D8" w14:textId="7808424C" w:rsidR="00EE49E8" w:rsidRPr="002F27CE" w:rsidRDefault="00EE49E8" w:rsidP="00A52C84">
          <w:pPr>
            <w:pStyle w:val="Header"/>
            <w:tabs>
              <w:tab w:val="left" w:pos="4718"/>
              <w:tab w:val="right" w:pos="8505"/>
              <w:tab w:val="right" w:pos="9639"/>
            </w:tabs>
            <w:jc w:val="left"/>
            <w:rPr>
              <w:rFonts w:ascii="Arial" w:hAnsi="Arial" w:cs="Arial"/>
              <w:b/>
              <w:bCs/>
              <w:szCs w:val="18"/>
              <w:lang w:val="it-IT"/>
            </w:rPr>
          </w:pPr>
          <w:r>
            <w:rPr>
              <w:bCs/>
            </w:rPr>
            <w:tab/>
          </w:r>
          <w:r w:rsidRPr="002F27CE">
            <w:rPr>
              <w:bCs/>
              <w:lang w:val="it-IT"/>
            </w:rPr>
            <w:t>C</w:t>
          </w:r>
          <w:r w:rsidR="00A52C84" w:rsidRPr="002F27CE">
            <w:rPr>
              <w:bCs/>
              <w:lang w:val="it-IT"/>
            </w:rPr>
            <w:t>WG-</w:t>
          </w:r>
          <w:r w:rsidR="00640688" w:rsidRPr="002F27CE">
            <w:rPr>
              <w:bCs/>
              <w:lang w:val="it-IT"/>
            </w:rPr>
            <w:t>SFP-</w:t>
          </w:r>
          <w:r w:rsidR="00A75CC3" w:rsidRPr="002F27CE">
            <w:rPr>
              <w:bCs/>
              <w:lang w:val="it-IT"/>
            </w:rPr>
            <w:t>4</w:t>
          </w:r>
          <w:r w:rsidRPr="002F27CE">
            <w:rPr>
              <w:bCs/>
              <w:lang w:val="it-IT"/>
            </w:rPr>
            <w:t>/</w:t>
          </w:r>
          <w:r w:rsidR="00273D16" w:rsidRPr="002F27CE">
            <w:rPr>
              <w:bCs/>
              <w:lang w:val="it-IT"/>
            </w:rPr>
            <w:t>INF/</w:t>
          </w:r>
          <w:r w:rsidR="00A77C56">
            <w:rPr>
              <w:bCs/>
              <w:lang w:val="it-IT"/>
            </w:rPr>
            <w:t>4</w:t>
          </w:r>
          <w:r w:rsidRPr="002F27CE">
            <w:rPr>
              <w:bCs/>
              <w:lang w:val="it-IT"/>
            </w:rPr>
            <w:t>-E</w:t>
          </w:r>
          <w:r w:rsidRPr="002F27CE">
            <w:rPr>
              <w:bCs/>
              <w:lang w:val="it-IT"/>
            </w:rPr>
            <w:tab/>
          </w:r>
          <w:r>
            <w:fldChar w:fldCharType="begin"/>
          </w:r>
          <w:r w:rsidRPr="002F27CE">
            <w:rPr>
              <w:lang w:val="it-IT"/>
            </w:rPr>
            <w:instrText>PAGE</w:instrText>
          </w:r>
          <w:r>
            <w:fldChar w:fldCharType="separate"/>
          </w:r>
          <w:r w:rsidRPr="002F27CE">
            <w:rPr>
              <w:lang w:val="it-IT"/>
            </w:rPr>
            <w:t>1</w:t>
          </w:r>
          <w:r>
            <w:rPr>
              <w:noProof/>
            </w:rPr>
            <w:fldChar w:fldCharType="end"/>
          </w:r>
        </w:p>
      </w:tc>
    </w:tr>
  </w:tbl>
  <w:p w14:paraId="12BE588F" w14:textId="77777777" w:rsidR="00A514A4" w:rsidRPr="002F27CE" w:rsidRDefault="00A514A4" w:rsidP="00EE49E8">
    <w:pPr>
      <w:pStyle w:val="Header"/>
      <w:tabs>
        <w:tab w:val="left" w:pos="8080"/>
        <w:tab w:val="right" w:pos="9072"/>
      </w:tabs>
      <w:jc w:val="right"/>
      <w:rPr>
        <w:bCs/>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ECCF" w14:textId="77777777" w:rsidR="00B40448" w:rsidRDefault="00B40448">
      <w:r>
        <w:t>____________________</w:t>
      </w:r>
    </w:p>
  </w:footnote>
  <w:footnote w:type="continuationSeparator" w:id="0">
    <w:p w14:paraId="7C77CFE5" w14:textId="77777777" w:rsidR="00B40448" w:rsidRDefault="00B4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77C08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4310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F5BC24B"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A75CC3">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8166D8">
                            <w:rPr>
                              <w:sz w:val="20"/>
                            </w:rPr>
                            <w:t xml:space="preserve">12 </w:t>
                          </w:r>
                          <w:r w:rsidR="00640688">
                            <w:rPr>
                              <w:sz w:val="20"/>
                            </w:rPr>
                            <w:t xml:space="preserve">to </w:t>
                          </w:r>
                          <w:r w:rsidR="008166D8">
                            <w:rPr>
                              <w:sz w:val="20"/>
                            </w:rPr>
                            <w:t xml:space="preserve">14 </w:t>
                          </w:r>
                          <w:r w:rsidR="007C274F">
                            <w:rPr>
                              <w:sz w:val="20"/>
                            </w:rPr>
                            <w:t xml:space="preserve">(a.m.) </w:t>
                          </w:r>
                          <w:r w:rsidR="00A75CC3">
                            <w:rPr>
                              <w:sz w:val="20"/>
                            </w:rPr>
                            <w:t xml:space="preserve">January </w:t>
                          </w:r>
                          <w:r w:rsidR="00E03C3D">
                            <w:rPr>
                              <w:sz w:val="20"/>
                            </w:rPr>
                            <w:t>202</w:t>
                          </w:r>
                          <w:r w:rsidR="00A75CC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F5BC24B"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A75CC3">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8166D8">
                      <w:rPr>
                        <w:sz w:val="20"/>
                      </w:rPr>
                      <w:t xml:space="preserve">12 </w:t>
                    </w:r>
                    <w:r w:rsidR="00640688">
                      <w:rPr>
                        <w:sz w:val="20"/>
                      </w:rPr>
                      <w:t xml:space="preserve">to </w:t>
                    </w:r>
                    <w:r w:rsidR="008166D8">
                      <w:rPr>
                        <w:sz w:val="20"/>
                      </w:rPr>
                      <w:t xml:space="preserve">14 </w:t>
                    </w:r>
                    <w:r w:rsidR="007C274F">
                      <w:rPr>
                        <w:sz w:val="20"/>
                      </w:rPr>
                      <w:t xml:space="preserve">(a.m.) </w:t>
                    </w:r>
                    <w:r w:rsidR="00A75CC3">
                      <w:rPr>
                        <w:sz w:val="20"/>
                      </w:rPr>
                      <w:t xml:space="preserve">January </w:t>
                    </w:r>
                    <w:r w:rsidR="00E03C3D">
                      <w:rPr>
                        <w:sz w:val="20"/>
                      </w:rPr>
                      <w:t>202</w:t>
                    </w:r>
                    <w:r w:rsidR="00A75CC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E35B8"/>
    <w:multiLevelType w:val="hybridMultilevel"/>
    <w:tmpl w:val="4274DF92"/>
    <w:lvl w:ilvl="0" w:tplc="D76CCF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8F4846"/>
    <w:multiLevelType w:val="hybridMultilevel"/>
    <w:tmpl w:val="BD76C8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F256E"/>
    <w:multiLevelType w:val="hybridMultilevel"/>
    <w:tmpl w:val="36FCB6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32D8F"/>
    <w:multiLevelType w:val="hybridMultilevel"/>
    <w:tmpl w:val="1B5623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36180161">
    <w:abstractNumId w:val="3"/>
  </w:num>
  <w:num w:numId="3" w16cid:durableId="2127387156">
    <w:abstractNumId w:val="1"/>
  </w:num>
  <w:num w:numId="4" w16cid:durableId="642738916">
    <w:abstractNumId w:val="4"/>
  </w:num>
  <w:num w:numId="5" w16cid:durableId="25421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6528"/>
    <w:rsid w:val="000210D4"/>
    <w:rsid w:val="00063016"/>
    <w:rsid w:val="00065144"/>
    <w:rsid w:val="00066795"/>
    <w:rsid w:val="00070617"/>
    <w:rsid w:val="00076AF6"/>
    <w:rsid w:val="00085CF2"/>
    <w:rsid w:val="000A62BB"/>
    <w:rsid w:val="000B1705"/>
    <w:rsid w:val="000D1ACE"/>
    <w:rsid w:val="000D75B2"/>
    <w:rsid w:val="00106425"/>
    <w:rsid w:val="001121F5"/>
    <w:rsid w:val="00130599"/>
    <w:rsid w:val="001400DC"/>
    <w:rsid w:val="00140CE1"/>
    <w:rsid w:val="0017013D"/>
    <w:rsid w:val="001751FF"/>
    <w:rsid w:val="0017539C"/>
    <w:rsid w:val="00175AC2"/>
    <w:rsid w:val="0017609F"/>
    <w:rsid w:val="001834F0"/>
    <w:rsid w:val="0019628A"/>
    <w:rsid w:val="00196C33"/>
    <w:rsid w:val="001A72C5"/>
    <w:rsid w:val="001A7D1D"/>
    <w:rsid w:val="001B51DD"/>
    <w:rsid w:val="001C628E"/>
    <w:rsid w:val="001E0F7B"/>
    <w:rsid w:val="001E0FBE"/>
    <w:rsid w:val="002119FD"/>
    <w:rsid w:val="002130E0"/>
    <w:rsid w:val="00215A2C"/>
    <w:rsid w:val="00221346"/>
    <w:rsid w:val="002404ED"/>
    <w:rsid w:val="00244F7F"/>
    <w:rsid w:val="00260ACE"/>
    <w:rsid w:val="00264425"/>
    <w:rsid w:val="00265875"/>
    <w:rsid w:val="0027303B"/>
    <w:rsid w:val="00273D16"/>
    <w:rsid w:val="0028109B"/>
    <w:rsid w:val="002A2188"/>
    <w:rsid w:val="002B1F58"/>
    <w:rsid w:val="002C1C7A"/>
    <w:rsid w:val="002C54E2"/>
    <w:rsid w:val="002F27CE"/>
    <w:rsid w:val="0030160F"/>
    <w:rsid w:val="0031445B"/>
    <w:rsid w:val="00320223"/>
    <w:rsid w:val="00322D0D"/>
    <w:rsid w:val="00343442"/>
    <w:rsid w:val="00361465"/>
    <w:rsid w:val="00381969"/>
    <w:rsid w:val="003877F5"/>
    <w:rsid w:val="003942D4"/>
    <w:rsid w:val="003958A8"/>
    <w:rsid w:val="003B675B"/>
    <w:rsid w:val="003C2533"/>
    <w:rsid w:val="003D4D68"/>
    <w:rsid w:val="003D55B9"/>
    <w:rsid w:val="003D5A7F"/>
    <w:rsid w:val="004015EA"/>
    <w:rsid w:val="004016E2"/>
    <w:rsid w:val="0040435A"/>
    <w:rsid w:val="00410F72"/>
    <w:rsid w:val="00415513"/>
    <w:rsid w:val="00416A24"/>
    <w:rsid w:val="0042018E"/>
    <w:rsid w:val="00431D9E"/>
    <w:rsid w:val="00433CE8"/>
    <w:rsid w:val="00434A5C"/>
    <w:rsid w:val="004544D9"/>
    <w:rsid w:val="00472BAD"/>
    <w:rsid w:val="00484009"/>
    <w:rsid w:val="004852A5"/>
    <w:rsid w:val="00490E72"/>
    <w:rsid w:val="00491157"/>
    <w:rsid w:val="004921C8"/>
    <w:rsid w:val="00495B0B"/>
    <w:rsid w:val="004A1B8B"/>
    <w:rsid w:val="004D1851"/>
    <w:rsid w:val="004D599D"/>
    <w:rsid w:val="004E2037"/>
    <w:rsid w:val="004E2129"/>
    <w:rsid w:val="004E2EA5"/>
    <w:rsid w:val="004E3AEB"/>
    <w:rsid w:val="0050223C"/>
    <w:rsid w:val="005243FF"/>
    <w:rsid w:val="00564FBC"/>
    <w:rsid w:val="00566A71"/>
    <w:rsid w:val="005800BC"/>
    <w:rsid w:val="00582442"/>
    <w:rsid w:val="00587C1B"/>
    <w:rsid w:val="005A335D"/>
    <w:rsid w:val="005A5188"/>
    <w:rsid w:val="005B7FD6"/>
    <w:rsid w:val="005E2BD5"/>
    <w:rsid w:val="005E79C5"/>
    <w:rsid w:val="005F3269"/>
    <w:rsid w:val="00623AE3"/>
    <w:rsid w:val="00634501"/>
    <w:rsid w:val="0063774F"/>
    <w:rsid w:val="006403EA"/>
    <w:rsid w:val="00640688"/>
    <w:rsid w:val="0064737F"/>
    <w:rsid w:val="006535F1"/>
    <w:rsid w:val="0065557D"/>
    <w:rsid w:val="00660D50"/>
    <w:rsid w:val="00662984"/>
    <w:rsid w:val="006716BB"/>
    <w:rsid w:val="00676C7D"/>
    <w:rsid w:val="006774FD"/>
    <w:rsid w:val="0068396D"/>
    <w:rsid w:val="006B1859"/>
    <w:rsid w:val="006B6520"/>
    <w:rsid w:val="006B6680"/>
    <w:rsid w:val="006B6DCC"/>
    <w:rsid w:val="00702DEF"/>
    <w:rsid w:val="00706861"/>
    <w:rsid w:val="00722C25"/>
    <w:rsid w:val="00727C67"/>
    <w:rsid w:val="0075051B"/>
    <w:rsid w:val="007521D9"/>
    <w:rsid w:val="00775655"/>
    <w:rsid w:val="00793188"/>
    <w:rsid w:val="00794948"/>
    <w:rsid w:val="00794D34"/>
    <w:rsid w:val="007C274F"/>
    <w:rsid w:val="007C44E9"/>
    <w:rsid w:val="008007EF"/>
    <w:rsid w:val="00807B9D"/>
    <w:rsid w:val="00813E5E"/>
    <w:rsid w:val="008166D8"/>
    <w:rsid w:val="00830526"/>
    <w:rsid w:val="0083581B"/>
    <w:rsid w:val="00852260"/>
    <w:rsid w:val="00863874"/>
    <w:rsid w:val="00864AFF"/>
    <w:rsid w:val="00865925"/>
    <w:rsid w:val="00891503"/>
    <w:rsid w:val="008964B4"/>
    <w:rsid w:val="008B4A6A"/>
    <w:rsid w:val="008C7D7F"/>
    <w:rsid w:val="008C7E27"/>
    <w:rsid w:val="008F7448"/>
    <w:rsid w:val="0090147A"/>
    <w:rsid w:val="009173EF"/>
    <w:rsid w:val="0092537E"/>
    <w:rsid w:val="00932906"/>
    <w:rsid w:val="0094577F"/>
    <w:rsid w:val="00961B0B"/>
    <w:rsid w:val="00962D33"/>
    <w:rsid w:val="00965A78"/>
    <w:rsid w:val="00965F0C"/>
    <w:rsid w:val="00971C28"/>
    <w:rsid w:val="00973F3C"/>
    <w:rsid w:val="009A58A9"/>
    <w:rsid w:val="009B2D4B"/>
    <w:rsid w:val="009B38C3"/>
    <w:rsid w:val="009B4345"/>
    <w:rsid w:val="009C05D4"/>
    <w:rsid w:val="009C253A"/>
    <w:rsid w:val="009E17BD"/>
    <w:rsid w:val="009E485A"/>
    <w:rsid w:val="009F347C"/>
    <w:rsid w:val="009F4B82"/>
    <w:rsid w:val="00A04CEC"/>
    <w:rsid w:val="00A26588"/>
    <w:rsid w:val="00A27F92"/>
    <w:rsid w:val="00A32257"/>
    <w:rsid w:val="00A34664"/>
    <w:rsid w:val="00A36D20"/>
    <w:rsid w:val="00A467DF"/>
    <w:rsid w:val="00A514A4"/>
    <w:rsid w:val="00A52C84"/>
    <w:rsid w:val="00A55622"/>
    <w:rsid w:val="00A75CC3"/>
    <w:rsid w:val="00A77C56"/>
    <w:rsid w:val="00A83502"/>
    <w:rsid w:val="00A910E1"/>
    <w:rsid w:val="00A94376"/>
    <w:rsid w:val="00AA5157"/>
    <w:rsid w:val="00AD15B3"/>
    <w:rsid w:val="00AD3606"/>
    <w:rsid w:val="00AD4A3D"/>
    <w:rsid w:val="00AF6E49"/>
    <w:rsid w:val="00B04A67"/>
    <w:rsid w:val="00B04C13"/>
    <w:rsid w:val="00B0583C"/>
    <w:rsid w:val="00B358B2"/>
    <w:rsid w:val="00B358DE"/>
    <w:rsid w:val="00B40448"/>
    <w:rsid w:val="00B40A81"/>
    <w:rsid w:val="00B43B6F"/>
    <w:rsid w:val="00B44910"/>
    <w:rsid w:val="00B72267"/>
    <w:rsid w:val="00B76EB6"/>
    <w:rsid w:val="00B7737B"/>
    <w:rsid w:val="00B824C8"/>
    <w:rsid w:val="00B84B9D"/>
    <w:rsid w:val="00BA0C81"/>
    <w:rsid w:val="00BB0217"/>
    <w:rsid w:val="00BC251A"/>
    <w:rsid w:val="00BD032B"/>
    <w:rsid w:val="00BD1693"/>
    <w:rsid w:val="00BD6503"/>
    <w:rsid w:val="00BE2640"/>
    <w:rsid w:val="00C01189"/>
    <w:rsid w:val="00C13D17"/>
    <w:rsid w:val="00C202F1"/>
    <w:rsid w:val="00C33BF7"/>
    <w:rsid w:val="00C374DE"/>
    <w:rsid w:val="00C47AD4"/>
    <w:rsid w:val="00C52D81"/>
    <w:rsid w:val="00C55198"/>
    <w:rsid w:val="00C83B42"/>
    <w:rsid w:val="00CA5714"/>
    <w:rsid w:val="00CA6393"/>
    <w:rsid w:val="00CA7CB8"/>
    <w:rsid w:val="00CB18FF"/>
    <w:rsid w:val="00CD0C08"/>
    <w:rsid w:val="00CE03FB"/>
    <w:rsid w:val="00CE433C"/>
    <w:rsid w:val="00CF0161"/>
    <w:rsid w:val="00CF33F3"/>
    <w:rsid w:val="00D06183"/>
    <w:rsid w:val="00D12075"/>
    <w:rsid w:val="00D22C42"/>
    <w:rsid w:val="00D44DFD"/>
    <w:rsid w:val="00D464CC"/>
    <w:rsid w:val="00D53C61"/>
    <w:rsid w:val="00D65041"/>
    <w:rsid w:val="00D73EDB"/>
    <w:rsid w:val="00DB00D5"/>
    <w:rsid w:val="00DB1936"/>
    <w:rsid w:val="00DB384B"/>
    <w:rsid w:val="00DF0189"/>
    <w:rsid w:val="00DF6C46"/>
    <w:rsid w:val="00E03C3D"/>
    <w:rsid w:val="00E06FD5"/>
    <w:rsid w:val="00E10E80"/>
    <w:rsid w:val="00E124F0"/>
    <w:rsid w:val="00E227F3"/>
    <w:rsid w:val="00E545C6"/>
    <w:rsid w:val="00E60F04"/>
    <w:rsid w:val="00E65B24"/>
    <w:rsid w:val="00E854E4"/>
    <w:rsid w:val="00E86DBF"/>
    <w:rsid w:val="00EB0D6F"/>
    <w:rsid w:val="00EB2232"/>
    <w:rsid w:val="00EC0EF5"/>
    <w:rsid w:val="00EC5337"/>
    <w:rsid w:val="00ED454D"/>
    <w:rsid w:val="00ED6456"/>
    <w:rsid w:val="00EE49E8"/>
    <w:rsid w:val="00EE7A87"/>
    <w:rsid w:val="00EF4D71"/>
    <w:rsid w:val="00F1426E"/>
    <w:rsid w:val="00F16BAB"/>
    <w:rsid w:val="00F2150A"/>
    <w:rsid w:val="00F231D8"/>
    <w:rsid w:val="00F264CE"/>
    <w:rsid w:val="00F44C00"/>
    <w:rsid w:val="00F45D2C"/>
    <w:rsid w:val="00F46C5F"/>
    <w:rsid w:val="00F632C0"/>
    <w:rsid w:val="00F74694"/>
    <w:rsid w:val="00F94A63"/>
    <w:rsid w:val="00FA1C28"/>
    <w:rsid w:val="00FB1279"/>
    <w:rsid w:val="00FB6B76"/>
    <w:rsid w:val="00FB7596"/>
    <w:rsid w:val="00FD7016"/>
    <w:rsid w:val="00FE4077"/>
    <w:rsid w:val="00FE500D"/>
    <w:rsid w:val="00FE6AEA"/>
    <w:rsid w:val="00FE77D2"/>
    <w:rsid w:val="00FF2B98"/>
    <w:rsid w:val="0A3DF126"/>
    <w:rsid w:val="0FECDA16"/>
    <w:rsid w:val="24AC4B33"/>
    <w:rsid w:val="3B5D16EB"/>
    <w:rsid w:val="3C856985"/>
    <w:rsid w:val="6C881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0ECC86CF-5189-49C7-85FB-379EE322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070617"/>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3B675B"/>
    <w:pPr>
      <w:spacing w:after="240"/>
      <w:jc w:val="center"/>
    </w:pPr>
    <w:rPr>
      <w:noProof/>
    </w:rPr>
  </w:style>
  <w:style w:type="paragraph" w:customStyle="1" w:styleId="Figuretitle">
    <w:name w:val="Figure_title"/>
    <w:basedOn w:val="Tabletitle"/>
    <w:next w:val="Normalaftertitle"/>
    <w:rsid w:val="003B675B"/>
    <w:pPr>
      <w:keepLines/>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3B675B"/>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5E79C5"/>
    <w:rPr>
      <w:color w:val="666666"/>
    </w:rPr>
  </w:style>
  <w:style w:type="character" w:customStyle="1" w:styleId="normaltextrun">
    <w:name w:val="normaltextrun"/>
    <w:basedOn w:val="DefaultParagraphFont"/>
    <w:rsid w:val="00A26588"/>
  </w:style>
  <w:style w:type="paragraph" w:styleId="ListParagraph">
    <w:name w:val="List Paragraph"/>
    <w:basedOn w:val="Normal"/>
    <w:uiPriority w:val="34"/>
    <w:qFormat/>
    <w:rsid w:val="008C7D7F"/>
    <w:pPr>
      <w:ind w:left="720"/>
      <w:contextualSpacing/>
    </w:pPr>
  </w:style>
  <w:style w:type="paragraph" w:customStyle="1" w:styleId="Reasons">
    <w:name w:val="Reasons"/>
    <w:basedOn w:val="Normal"/>
    <w:qFormat/>
    <w:rsid w:val="000D1ACE"/>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3774F"/>
    <w:rPr>
      <w:b/>
      <w:bCs/>
    </w:rPr>
  </w:style>
  <w:style w:type="character" w:customStyle="1" w:styleId="CommentSubjectChar">
    <w:name w:val="Comment Subject Char"/>
    <w:basedOn w:val="CommentTextChar"/>
    <w:link w:val="CommentSubject"/>
    <w:semiHidden/>
    <w:rsid w:val="0063774F"/>
    <w:rPr>
      <w:rFonts w:ascii="Calibri" w:hAnsi="Calibri"/>
      <w:b/>
      <w:bCs/>
      <w:lang w:val="en-GB" w:eastAsia="en-US"/>
    </w:rPr>
  </w:style>
  <w:style w:type="character" w:styleId="Mention">
    <w:name w:val="Mention"/>
    <w:basedOn w:val="DefaultParagraphFont"/>
    <w:uiPriority w:val="99"/>
    <w:unhideWhenUsed/>
    <w:rsid w:val="006377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SFP3-C-0006/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SFP3-C-000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688C0BAA-7535-4475-9A13-3ADEAB8EDE68}">
  <ds:schemaRefs>
    <ds:schemaRef ds:uri="http://schemas.microsoft.com/office/2006/documentManagement/types"/>
    <ds:schemaRef ds:uri="http://purl.org/dc/dcmitype/"/>
    <ds:schemaRef ds:uri="http://purl.org/dc/elements/1.1/"/>
    <ds:schemaRef ds:uri="a4c22657-7647-457b-a399-8471255bb166"/>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B2AE42D-8142-4292-BF90-0C9F4488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5867E-0040-4C22-B48B-A128DB643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802</Words>
  <Characters>4890</Characters>
  <Application>Microsoft Office Word</Application>
  <DocSecurity>0</DocSecurity>
  <Lines>123</Lines>
  <Paragraphs>61</Paragraphs>
  <ScaleCrop>false</ScaleCrop>
  <HeadingPairs>
    <vt:vector size="2" baseType="variant">
      <vt:variant>
        <vt:lpstr>Title</vt:lpstr>
      </vt:variant>
      <vt:variant>
        <vt:i4>1</vt:i4>
      </vt:variant>
    </vt:vector>
  </HeadingPairs>
  <TitlesOfParts>
    <vt:vector size="1" baseType="lpstr">
      <vt:lpstr>Linking ITU strategic and financial plans</vt:lpstr>
    </vt:vector>
  </TitlesOfParts>
  <Manager/>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ITU strategic and financial plans</dc:title>
  <dc:subject>ITU Council Working Group on Financial and Human Resources</dc:subject>
  <cp:keywords>CWG-SFP; Council-26; C26</cp:keywords>
  <dc:description/>
  <dcterms:created xsi:type="dcterms:W3CDTF">2025-12-02T07:09:00Z</dcterms:created>
  <dcterms:modified xsi:type="dcterms:W3CDTF">2025-12-11T14:56:00Z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837e6e69-210b-4a19-9e8d-ff0a171d6aeb</vt:lpwstr>
  </property>
  <property fmtid="{D5CDD505-2E9C-101B-9397-08002B2CF9AE}" pid="3" name="ContentTypeId">
    <vt:lpwstr>0x010100814E447ED7B9DA4C9F10BB2808D9DCA9</vt:lpwstr>
  </property>
  <property fmtid="{D5CDD505-2E9C-101B-9397-08002B2CF9AE}" pid="4" name="docLang">
    <vt:lpwstr>en</vt:lpwstr>
  </property>
</Properties>
</file>