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A58B4" w14:paraId="0043AC80" w14:textId="77777777" w:rsidTr="00AD3606">
        <w:trPr>
          <w:cantSplit/>
          <w:trHeight w:val="23"/>
        </w:trPr>
        <w:tc>
          <w:tcPr>
            <w:tcW w:w="3969" w:type="dxa"/>
            <w:vMerge w:val="restart"/>
            <w:tcMar>
              <w:left w:w="0" w:type="dxa"/>
            </w:tcMar>
          </w:tcPr>
          <w:p w14:paraId="60A806D3" w14:textId="6316C87D" w:rsidR="00AD3606" w:rsidRPr="005E79C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40F8A10" w:rsidR="00AD3606" w:rsidRPr="00196C33" w:rsidRDefault="00AD3606" w:rsidP="00472BAD">
            <w:pPr>
              <w:tabs>
                <w:tab w:val="left" w:pos="851"/>
              </w:tabs>
              <w:spacing w:before="0" w:line="240" w:lineRule="atLeast"/>
              <w:jc w:val="right"/>
              <w:rPr>
                <w:b/>
                <w:lang w:val="fr-FR"/>
              </w:rPr>
            </w:pPr>
            <w:r w:rsidRPr="00196C33">
              <w:rPr>
                <w:b/>
                <w:lang w:val="fr-FR"/>
              </w:rPr>
              <w:t>Document C</w:t>
            </w:r>
            <w:r w:rsidR="00A52C84" w:rsidRPr="00196C33">
              <w:rPr>
                <w:b/>
                <w:lang w:val="fr-FR"/>
              </w:rPr>
              <w:t>WG-</w:t>
            </w:r>
            <w:r w:rsidR="00F264CE" w:rsidRPr="00196C33">
              <w:rPr>
                <w:b/>
                <w:lang w:val="fr-FR"/>
              </w:rPr>
              <w:t>SFP-</w:t>
            </w:r>
            <w:r w:rsidR="00587C1B" w:rsidRPr="00196C33">
              <w:rPr>
                <w:b/>
                <w:lang w:val="fr-FR"/>
              </w:rPr>
              <w:t>4</w:t>
            </w:r>
            <w:r w:rsidRPr="00196C33">
              <w:rPr>
                <w:b/>
                <w:lang w:val="fr-FR"/>
              </w:rPr>
              <w:t>/</w:t>
            </w:r>
            <w:r w:rsidR="00273D16" w:rsidRPr="00196C33">
              <w:rPr>
                <w:b/>
                <w:lang w:val="fr-FR"/>
              </w:rPr>
              <w:t>INF/</w:t>
            </w:r>
            <w:r w:rsidR="00B6556B">
              <w:rPr>
                <w:b/>
                <w:lang w:val="fr-FR"/>
              </w:rPr>
              <w:t>1</w:t>
            </w:r>
          </w:p>
        </w:tc>
      </w:tr>
      <w:tr w:rsidR="00AD3606" w:rsidRPr="005E79C5" w14:paraId="789B45BA" w14:textId="77777777" w:rsidTr="00AD3606">
        <w:trPr>
          <w:cantSplit/>
        </w:trPr>
        <w:tc>
          <w:tcPr>
            <w:tcW w:w="3969" w:type="dxa"/>
            <w:vMerge/>
          </w:tcPr>
          <w:p w14:paraId="3F3D4E17" w14:textId="77777777" w:rsidR="00AD3606" w:rsidRPr="00196C33"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281000E7" w:rsidR="00AD3606" w:rsidRPr="005E79C5" w:rsidRDefault="00BB2EC4" w:rsidP="00AD3606">
            <w:pPr>
              <w:tabs>
                <w:tab w:val="left" w:pos="851"/>
              </w:tabs>
              <w:spacing w:before="0"/>
              <w:jc w:val="right"/>
              <w:rPr>
                <w:b/>
              </w:rPr>
            </w:pPr>
            <w:r>
              <w:rPr>
                <w:b/>
              </w:rPr>
              <w:t>11</w:t>
            </w:r>
            <w:r w:rsidR="00B6556B">
              <w:rPr>
                <w:b/>
              </w:rPr>
              <w:t xml:space="preserve"> December 2025</w:t>
            </w:r>
          </w:p>
        </w:tc>
      </w:tr>
      <w:tr w:rsidR="00AD3606" w:rsidRPr="005E79C5" w14:paraId="58A84C4A" w14:textId="77777777" w:rsidTr="00AD3606">
        <w:trPr>
          <w:cantSplit/>
          <w:trHeight w:val="23"/>
        </w:trPr>
        <w:tc>
          <w:tcPr>
            <w:tcW w:w="3969" w:type="dxa"/>
            <w:vMerge/>
          </w:tcPr>
          <w:p w14:paraId="77CEDDAA" w14:textId="77777777" w:rsidR="00AD3606" w:rsidRPr="005E79C5"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5E79C5" w:rsidRDefault="00891503" w:rsidP="00AD3606">
            <w:pPr>
              <w:tabs>
                <w:tab w:val="left" w:pos="851"/>
              </w:tabs>
              <w:spacing w:before="0" w:line="240" w:lineRule="atLeast"/>
              <w:jc w:val="right"/>
              <w:rPr>
                <w:b/>
              </w:rPr>
            </w:pPr>
            <w:r w:rsidRPr="005E79C5">
              <w:rPr>
                <w:b/>
              </w:rPr>
              <w:t>English</w:t>
            </w:r>
            <w:r w:rsidR="009B2D4B" w:rsidRPr="005E79C5">
              <w:rPr>
                <w:b/>
              </w:rPr>
              <w:t xml:space="preserve"> only</w:t>
            </w:r>
          </w:p>
        </w:tc>
      </w:tr>
      <w:tr w:rsidR="00472BAD" w:rsidRPr="005E79C5" w14:paraId="12C5EF5F" w14:textId="77777777" w:rsidTr="00AD3606">
        <w:trPr>
          <w:cantSplit/>
          <w:trHeight w:val="23"/>
        </w:trPr>
        <w:tc>
          <w:tcPr>
            <w:tcW w:w="3969" w:type="dxa"/>
          </w:tcPr>
          <w:p w14:paraId="4B839BA2" w14:textId="77777777" w:rsidR="00472BAD" w:rsidRPr="005E79C5" w:rsidRDefault="00472BAD" w:rsidP="00AD3606">
            <w:pPr>
              <w:tabs>
                <w:tab w:val="left" w:pos="851"/>
              </w:tabs>
              <w:spacing w:line="240" w:lineRule="atLeast"/>
              <w:rPr>
                <w:b/>
              </w:rPr>
            </w:pPr>
          </w:p>
        </w:tc>
        <w:tc>
          <w:tcPr>
            <w:tcW w:w="5245" w:type="dxa"/>
          </w:tcPr>
          <w:p w14:paraId="12F66D25" w14:textId="77777777" w:rsidR="00472BAD" w:rsidRPr="005E79C5" w:rsidRDefault="00472BAD" w:rsidP="00AD3606">
            <w:pPr>
              <w:tabs>
                <w:tab w:val="left" w:pos="851"/>
              </w:tabs>
              <w:spacing w:before="0" w:line="240" w:lineRule="atLeast"/>
              <w:jc w:val="right"/>
              <w:rPr>
                <w:b/>
              </w:rPr>
            </w:pPr>
          </w:p>
        </w:tc>
      </w:tr>
      <w:tr w:rsidR="00AD3606" w:rsidRPr="005E79C5" w14:paraId="27000B2A" w14:textId="77777777" w:rsidTr="00AD3606">
        <w:trPr>
          <w:cantSplit/>
        </w:trPr>
        <w:tc>
          <w:tcPr>
            <w:tcW w:w="9214" w:type="dxa"/>
            <w:gridSpan w:val="2"/>
            <w:tcMar>
              <w:left w:w="0" w:type="dxa"/>
            </w:tcMar>
          </w:tcPr>
          <w:p w14:paraId="4E7CDB90" w14:textId="2BB839DD" w:rsidR="00AD3606" w:rsidRPr="005E79C5" w:rsidRDefault="00273D16" w:rsidP="00676C7D">
            <w:pPr>
              <w:pStyle w:val="Source"/>
              <w:framePr w:hSpace="0" w:wrap="auto" w:vAnchor="margin" w:hAnchor="text" w:xAlign="left" w:yAlign="inline"/>
            </w:pPr>
            <w:bookmarkStart w:id="8" w:name="dsource" w:colFirst="0" w:colLast="0"/>
            <w:bookmarkEnd w:id="7"/>
            <w:r w:rsidRPr="005E79C5">
              <w:t>Note</w:t>
            </w:r>
            <w:r w:rsidR="00AD3606" w:rsidRPr="005E79C5">
              <w:t xml:space="preserve"> by the </w:t>
            </w:r>
            <w:r w:rsidR="005E79C5" w:rsidRPr="005E79C5">
              <w:t>Secretary-General</w:t>
            </w:r>
          </w:p>
        </w:tc>
      </w:tr>
      <w:tr w:rsidR="00AD3606" w:rsidRPr="005E79C5" w14:paraId="2340750D" w14:textId="77777777" w:rsidTr="00AD3606">
        <w:trPr>
          <w:cantSplit/>
        </w:trPr>
        <w:tc>
          <w:tcPr>
            <w:tcW w:w="9214" w:type="dxa"/>
            <w:gridSpan w:val="2"/>
            <w:tcMar>
              <w:left w:w="0" w:type="dxa"/>
            </w:tcMar>
          </w:tcPr>
          <w:p w14:paraId="47B91AA8" w14:textId="2B7E6BC2" w:rsidR="00AD3606" w:rsidRPr="005E79C5" w:rsidRDefault="009A2B83" w:rsidP="00676C7D">
            <w:pPr>
              <w:pStyle w:val="Subtitle"/>
              <w:framePr w:hSpace="0" w:wrap="auto" w:xAlign="left" w:yAlign="inline"/>
            </w:pPr>
            <w:bookmarkStart w:id="9" w:name="dtitle1" w:colFirst="0" w:colLast="0"/>
            <w:bookmarkEnd w:id="8"/>
            <w:r>
              <w:t>ASSESSMENT OF STRATEGIC PLAN TARGETS</w:t>
            </w:r>
            <w:r w:rsidRPr="00D220CB">
              <w:t xml:space="preserve"> </w:t>
            </w:r>
            <w:r>
              <w:t>AND TARGET INDICATORS</w:t>
            </w:r>
          </w:p>
        </w:tc>
      </w:tr>
      <w:tr w:rsidR="00AD3606" w:rsidRPr="005E79C5"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5E79C5" w:rsidRDefault="00F16BAB" w:rsidP="00F16BAB">
            <w:pPr>
              <w:spacing w:before="160"/>
              <w:rPr>
                <w:b/>
                <w:bCs/>
                <w:sz w:val="26"/>
                <w:szCs w:val="26"/>
              </w:rPr>
            </w:pPr>
            <w:r w:rsidRPr="005E79C5">
              <w:rPr>
                <w:b/>
                <w:bCs/>
                <w:sz w:val="26"/>
                <w:szCs w:val="26"/>
              </w:rPr>
              <w:t>Purpose</w:t>
            </w:r>
          </w:p>
          <w:p w14:paraId="2C2E8C3B" w14:textId="77777777" w:rsidR="00B6556B" w:rsidRPr="00147C54" w:rsidRDefault="00B6556B" w:rsidP="00B6556B">
            <w:pPr>
              <w:jc w:val="both"/>
            </w:pPr>
            <w:r>
              <w:t xml:space="preserve">The purpose of this document is to share the assessment and recommendations of the ICT Data and Analytics Division on the Targets and Target indicators for the current Strategic Plan 2024-2027, as well as recommendations for improvement in the Strategic Plan 2028-2031. </w:t>
            </w:r>
          </w:p>
          <w:p w14:paraId="5076D5C4" w14:textId="28F00572" w:rsidR="00AD3606" w:rsidRPr="005E79C5" w:rsidRDefault="00AD3606" w:rsidP="00F16BAB">
            <w:pPr>
              <w:spacing w:before="160"/>
              <w:rPr>
                <w:b/>
                <w:bCs/>
                <w:sz w:val="26"/>
                <w:szCs w:val="26"/>
              </w:rPr>
            </w:pPr>
            <w:r w:rsidRPr="005E79C5">
              <w:rPr>
                <w:b/>
                <w:bCs/>
                <w:sz w:val="26"/>
                <w:szCs w:val="26"/>
              </w:rPr>
              <w:t>Action required</w:t>
            </w:r>
          </w:p>
          <w:p w14:paraId="53A776F1" w14:textId="1B49AFCA" w:rsidR="00891503" w:rsidRPr="005E79C5" w:rsidRDefault="00273D16" w:rsidP="00A75CC3">
            <w:pPr>
              <w:spacing w:before="160"/>
            </w:pPr>
            <w:r w:rsidRPr="005E79C5">
              <w:t xml:space="preserve">This </w:t>
            </w:r>
            <w:r w:rsidR="00A75CC3" w:rsidRPr="005E79C5">
              <w:t>document</w:t>
            </w:r>
            <w:r w:rsidRPr="005E79C5">
              <w:t xml:space="preserve"> is transmitted to the</w:t>
            </w:r>
            <w:r w:rsidR="00A75CC3" w:rsidRPr="005E79C5">
              <w:t xml:space="preserve"> Council Working Group for strategic and financial plans 2028-2031</w:t>
            </w:r>
            <w:r w:rsidRPr="005E79C5">
              <w:t xml:space="preserve"> </w:t>
            </w:r>
            <w:r w:rsidRPr="005E79C5">
              <w:rPr>
                <w:b/>
                <w:bCs/>
              </w:rPr>
              <w:t>for information</w:t>
            </w:r>
            <w:r w:rsidRPr="005E79C5">
              <w:t>.</w:t>
            </w:r>
          </w:p>
          <w:p w14:paraId="2AAB18B0" w14:textId="53B34B54" w:rsidR="00AD3606" w:rsidRPr="005E79C5" w:rsidRDefault="00891503" w:rsidP="00891503">
            <w:pPr>
              <w:spacing w:before="160"/>
              <w:rPr>
                <w:caps/>
                <w:sz w:val="22"/>
              </w:rPr>
            </w:pPr>
            <w:r w:rsidRPr="005E79C5">
              <w:rPr>
                <w:sz w:val="22"/>
              </w:rPr>
              <w:t>__________________</w:t>
            </w:r>
            <w:r w:rsidR="00AD3606" w:rsidRPr="005E79C5">
              <w:rPr>
                <w:sz w:val="22"/>
              </w:rPr>
              <w:t>__________________</w:t>
            </w:r>
          </w:p>
          <w:p w14:paraId="00DEE14C" w14:textId="77777777" w:rsidR="00AD3606" w:rsidRPr="005E79C5" w:rsidRDefault="00AD3606" w:rsidP="00F16BAB">
            <w:pPr>
              <w:spacing w:before="160"/>
              <w:rPr>
                <w:b/>
                <w:bCs/>
                <w:sz w:val="26"/>
                <w:szCs w:val="26"/>
              </w:rPr>
            </w:pPr>
            <w:r w:rsidRPr="005E79C5">
              <w:rPr>
                <w:b/>
                <w:bCs/>
                <w:sz w:val="26"/>
                <w:szCs w:val="26"/>
              </w:rPr>
              <w:t>References</w:t>
            </w:r>
          </w:p>
          <w:p w14:paraId="0175CD6C" w14:textId="026D7371" w:rsidR="00AD3606" w:rsidRPr="007E3591" w:rsidRDefault="00FD7016" w:rsidP="00F16BAB">
            <w:pPr>
              <w:spacing w:after="160"/>
              <w:rPr>
                <w:i/>
                <w:iCs/>
                <w:sz w:val="22"/>
                <w:szCs w:val="22"/>
              </w:rPr>
            </w:pPr>
            <w:hyperlink r:id="rId11" w:history="1">
              <w:r w:rsidRPr="007E3591">
                <w:rPr>
                  <w:rStyle w:val="Hyperlink"/>
                  <w:i/>
                  <w:iCs/>
                  <w:sz w:val="22"/>
                  <w:szCs w:val="22"/>
                </w:rPr>
                <w:t>CWG-</w:t>
              </w:r>
              <w:r w:rsidR="00F264CE" w:rsidRPr="007E3591">
                <w:rPr>
                  <w:rStyle w:val="Hyperlink"/>
                  <w:i/>
                  <w:iCs/>
                  <w:sz w:val="22"/>
                  <w:szCs w:val="22"/>
                </w:rPr>
                <w:t>SFP</w:t>
              </w:r>
              <w:r w:rsidRPr="007E3591">
                <w:rPr>
                  <w:rStyle w:val="Hyperlink"/>
                  <w:i/>
                  <w:iCs/>
                  <w:sz w:val="22"/>
                  <w:szCs w:val="22"/>
                </w:rPr>
                <w:t xml:space="preserve"> website</w:t>
              </w:r>
            </w:hyperlink>
            <w:r w:rsidRPr="007E3591">
              <w:rPr>
                <w:i/>
                <w:iCs/>
                <w:sz w:val="22"/>
                <w:szCs w:val="22"/>
              </w:rPr>
              <w:t>;</w:t>
            </w:r>
            <w:r w:rsidR="00B6556B" w:rsidRPr="007E3591">
              <w:rPr>
                <w:sz w:val="22"/>
                <w:szCs w:val="22"/>
              </w:rPr>
              <w:t xml:space="preserve"> </w:t>
            </w:r>
            <w:hyperlink r:id="rId12" w:tgtFrame="_blank" w:history="1">
              <w:r w:rsidR="00B6556B" w:rsidRPr="007E3591">
                <w:rPr>
                  <w:rStyle w:val="normaltextrun"/>
                  <w:rFonts w:cs="Calibri"/>
                  <w:i/>
                  <w:iCs/>
                  <w:color w:val="0563C1"/>
                  <w:sz w:val="22"/>
                  <w:szCs w:val="22"/>
                  <w:u w:val="single"/>
                  <w:shd w:val="clear" w:color="auto" w:fill="FFFFFF"/>
                </w:rPr>
                <w:t>Resolution 1428 (</w:t>
              </w:r>
              <w:proofErr w:type="spellStart"/>
              <w:r w:rsidR="00B6556B" w:rsidRPr="007E3591">
                <w:rPr>
                  <w:rStyle w:val="normaltextrun"/>
                  <w:rFonts w:cs="Calibri"/>
                  <w:i/>
                  <w:iCs/>
                  <w:color w:val="0563C1"/>
                  <w:sz w:val="22"/>
                  <w:szCs w:val="22"/>
                  <w:u w:val="single"/>
                  <w:shd w:val="clear" w:color="auto" w:fill="FFFFFF"/>
                </w:rPr>
                <w:t>C24</w:t>
              </w:r>
              <w:proofErr w:type="spellEnd"/>
              <w:r w:rsidR="00B6556B" w:rsidRPr="007E3591">
                <w:rPr>
                  <w:rStyle w:val="normaltextrun"/>
                  <w:rFonts w:cs="Calibri"/>
                  <w:i/>
                  <w:iCs/>
                  <w:color w:val="0563C1"/>
                  <w:sz w:val="22"/>
                  <w:szCs w:val="22"/>
                  <w:u w:val="single"/>
                  <w:shd w:val="clear" w:color="auto" w:fill="FFFFFF"/>
                </w:rPr>
                <w:t>)</w:t>
              </w:r>
            </w:hyperlink>
          </w:p>
        </w:tc>
      </w:tr>
    </w:tbl>
    <w:p w14:paraId="4CDB8B60" w14:textId="77777777" w:rsidR="00E227F3" w:rsidRPr="005E79C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BBD4E9D" w14:textId="77777777" w:rsidR="00B6556B" w:rsidRPr="005E79C5"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5E79C5">
        <w:br w:type="page"/>
      </w:r>
    </w:p>
    <w:p w14:paraId="37960831" w14:textId="4F041313" w:rsidR="00B6556B" w:rsidRPr="00E12677" w:rsidRDefault="00B6556B" w:rsidP="00B851AB">
      <w:pPr>
        <w:pStyle w:val="Headingb"/>
      </w:pPr>
      <w:r w:rsidRPr="00E12677">
        <w:lastRenderedPageBreak/>
        <w:t>Introduction</w:t>
      </w:r>
    </w:p>
    <w:p w14:paraId="11C508B6" w14:textId="77777777" w:rsidR="00B6556B" w:rsidRDefault="00B6556B" w:rsidP="00E12677">
      <w:pPr>
        <w:jc w:val="both"/>
      </w:pPr>
      <w:r>
        <w:t xml:space="preserve">This assessment, prepared by the </w:t>
      </w:r>
      <w:hyperlink r:id="rId13" w:history="1">
        <w:r w:rsidRPr="00981F62">
          <w:rPr>
            <w:rStyle w:val="Hyperlink"/>
          </w:rPr>
          <w:t>ICT Data and Analytics Division</w:t>
        </w:r>
      </w:hyperlink>
      <w:r>
        <w:t xml:space="preserve"> (IDA) of the ITU Telecommunication Development Bureau, serves two purposes. It provides general considerations to support the development of the ITU Strategic Plan for 2028-2031 and assesses the impact indicators used in the current Strategic Plan. It offers recommendations on whether they should be retained, revised, complemented or discontinued in the next plan. </w:t>
      </w:r>
    </w:p>
    <w:p w14:paraId="4EEBD77A" w14:textId="77777777" w:rsidR="00B6556B" w:rsidRPr="00A82F17" w:rsidRDefault="00B6556B" w:rsidP="00E12677">
      <w:pPr>
        <w:jc w:val="both"/>
      </w:pPr>
      <w:r>
        <w:t>This assessment is preliminary, so are the recommendations. They do not prejudge the outcomes of the CWG and other relevant processes. The recommendations are based on current methodologies, indicator definitions, data availability and anticipated technological developments. Emerging technologies and improvement in data ecosystems may affect the relevance of indicators or the feasibility of measurement. This assessment should be updated throughout the planning period.</w:t>
      </w:r>
    </w:p>
    <w:p w14:paraId="48B64759" w14:textId="77777777" w:rsidR="00B6556B" w:rsidRDefault="00B6556B" w:rsidP="00B851AB">
      <w:pPr>
        <w:pStyle w:val="Headingb"/>
      </w:pPr>
      <w:r w:rsidRPr="009605AC">
        <w:t>General</w:t>
      </w:r>
      <w:r>
        <w:t xml:space="preserve"> principles and considerations</w:t>
      </w:r>
    </w:p>
    <w:p w14:paraId="13DC0DFB" w14:textId="77777777" w:rsidR="00B6556B" w:rsidRDefault="00B6556B" w:rsidP="001E41BE">
      <w:pPr>
        <w:pStyle w:val="Headingi"/>
      </w:pPr>
      <w:r w:rsidRPr="00FD69F1">
        <w:t xml:space="preserve">Defining </w:t>
      </w:r>
      <w:r>
        <w:t>target and target indicators</w:t>
      </w:r>
    </w:p>
    <w:p w14:paraId="7C111831" w14:textId="77777777" w:rsidR="00B6556B" w:rsidRPr="00FD69F1" w:rsidRDefault="00B6556B" w:rsidP="001A165A">
      <w:pPr>
        <w:jc w:val="both"/>
      </w:pPr>
      <w:r w:rsidRPr="00FD69F1">
        <w:t>A</w:t>
      </w:r>
      <w:r>
        <w:t xml:space="preserve"> target </w:t>
      </w:r>
      <w:r w:rsidRPr="00FD69F1">
        <w:t>describes the desired outcome for a particular concept, such as universal network coverage. A</w:t>
      </w:r>
      <w:r>
        <w:t xml:space="preserve"> target </w:t>
      </w:r>
      <w:r w:rsidRPr="00FD69F1">
        <w:t xml:space="preserve">indicator provides a measurable way to track progress towards that </w:t>
      </w:r>
      <w:r>
        <w:t>target</w:t>
      </w:r>
      <w:r w:rsidRPr="00FD69F1">
        <w:t xml:space="preserve">. </w:t>
      </w:r>
      <w:r>
        <w:t xml:space="preserve">A target value for this indicator should be set </w:t>
      </w:r>
      <w:r w:rsidRPr="00FD69F1">
        <w:t xml:space="preserve">to </w:t>
      </w:r>
      <w:r>
        <w:t>indicate when a target has been met</w:t>
      </w:r>
      <w:r w:rsidRPr="00FD69F1">
        <w:t>.</w:t>
      </w:r>
    </w:p>
    <w:p w14:paraId="36DA10FA" w14:textId="77777777" w:rsidR="00B6556B" w:rsidRDefault="00B6556B" w:rsidP="001E41BE">
      <w:pPr>
        <w:pStyle w:val="Headingi"/>
      </w:pPr>
      <w:r w:rsidRPr="00FD69F1">
        <w:t>Relevance of concepts</w:t>
      </w:r>
    </w:p>
    <w:p w14:paraId="66CA265A" w14:textId="77777777" w:rsidR="00B6556B" w:rsidRPr="00FD69F1" w:rsidRDefault="00B6556B" w:rsidP="001A165A">
      <w:pPr>
        <w:jc w:val="both"/>
      </w:pPr>
      <w:r w:rsidRPr="00FD69F1">
        <w:t>In digital development, technologies and priorities evolve rapidly. It is therefore challenging to identify which concepts will still be relevant by 2031, and whether indicators and reliable data will exist to monitor them. Even where a concept is clearly relevant, it is not guaranteed that robust indicators or sufficient data will be available.</w:t>
      </w:r>
    </w:p>
    <w:p w14:paraId="742E3B3C" w14:textId="77777777" w:rsidR="00B6556B" w:rsidRDefault="00B6556B" w:rsidP="001E41BE">
      <w:pPr>
        <w:pStyle w:val="Headingi"/>
      </w:pPr>
      <w:r w:rsidRPr="00FD69F1">
        <w:t>Data availability and quality</w:t>
      </w:r>
    </w:p>
    <w:p w14:paraId="2CA36642" w14:textId="77777777" w:rsidR="00B6556B" w:rsidRDefault="00B6556B" w:rsidP="001A165A">
      <w:pPr>
        <w:jc w:val="both"/>
      </w:pPr>
      <w:r w:rsidRPr="00FD69F1">
        <w:t xml:space="preserve">Even when indicators exist, obtaining regular, comparable and good-quality data for </w:t>
      </w:r>
      <w:r>
        <w:t xml:space="preserve">many </w:t>
      </w:r>
      <w:r w:rsidRPr="00FD69F1">
        <w:t>countries remains difficult. There is often a trade-off between indicator quality and country coverage: meaningful and accurate indicators are often available only for advanced economies, while those available for most countries tend to be more limited in scope or precision. The Strategic Plan therefore requires indicators that balance relevance, feasibility and global applicability.</w:t>
      </w:r>
    </w:p>
    <w:p w14:paraId="1396B664" w14:textId="77777777" w:rsidR="00B6556B" w:rsidRDefault="00B6556B" w:rsidP="001A165A">
      <w:pPr>
        <w:jc w:val="both"/>
      </w:pPr>
      <w:r w:rsidRPr="00CB53B1">
        <w:t>Limited data availability not only restricts the pool of potential indicators for the Strategic Plan but also undermines evidence-based policymaking. Countries are therefore encouraged to strengthen their data ecosystems to improve data availability, quality, and comparability.</w:t>
      </w:r>
    </w:p>
    <w:p w14:paraId="17DFC796" w14:textId="77777777" w:rsidR="00B6556B" w:rsidRDefault="00B6556B" w:rsidP="001E41BE">
      <w:pPr>
        <w:pStyle w:val="Headingi"/>
      </w:pPr>
      <w:r w:rsidRPr="00FD69F1">
        <w:t>Disaggregation</w:t>
      </w:r>
    </w:p>
    <w:p w14:paraId="7EF8943D" w14:textId="77777777" w:rsidR="00B6556B" w:rsidRDefault="00B6556B" w:rsidP="001A165A">
      <w:pPr>
        <w:jc w:val="both"/>
      </w:pPr>
      <w:r w:rsidRPr="00FD69F1">
        <w:t>Whenever possible, indicators included in the Strategic Plan should be reported both as overall values and disaggregated by key socio-economic characteristics</w:t>
      </w:r>
      <w:r>
        <w:t xml:space="preserve">, including </w:t>
      </w:r>
      <w:r w:rsidRPr="00FD69F1">
        <w:t>by gender, age, income, education, employment status or disability</w:t>
      </w:r>
      <w:r>
        <w:t xml:space="preserve"> </w:t>
      </w:r>
      <w:r w:rsidRPr="00FD69F1">
        <w:t>helps monitor divides across segments of the population, which is important for the Strategic Plan.</w:t>
      </w:r>
      <w:r>
        <w:t xml:space="preserve"> </w:t>
      </w:r>
      <w:r w:rsidRPr="00CB3EC2">
        <w:t>This is essential for tracking progress under the Strategic Plan. Similarly, indicators can be reported at the subnational level, for example by main administrative area within a country.</w:t>
      </w:r>
    </w:p>
    <w:p w14:paraId="215BE4B1" w14:textId="77777777" w:rsidR="00B6556B" w:rsidRDefault="00B6556B" w:rsidP="001A165A">
      <w:pPr>
        <w:jc w:val="both"/>
      </w:pPr>
      <w:r>
        <w:t>For both socio-economic and geographic disaggregation, categories can be combined to produce gap indicators expressed as ratios. For example:</w:t>
      </w:r>
    </w:p>
    <w:p w14:paraId="5D612FF1" w14:textId="1F6D273A" w:rsidR="00B6556B" w:rsidRDefault="0037753B" w:rsidP="0037753B">
      <w:pPr>
        <w:pStyle w:val="enumlev1"/>
      </w:pPr>
      <w:r>
        <w:rPr>
          <w:rFonts w:eastAsia="SimSun" w:cs="Calibri"/>
          <w:sz w:val="22"/>
        </w:rPr>
        <w:lastRenderedPageBreak/>
        <w:t>–</w:t>
      </w:r>
      <w:r w:rsidR="00E12677">
        <w:rPr>
          <w:rFonts w:eastAsia="SimSun" w:cs="Calibri"/>
          <w:sz w:val="22"/>
        </w:rPr>
        <w:tab/>
      </w:r>
      <w:r w:rsidR="00B6556B">
        <w:t>The gender Internet use gap can be measured as the ratio of the share of women using the Internet to the share of men using the Internet, where a value of 1 indicates parity.</w:t>
      </w:r>
    </w:p>
    <w:p w14:paraId="747921FD" w14:textId="7E962D7B" w:rsidR="00B6556B" w:rsidRDefault="0037753B" w:rsidP="0037753B">
      <w:pPr>
        <w:pStyle w:val="enumlev1"/>
      </w:pPr>
      <w:r>
        <w:rPr>
          <w:rFonts w:eastAsia="SimSun" w:cs="Calibri"/>
          <w:sz w:val="22"/>
        </w:rPr>
        <w:t>–</w:t>
      </w:r>
      <w:r w:rsidR="00E12677">
        <w:rPr>
          <w:rFonts w:eastAsia="SimSun" w:cs="Calibri"/>
          <w:sz w:val="22"/>
        </w:rPr>
        <w:tab/>
      </w:r>
      <w:r w:rsidR="00B6556B">
        <w:t>The urban–rural gap can be measured as the ratio of the share of the rural population using the Internet to the share of the urban population using the Internet.</w:t>
      </w:r>
    </w:p>
    <w:p w14:paraId="6619E743" w14:textId="77777777" w:rsidR="00B6556B" w:rsidRDefault="00B6556B" w:rsidP="001E41BE">
      <w:pPr>
        <w:pStyle w:val="Headingi"/>
      </w:pPr>
      <w:r>
        <w:t>Reporting units</w:t>
      </w:r>
    </w:p>
    <w:p w14:paraId="0AC9D507" w14:textId="77777777" w:rsidR="00B6556B" w:rsidRDefault="00B6556B" w:rsidP="00AE731D">
      <w:pPr>
        <w:jc w:val="both"/>
      </w:pPr>
      <w:r>
        <w:t xml:space="preserve">At ITU, common reporting units are individual countries and country groups: the world, income groups, UN special groups (LDCs, LLDCs, SIDS) and ITU regions. The classification of “developing countries” and “developed countries” used in the current Strategic Plan is no longer in use and should not be applied in the next Strategic Plan. </w:t>
      </w:r>
    </w:p>
    <w:p w14:paraId="7BFE1F4B" w14:textId="77777777" w:rsidR="00B6556B" w:rsidRDefault="00B6556B" w:rsidP="00AE731D">
      <w:pPr>
        <w:jc w:val="both"/>
      </w:pPr>
      <w:r>
        <w:t>Aggregate values are typically calculated as population-weighted averages of country values. To produce group-level aggregates, a minimum number of country observations is required. This constrains the choice of indicators, as some may not have sufficient coverage to allow aggregation.</w:t>
      </w:r>
    </w:p>
    <w:p w14:paraId="5F037176" w14:textId="77777777" w:rsidR="00B6556B" w:rsidRPr="00FD69F1" w:rsidRDefault="00B6556B" w:rsidP="00AE731D">
      <w:pPr>
        <w:jc w:val="both"/>
      </w:pPr>
      <w:r>
        <w:t xml:space="preserve">In the Strategic Plan, targets should not specify reporting units (e.g. LLDCs). Instead, values should be reported for all relevant units where data are available. Specific targets by country group may be set where appropriate, taking into account different starting points and circumstances. </w:t>
      </w:r>
    </w:p>
    <w:p w14:paraId="2224A764" w14:textId="77777777" w:rsidR="00B6556B" w:rsidRDefault="00B6556B" w:rsidP="001E41BE">
      <w:pPr>
        <w:pStyle w:val="Headingi"/>
      </w:pPr>
      <w:r w:rsidRPr="00FD69F1">
        <w:t>Criteria for selecting indicators for the Strategic Pla</w:t>
      </w:r>
      <w:r>
        <w:t>n</w:t>
      </w:r>
    </w:p>
    <w:p w14:paraId="733673E7" w14:textId="77777777" w:rsidR="00B6556B" w:rsidRDefault="00B6556B" w:rsidP="00AE731D">
      <w:pPr>
        <w:jc w:val="both"/>
      </w:pPr>
      <w:r w:rsidRPr="00FD69F1">
        <w:t>Indicators included in the Strategic Plan should:</w:t>
      </w:r>
    </w:p>
    <w:p w14:paraId="0B095730" w14:textId="72B4A7CD" w:rsidR="00B6556B" w:rsidRPr="0036711E" w:rsidRDefault="0037753B" w:rsidP="0037753B">
      <w:pPr>
        <w:pStyle w:val="enumlev1"/>
      </w:pPr>
      <w:r>
        <w:rPr>
          <w:rFonts w:eastAsia="SimSun" w:cs="Calibri"/>
          <w:sz w:val="22"/>
        </w:rPr>
        <w:t>–</w:t>
      </w:r>
      <w:r w:rsidR="00E12677" w:rsidRPr="0036711E">
        <w:rPr>
          <w:rFonts w:eastAsia="SimSun" w:cs="Calibri"/>
          <w:sz w:val="22"/>
        </w:rPr>
        <w:tab/>
      </w:r>
      <w:r w:rsidR="00B6556B" w:rsidRPr="0036711E">
        <w:t xml:space="preserve">Measure a concept relevant to the </w:t>
      </w:r>
      <w:r w:rsidR="00B6556B">
        <w:t>P</w:t>
      </w:r>
      <w:r w:rsidR="00B6556B" w:rsidRPr="0036711E">
        <w:t xml:space="preserve">lan’s </w:t>
      </w:r>
      <w:r w:rsidR="00B6556B">
        <w:t>targets</w:t>
      </w:r>
      <w:r w:rsidR="00B6556B" w:rsidRPr="0036711E">
        <w:t>.</w:t>
      </w:r>
    </w:p>
    <w:p w14:paraId="00628011" w14:textId="0018CE90" w:rsidR="00B6556B" w:rsidRPr="0036711E" w:rsidRDefault="0037753B" w:rsidP="0037753B">
      <w:pPr>
        <w:pStyle w:val="enumlev1"/>
      </w:pPr>
      <w:r>
        <w:rPr>
          <w:rFonts w:eastAsia="SimSun" w:cs="Calibri"/>
          <w:sz w:val="22"/>
        </w:rPr>
        <w:t>–</w:t>
      </w:r>
      <w:r w:rsidR="00E12677" w:rsidRPr="0036711E">
        <w:rPr>
          <w:rFonts w:eastAsia="SimSun" w:cs="Calibri"/>
          <w:sz w:val="22"/>
        </w:rPr>
        <w:tab/>
      </w:r>
      <w:r w:rsidR="00B6556B" w:rsidRPr="0036711E">
        <w:t>Be based on an internationally agreed methodology.</w:t>
      </w:r>
    </w:p>
    <w:p w14:paraId="5DD7C56B" w14:textId="1F8564EB" w:rsidR="00B6556B" w:rsidRPr="0036711E" w:rsidRDefault="0037753B" w:rsidP="0037753B">
      <w:pPr>
        <w:pStyle w:val="enumlev1"/>
      </w:pPr>
      <w:r>
        <w:rPr>
          <w:rFonts w:eastAsia="SimSun" w:cs="Calibri"/>
          <w:sz w:val="22"/>
        </w:rPr>
        <w:t>–</w:t>
      </w:r>
      <w:r w:rsidR="00E12677" w:rsidRPr="0036711E">
        <w:rPr>
          <w:rFonts w:eastAsia="SimSun" w:cs="Calibri"/>
          <w:sz w:val="22"/>
        </w:rPr>
        <w:tab/>
      </w:r>
      <w:r w:rsidR="00B6556B" w:rsidRPr="0036711E">
        <w:t>Have data available for a sufficient number of countries to allow meaningful monitoring and aggregation.</w:t>
      </w:r>
    </w:p>
    <w:p w14:paraId="39BD9162" w14:textId="6EA47F38" w:rsidR="00B6556B" w:rsidRPr="0036711E" w:rsidRDefault="0037753B" w:rsidP="0037753B">
      <w:pPr>
        <w:pStyle w:val="enumlev1"/>
      </w:pPr>
      <w:r>
        <w:rPr>
          <w:rFonts w:eastAsia="SimSun" w:cs="Calibri"/>
          <w:sz w:val="22"/>
        </w:rPr>
        <w:t>–</w:t>
      </w:r>
      <w:r w:rsidR="00E12677" w:rsidRPr="0036711E">
        <w:rPr>
          <w:rFonts w:eastAsia="SimSun" w:cs="Calibri"/>
          <w:sz w:val="22"/>
        </w:rPr>
        <w:tab/>
      </w:r>
      <w:r w:rsidR="00B6556B" w:rsidRPr="0036711E">
        <w:t>Be collected regularly, ideally every one to two years.</w:t>
      </w:r>
    </w:p>
    <w:p w14:paraId="387F39F7" w14:textId="2C516995" w:rsidR="00B6556B" w:rsidRPr="0036711E" w:rsidRDefault="0037753B" w:rsidP="0037753B">
      <w:pPr>
        <w:pStyle w:val="enumlev1"/>
      </w:pPr>
      <w:r>
        <w:rPr>
          <w:rFonts w:eastAsia="SimSun" w:cs="Calibri"/>
          <w:sz w:val="22"/>
        </w:rPr>
        <w:t>–</w:t>
      </w:r>
      <w:r w:rsidR="00E12677" w:rsidRPr="0036711E">
        <w:rPr>
          <w:rFonts w:eastAsia="SimSun" w:cs="Calibri"/>
          <w:sz w:val="22"/>
        </w:rPr>
        <w:tab/>
      </w:r>
      <w:r w:rsidR="00B6556B" w:rsidRPr="0036711E">
        <w:t xml:space="preserve">Be </w:t>
      </w:r>
      <w:r w:rsidR="00B6556B">
        <w:t xml:space="preserve">compiled </w:t>
      </w:r>
      <w:r w:rsidR="00B6556B" w:rsidRPr="0036711E">
        <w:t>by a reputable organization, preferably ITU or another UN agency</w:t>
      </w:r>
      <w:r w:rsidR="00B6556B">
        <w:t>, based on vetted data submitted by countries or other sources</w:t>
      </w:r>
      <w:r w:rsidR="00B6556B" w:rsidRPr="0036711E">
        <w:t>.</w:t>
      </w:r>
    </w:p>
    <w:p w14:paraId="03DF78A6" w14:textId="6A9102DD" w:rsidR="00B6556B" w:rsidRPr="0036711E" w:rsidRDefault="0037753B" w:rsidP="0037753B">
      <w:pPr>
        <w:pStyle w:val="enumlev1"/>
      </w:pPr>
      <w:r>
        <w:rPr>
          <w:rFonts w:eastAsia="SimSun" w:cs="Calibri"/>
          <w:sz w:val="22"/>
        </w:rPr>
        <w:t>–</w:t>
      </w:r>
      <w:r w:rsidR="00E12677" w:rsidRPr="0036711E">
        <w:rPr>
          <w:rFonts w:eastAsia="SimSun" w:cs="Calibri"/>
          <w:sz w:val="22"/>
        </w:rPr>
        <w:tab/>
      </w:r>
      <w:r w:rsidR="00B6556B" w:rsidRPr="0036711E">
        <w:t>Be publicly and freely accessible.</w:t>
      </w:r>
    </w:p>
    <w:p w14:paraId="2F242976" w14:textId="77777777" w:rsidR="00B6556B" w:rsidRDefault="00B6556B" w:rsidP="00AE731D">
      <w:pPr>
        <w:jc w:val="both"/>
      </w:pPr>
      <w:r w:rsidRPr="00FD69F1">
        <w:t>Because only a limited number of indicators meet these conditions, pragmatism is necessary.</w:t>
      </w:r>
    </w:p>
    <w:p w14:paraId="19574D57" w14:textId="77777777" w:rsidR="00B6556B" w:rsidRDefault="00B6556B" w:rsidP="001E41BE">
      <w:pPr>
        <w:pStyle w:val="Headingi"/>
      </w:pPr>
      <w:r w:rsidRPr="00FD69F1">
        <w:t>Avoiding overlaps</w:t>
      </w:r>
    </w:p>
    <w:p w14:paraId="453EC24B" w14:textId="77777777" w:rsidR="00B6556B" w:rsidRPr="00FD69F1" w:rsidRDefault="00B6556B" w:rsidP="00AE731D">
      <w:pPr>
        <w:jc w:val="both"/>
      </w:pPr>
      <w:r w:rsidRPr="00FD69F1">
        <w:t xml:space="preserve">Indicators should be mutually exclusive and collectively cover the relevant concepts. Overlaps between indicators or duplication across </w:t>
      </w:r>
      <w:r>
        <w:t>impact</w:t>
      </w:r>
      <w:r w:rsidRPr="00FD69F1">
        <w:t xml:space="preserve"> should be avoided.</w:t>
      </w:r>
    </w:p>
    <w:p w14:paraId="13B0A039" w14:textId="77777777" w:rsidR="00B6556B" w:rsidRDefault="00B6556B" w:rsidP="001E41BE">
      <w:pPr>
        <w:pStyle w:val="Headingi"/>
      </w:pPr>
      <w:r w:rsidRPr="00FD69F1">
        <w:t>Consistency</w:t>
      </w:r>
    </w:p>
    <w:p w14:paraId="79FF7089" w14:textId="77777777" w:rsidR="00B6556B" w:rsidRPr="00FD69F1" w:rsidRDefault="00B6556B" w:rsidP="00AE731D">
      <w:pPr>
        <w:jc w:val="both"/>
      </w:pPr>
      <w:r>
        <w:t>Targets</w:t>
      </w:r>
      <w:r w:rsidRPr="00FD69F1">
        <w:t xml:space="preserve"> should be formulated clearly and consistently. They should define the concept being measured (such as affordability, cybersecurity or coverage) and the desired state (such as universality, significant improvement, majority of people). Concepts, indicators, units of reporting and disaggregation dimensions should remain clearly distinct.</w:t>
      </w:r>
    </w:p>
    <w:p w14:paraId="727C0A58" w14:textId="77777777" w:rsidR="00E12677" w:rsidRDefault="00B6556B" w:rsidP="001E41BE">
      <w:pPr>
        <w:pStyle w:val="Headingi"/>
      </w:pPr>
      <w:r w:rsidRPr="00FD69F1">
        <w:t>Data resources</w:t>
      </w:r>
    </w:p>
    <w:p w14:paraId="578D430F" w14:textId="1BA5B51A" w:rsidR="00B6556B" w:rsidRDefault="00B6556B" w:rsidP="00AE731D">
      <w:pPr>
        <w:jc w:val="both"/>
      </w:pPr>
      <w:r w:rsidRPr="00FD69F1">
        <w:t xml:space="preserve">The </w:t>
      </w:r>
      <w:hyperlink r:id="rId14" w:history="1">
        <w:r w:rsidRPr="00011ECA">
          <w:rPr>
            <w:rStyle w:val="Hyperlink"/>
          </w:rPr>
          <w:t xml:space="preserve">ITU </w:t>
        </w:r>
        <w:proofErr w:type="spellStart"/>
        <w:r w:rsidRPr="00011ECA">
          <w:rPr>
            <w:rStyle w:val="Hyperlink"/>
          </w:rPr>
          <w:t>DataHub</w:t>
        </w:r>
        <w:proofErr w:type="spellEnd"/>
      </w:hyperlink>
      <w:r w:rsidRPr="00FD69F1">
        <w:t xml:space="preserve"> is the main platform for trusted data and regulatory information on digital development. It provides free access to hundreds of indicators and is regularly updated with </w:t>
      </w:r>
      <w:r w:rsidRPr="00FD69F1">
        <w:lastRenderedPageBreak/>
        <w:t>new data, aggregates and disaggregation. It can support indicator selection and target setting for the Strategic Plan 2028–2031.</w:t>
      </w:r>
    </w:p>
    <w:p w14:paraId="61528A10" w14:textId="77777777" w:rsidR="00B6556B" w:rsidRDefault="00B6556B" w:rsidP="00AE731D">
      <w:pPr>
        <w:jc w:val="both"/>
      </w:pPr>
      <w:r>
        <w:t xml:space="preserve">The ITU </w:t>
      </w:r>
      <w:proofErr w:type="spellStart"/>
      <w:r>
        <w:t>DataHub</w:t>
      </w:r>
      <w:proofErr w:type="spellEnd"/>
      <w:r>
        <w:t xml:space="preserve"> features data submitted by countries to ITU, which validates it. In the absence of official data, ITU sometimes estimates values. All country group values featured on the platform are ITU estimates.</w:t>
      </w:r>
    </w:p>
    <w:p w14:paraId="36876C11" w14:textId="4A1500DC" w:rsidR="00B6556B" w:rsidRPr="00B851AB" w:rsidRDefault="00B6556B" w:rsidP="00B851AB">
      <w:pPr>
        <w:pStyle w:val="Headingb"/>
      </w:pPr>
      <w:r w:rsidRPr="00B851AB">
        <w:t>Recommendations on improvements for Strategic Plan 2028-2031</w:t>
      </w:r>
    </w:p>
    <w:p w14:paraId="0449A35E" w14:textId="7DF56120" w:rsidR="00B6556B" w:rsidRPr="001E41BE" w:rsidRDefault="003D6EA5" w:rsidP="001C048D">
      <w:pPr>
        <w:pStyle w:val="Headingb"/>
      </w:pPr>
      <w:r>
        <w:t xml:space="preserve">Target </w:t>
      </w:r>
      <w:r w:rsidR="00E12677" w:rsidRPr="001E41BE">
        <w:t>1</w:t>
      </w:r>
      <w:r>
        <w:t>.1</w:t>
      </w:r>
      <w:r w:rsidR="00E12677" w:rsidRPr="001E41BE">
        <w:tab/>
      </w:r>
      <w:r w:rsidR="00B6556B" w:rsidRPr="001E41BE">
        <w:t>Universal broadband coverage</w:t>
      </w:r>
    </w:p>
    <w:p w14:paraId="180D02CD" w14:textId="77777777" w:rsidR="00B6556B" w:rsidRPr="004C3685" w:rsidRDefault="00B6556B" w:rsidP="00D72528">
      <w:pPr>
        <w:jc w:val="both"/>
      </w:pPr>
      <w:r w:rsidRPr="006806F8">
        <w:rPr>
          <w:i/>
          <w:iCs/>
        </w:rPr>
        <w:t>Current indicator:</w:t>
      </w:r>
      <w:r w:rsidRPr="004C3685">
        <w:t xml:space="preserve"> Percentage of the world population covered by broadband services.</w:t>
      </w:r>
    </w:p>
    <w:p w14:paraId="4631280C" w14:textId="77777777" w:rsidR="00B6556B" w:rsidRDefault="00B6556B" w:rsidP="00D72528">
      <w:pPr>
        <w:jc w:val="both"/>
      </w:pPr>
      <w:r w:rsidRPr="004C3685">
        <w:t>Th</w:t>
      </w:r>
      <w:r>
        <w:t xml:space="preserve">is target </w:t>
      </w:r>
      <w:r w:rsidRPr="004C3685">
        <w:t xml:space="preserve">remains highly relevant, but the indicator should be updated. The reference to “world population” should be removed, as it refers to the unit of reporting rather than the indicator itself. By 2031, 3G will no longer constitute a meaningful baseline for broadband connectivity. It is likely that </w:t>
      </w:r>
      <w:r>
        <w:t>4</w:t>
      </w:r>
      <w:r w:rsidRPr="004C3685">
        <w:t>G will represent the minimum technology standard during the next Strategic Plan period</w:t>
      </w:r>
      <w:r>
        <w:t xml:space="preserve">. </w:t>
      </w:r>
      <w:r w:rsidRPr="004C3685">
        <w:t>Coverage should continue to be reported disaggregated by rural and urban areas</w:t>
      </w:r>
      <w:r>
        <w:t>, considering the wide and persisting disparities in mobile network coverage</w:t>
      </w:r>
      <w:r w:rsidRPr="004C3685">
        <w:t>.</w:t>
      </w:r>
      <w:r>
        <w:t xml:space="preserve"> </w:t>
      </w:r>
      <w:r w:rsidRPr="00FA6587">
        <w:t>Finally, measuring coverage only through terrestrial networks may become a limitation by the end of the decade, given the growing role of non-terrestrial connectivity in reaching remote and underserved areas.</w:t>
      </w:r>
    </w:p>
    <w:p w14:paraId="66DA2953" w14:textId="77777777" w:rsidR="00B6556B" w:rsidRPr="004C3685" w:rsidRDefault="00B6556B" w:rsidP="00D72528">
      <w:pPr>
        <w:jc w:val="both"/>
      </w:pPr>
      <w:r w:rsidRPr="004C3685">
        <w:rPr>
          <w:i/>
          <w:iCs/>
        </w:rPr>
        <w:t>Recommended indicator:</w:t>
      </w:r>
      <w:r w:rsidRPr="004C3685">
        <w:t xml:space="preserve"> Percentage of the population covered by at least a </w:t>
      </w:r>
      <w:r>
        <w:t>4</w:t>
      </w:r>
      <w:r w:rsidRPr="004C3685">
        <w:t xml:space="preserve">G mobile network, overall and </w:t>
      </w:r>
      <w:r>
        <w:t xml:space="preserve">disaggregated </w:t>
      </w:r>
      <w:r w:rsidRPr="004C3685">
        <w:t>by rural/urban location.</w:t>
      </w:r>
    </w:p>
    <w:p w14:paraId="226A9707" w14:textId="3B87813D" w:rsidR="00B6556B" w:rsidRPr="001E41BE" w:rsidRDefault="003D6EA5" w:rsidP="001C048D">
      <w:pPr>
        <w:pStyle w:val="Headingb"/>
      </w:pPr>
      <w:r>
        <w:t>Target 1.</w:t>
      </w:r>
      <w:r w:rsidR="00E12677" w:rsidRPr="001E41BE">
        <w:t>2</w:t>
      </w:r>
      <w:r w:rsidR="00E12677" w:rsidRPr="001E41BE">
        <w:tab/>
      </w:r>
      <w:r w:rsidR="00B6556B" w:rsidRPr="001E41BE">
        <w:t>Broadband services to be affordable for all</w:t>
      </w:r>
    </w:p>
    <w:p w14:paraId="6E309D6A" w14:textId="77777777" w:rsidR="00B6556B" w:rsidRPr="005F711F" w:rsidRDefault="00B6556B" w:rsidP="00D72528">
      <w:pPr>
        <w:jc w:val="both"/>
      </w:pPr>
      <w:r w:rsidRPr="005F711F">
        <w:rPr>
          <w:i/>
          <w:iCs/>
        </w:rPr>
        <w:t xml:space="preserve">Current indicator: </w:t>
      </w:r>
      <w:r w:rsidRPr="005F711F">
        <w:t xml:space="preserve">Cost of entry-level broadband services in developing countries as a percentage of monthly </w:t>
      </w:r>
      <w:proofErr w:type="spellStart"/>
      <w:r w:rsidRPr="005F711F">
        <w:t>GNI</w:t>
      </w:r>
      <w:proofErr w:type="spellEnd"/>
      <w:r w:rsidRPr="005F711F">
        <w:t xml:space="preserve"> per capita.</w:t>
      </w:r>
    </w:p>
    <w:p w14:paraId="5A13DC59" w14:textId="77777777" w:rsidR="00B6556B" w:rsidRPr="005F711F" w:rsidRDefault="00B6556B" w:rsidP="00D72528">
      <w:pPr>
        <w:jc w:val="both"/>
      </w:pPr>
      <w:r w:rsidRPr="005F711F">
        <w:t xml:space="preserve">Affordability is a key enabler of meaningful connectivity. The current indicator is based on the established </w:t>
      </w:r>
      <w:hyperlink r:id="rId15" w:history="1">
        <w:r w:rsidRPr="005F711F">
          <w:rPr>
            <w:rStyle w:val="Hyperlink"/>
          </w:rPr>
          <w:t>ITU methodology</w:t>
        </w:r>
      </w:hyperlink>
      <w:r w:rsidRPr="005F711F">
        <w:t xml:space="preserve"> (‘Price baskets’) but requires revision. The reference to “developing countries” should be removed, as this classification is no longer used and affordability should be monitored globally. In addition, affordability should be measured separately for fixed and mobile broadband services, given their different cost structures. Both should continue to be expressed as a percentage of GNI per capita.</w:t>
      </w:r>
    </w:p>
    <w:p w14:paraId="46F93173" w14:textId="77777777" w:rsidR="00B6556B" w:rsidRPr="005F711F" w:rsidRDefault="00B6556B" w:rsidP="00D72528">
      <w:pPr>
        <w:jc w:val="both"/>
      </w:pPr>
      <w:r w:rsidRPr="005F711F">
        <w:rPr>
          <w:i/>
          <w:iCs/>
        </w:rPr>
        <w:t>Recommended new target name:</w:t>
      </w:r>
      <w:r w:rsidRPr="005F711F">
        <w:t xml:space="preserve"> Affordable connectivity for all.</w:t>
      </w:r>
    </w:p>
    <w:p w14:paraId="60EAF0ED" w14:textId="77777777" w:rsidR="00B6556B" w:rsidRPr="005F711F" w:rsidRDefault="00B6556B" w:rsidP="00D72528">
      <w:pPr>
        <w:jc w:val="both"/>
        <w:rPr>
          <w:i/>
          <w:iCs/>
        </w:rPr>
      </w:pPr>
      <w:r w:rsidRPr="005F711F">
        <w:rPr>
          <w:i/>
          <w:iCs/>
        </w:rPr>
        <w:t>Recommended indicators:</w:t>
      </w:r>
    </w:p>
    <w:p w14:paraId="3029A05F" w14:textId="06D21CD3" w:rsidR="00B6556B" w:rsidRPr="005F711F" w:rsidRDefault="0037753B" w:rsidP="0037753B">
      <w:pPr>
        <w:pStyle w:val="enumlev1"/>
      </w:pPr>
      <w:r>
        <w:rPr>
          <w:rFonts w:eastAsia="SimSun" w:cs="Calibri"/>
          <w:sz w:val="22"/>
        </w:rPr>
        <w:t>–</w:t>
      </w:r>
      <w:r w:rsidR="00E12677" w:rsidRPr="005F711F">
        <w:rPr>
          <w:rFonts w:eastAsia="SimSun" w:cs="Calibri"/>
          <w:sz w:val="22"/>
        </w:rPr>
        <w:tab/>
      </w:r>
      <w:r w:rsidR="00B6556B" w:rsidRPr="005F711F">
        <w:t xml:space="preserve">Entry-level fixed broadband basket as a percentage of GNI per capita. This indicator may be revised. </w:t>
      </w:r>
    </w:p>
    <w:p w14:paraId="47FA220C" w14:textId="6DA216A6" w:rsidR="00B6556B" w:rsidRPr="005F711F" w:rsidRDefault="0037753B" w:rsidP="0037753B">
      <w:pPr>
        <w:pStyle w:val="enumlev1"/>
      </w:pPr>
      <w:r>
        <w:rPr>
          <w:rFonts w:eastAsia="SimSun" w:cs="Calibri"/>
          <w:sz w:val="22"/>
        </w:rPr>
        <w:t>–</w:t>
      </w:r>
      <w:r w:rsidR="00E12677" w:rsidRPr="005F711F">
        <w:rPr>
          <w:rFonts w:eastAsia="SimSun" w:cs="Calibri"/>
          <w:sz w:val="22"/>
        </w:rPr>
        <w:tab/>
      </w:r>
      <w:r w:rsidR="00B6556B" w:rsidRPr="005F711F">
        <w:t>Data-only mobile broadband basket as a percentage of GNI per capita.</w:t>
      </w:r>
    </w:p>
    <w:p w14:paraId="2605932C" w14:textId="02565B88" w:rsidR="00B6556B" w:rsidRPr="001E41BE" w:rsidRDefault="003D6EA5" w:rsidP="001C048D">
      <w:pPr>
        <w:pStyle w:val="Headingb"/>
      </w:pPr>
      <w:r>
        <w:t>Target 1.</w:t>
      </w:r>
      <w:r w:rsidR="00E12677" w:rsidRPr="001E41BE">
        <w:t>3</w:t>
      </w:r>
      <w:r w:rsidR="00E12677" w:rsidRPr="001E41BE">
        <w:tab/>
      </w:r>
      <w:r w:rsidR="00B6556B" w:rsidRPr="001E41BE">
        <w:t>Broadband access to every household</w:t>
      </w:r>
    </w:p>
    <w:p w14:paraId="3EEBB469" w14:textId="77777777" w:rsidR="00B6556B" w:rsidRPr="005F711F" w:rsidRDefault="00B6556B" w:rsidP="00D72528">
      <w:pPr>
        <w:jc w:val="both"/>
      </w:pPr>
      <w:r w:rsidRPr="005F711F">
        <w:rPr>
          <w:i/>
          <w:iCs/>
        </w:rPr>
        <w:t>Current indicator:</w:t>
      </w:r>
      <w:r w:rsidRPr="005F711F">
        <w:t xml:space="preserve"> Percentage of households with access to the Internet (by level of development; urban/rural).</w:t>
      </w:r>
    </w:p>
    <w:p w14:paraId="7374E72C" w14:textId="77777777" w:rsidR="00B6556B" w:rsidRPr="005F711F" w:rsidRDefault="00B6556B" w:rsidP="00D72528">
      <w:pPr>
        <w:jc w:val="both"/>
      </w:pPr>
      <w:r w:rsidRPr="005F711F">
        <w:t xml:space="preserve">Household Internet access remains an important dimension of connectivity but has become increasingly difficult to measure accurately. The distinction between individual and household access is becoming less meaningful due to widespread mobile access and shared devices. Respondents often interpret “household Internet access” inconsistently, leading to growing </w:t>
      </w:r>
      <w:r w:rsidRPr="005F711F">
        <w:lastRenderedPageBreak/>
        <w:t>measurement challenges. Data availability has decreased, and ITU no longer produces global or regional aggregates for this indicator. Given these limitations and the stronger relevance of individual-level indicators, this target and its associated indicator may be discontinued in the next Strategic Plan.</w:t>
      </w:r>
    </w:p>
    <w:p w14:paraId="66D58AAD" w14:textId="77777777" w:rsidR="00B6556B" w:rsidRPr="005F711F" w:rsidRDefault="00B6556B" w:rsidP="00D72528">
      <w:pPr>
        <w:jc w:val="both"/>
      </w:pPr>
      <w:r w:rsidRPr="005F711F">
        <w:rPr>
          <w:i/>
          <w:iCs/>
        </w:rPr>
        <w:t>Recommendation:</w:t>
      </w:r>
      <w:r w:rsidRPr="005F711F">
        <w:t xml:space="preserve"> Discontinue this target and indicator. Concept sufficiently covered by Target 1.7.</w:t>
      </w:r>
    </w:p>
    <w:p w14:paraId="3F7C09B5" w14:textId="0164D0E1" w:rsidR="00B6556B" w:rsidRPr="00E12677" w:rsidRDefault="00677D34" w:rsidP="001C048D">
      <w:pPr>
        <w:pStyle w:val="Headingb"/>
      </w:pPr>
      <w:r>
        <w:t>Target 1.</w:t>
      </w:r>
      <w:r w:rsidR="00E12677" w:rsidRPr="005F711F">
        <w:t>4</w:t>
      </w:r>
      <w:r w:rsidR="00E12677" w:rsidRPr="005F711F">
        <w:tab/>
      </w:r>
      <w:r w:rsidR="00B6556B" w:rsidRPr="00E12677">
        <w:t>Ownership of and access to Internet-enabled devices</w:t>
      </w:r>
    </w:p>
    <w:p w14:paraId="148D29FE" w14:textId="77777777" w:rsidR="00B6556B" w:rsidRPr="005F711F" w:rsidRDefault="00B6556B" w:rsidP="00B42FA3">
      <w:pPr>
        <w:jc w:val="both"/>
      </w:pPr>
      <w:r w:rsidRPr="005F711F">
        <w:rPr>
          <w:i/>
          <w:iCs/>
        </w:rPr>
        <w:t>Current indicators:</w:t>
      </w:r>
    </w:p>
    <w:p w14:paraId="0690A276" w14:textId="53DCCCE2" w:rsidR="00B6556B" w:rsidRPr="005F711F" w:rsidRDefault="00F42532" w:rsidP="00F42532">
      <w:pPr>
        <w:pStyle w:val="enumlev1"/>
      </w:pPr>
      <w:r>
        <w:rPr>
          <w:rFonts w:eastAsia="SimSun" w:cs="Calibri"/>
          <w:sz w:val="22"/>
        </w:rPr>
        <w:t>–</w:t>
      </w:r>
      <w:r w:rsidR="00E12677" w:rsidRPr="005F711F">
        <w:rPr>
          <w:rFonts w:eastAsia="SimSun" w:cs="Calibri"/>
          <w:sz w:val="22"/>
        </w:rPr>
        <w:tab/>
      </w:r>
      <w:r w:rsidR="00B6556B" w:rsidRPr="005F711F">
        <w:t>Percentage of individuals using a smart telephone</w:t>
      </w:r>
    </w:p>
    <w:p w14:paraId="75B52A48" w14:textId="7C39D477" w:rsidR="00B6556B" w:rsidRPr="005F711F" w:rsidRDefault="00F42532" w:rsidP="00F42532">
      <w:pPr>
        <w:pStyle w:val="enumlev1"/>
      </w:pPr>
      <w:r>
        <w:rPr>
          <w:rFonts w:eastAsia="SimSun" w:cs="Calibri"/>
          <w:sz w:val="22"/>
        </w:rPr>
        <w:t>–</w:t>
      </w:r>
      <w:r w:rsidR="00E12677" w:rsidRPr="005F711F">
        <w:rPr>
          <w:rFonts w:eastAsia="SimSun" w:cs="Calibri"/>
          <w:sz w:val="22"/>
        </w:rPr>
        <w:tab/>
      </w:r>
      <w:r w:rsidR="00B6556B" w:rsidRPr="005F711F">
        <w:t>Percentage of individuals who own a smart telephone</w:t>
      </w:r>
    </w:p>
    <w:p w14:paraId="42240CCF" w14:textId="77777777" w:rsidR="00B6556B" w:rsidRPr="005F711F" w:rsidRDefault="00B6556B" w:rsidP="00B42FA3">
      <w:pPr>
        <w:jc w:val="both"/>
      </w:pPr>
      <w:r w:rsidRPr="005F711F">
        <w:t>Access to Internet-enabled devices is essential for meaningful connectivity, but the current indicators present several challenges. They partly overlap, and data availability is low. Many countries do not regularly collect data on smartphone ownership or use, and no global or regional aggregates are available. In addition, the indicator formulation is inconsistent with other targets and does not align with internationally agreed classifications.</w:t>
      </w:r>
    </w:p>
    <w:p w14:paraId="7C0C3664" w14:textId="77777777" w:rsidR="00B6556B" w:rsidRPr="005F711F" w:rsidRDefault="00B6556B" w:rsidP="00B42FA3">
      <w:pPr>
        <w:jc w:val="both"/>
      </w:pPr>
      <w:r w:rsidRPr="005F711F">
        <w:t>A simpler and more widely available indicator should be used. The SDG indicator on mobile phone ownership provides a suitable alternative: it is methodologically sound, collected by more countries and allows disaggregation by gender and other characteristics.</w:t>
      </w:r>
    </w:p>
    <w:p w14:paraId="7B8F8852" w14:textId="77777777" w:rsidR="00B6556B" w:rsidRPr="005F711F" w:rsidRDefault="00B6556B" w:rsidP="00B42FA3">
      <w:pPr>
        <w:jc w:val="both"/>
      </w:pPr>
      <w:r w:rsidRPr="005F711F">
        <w:rPr>
          <w:i/>
          <w:iCs/>
        </w:rPr>
        <w:t>Recommended new target name:</w:t>
      </w:r>
      <w:r w:rsidRPr="005F711F">
        <w:t xml:space="preserve"> Universal access to Internet-enabled devices.</w:t>
      </w:r>
    </w:p>
    <w:p w14:paraId="4C6DA481" w14:textId="77777777" w:rsidR="00B6556B" w:rsidRPr="005F711F" w:rsidRDefault="00B6556B" w:rsidP="00B42FA3">
      <w:pPr>
        <w:jc w:val="both"/>
      </w:pPr>
      <w:r w:rsidRPr="005F711F">
        <w:rPr>
          <w:i/>
          <w:iCs/>
        </w:rPr>
        <w:t>Recommended indicator:</w:t>
      </w:r>
      <w:r w:rsidRPr="005F711F">
        <w:t xml:space="preserve"> Percentage of individuals who own a mobile phone (age scope TBC).</w:t>
      </w:r>
    </w:p>
    <w:p w14:paraId="0D603EDC" w14:textId="7E94B169" w:rsidR="00B6556B" w:rsidRPr="00E12677" w:rsidRDefault="004956ED" w:rsidP="001C048D">
      <w:pPr>
        <w:pStyle w:val="Headingb"/>
      </w:pPr>
      <w:r>
        <w:t>Target 1.</w:t>
      </w:r>
      <w:r w:rsidR="00E12677" w:rsidRPr="005F711F">
        <w:t>5</w:t>
      </w:r>
      <w:r w:rsidR="00E12677" w:rsidRPr="005F711F">
        <w:tab/>
      </w:r>
      <w:r w:rsidR="00B6556B" w:rsidRPr="00E12677">
        <w:t>Access to the Internet for all schools</w:t>
      </w:r>
    </w:p>
    <w:p w14:paraId="40582AF4" w14:textId="77777777" w:rsidR="00B6556B" w:rsidRPr="005F711F" w:rsidRDefault="00B6556B" w:rsidP="00B42FA3">
      <w:pPr>
        <w:jc w:val="both"/>
      </w:pPr>
      <w:r w:rsidRPr="005F711F">
        <w:rPr>
          <w:i/>
          <w:iCs/>
        </w:rPr>
        <w:t>Current indicator:</w:t>
      </w:r>
      <w:r w:rsidRPr="005F711F">
        <w:t xml:space="preserve"> Percentage of schools with entry-level Internet service (at least 500 MB per month).</w:t>
      </w:r>
    </w:p>
    <w:p w14:paraId="1174B2DA" w14:textId="77777777" w:rsidR="00B6556B" w:rsidRPr="005F711F" w:rsidRDefault="00B6556B" w:rsidP="00B42FA3">
      <w:pPr>
        <w:jc w:val="both"/>
      </w:pPr>
      <w:r w:rsidRPr="005F711F">
        <w:t>School connectivity may be a relevant target. However, the current indicator is inadequate. A threshold of 500 MB per month is far below what is required for educational use. Additionally, ITU is not the main data source for this indicator. UNESCO collects data on schools with Internet access. The target may be retained but reformulated for clarity and consistency. A more appropriate indicator should be identified in consultation with partners.</w:t>
      </w:r>
    </w:p>
    <w:p w14:paraId="44FE115D" w14:textId="77777777" w:rsidR="00B6556B" w:rsidRPr="005F711F" w:rsidRDefault="00B6556B" w:rsidP="00B42FA3">
      <w:pPr>
        <w:jc w:val="both"/>
      </w:pPr>
      <w:r w:rsidRPr="005F711F">
        <w:rPr>
          <w:i/>
          <w:iCs/>
        </w:rPr>
        <w:t>Recommended new target name (if kept):</w:t>
      </w:r>
      <w:r w:rsidRPr="005F711F">
        <w:t xml:space="preserve"> Universal Internet access in schools</w:t>
      </w:r>
    </w:p>
    <w:p w14:paraId="61ECF127" w14:textId="77777777" w:rsidR="00B6556B" w:rsidRPr="005F711F" w:rsidRDefault="00B6556B" w:rsidP="00B42FA3">
      <w:pPr>
        <w:jc w:val="both"/>
      </w:pPr>
      <w:r w:rsidRPr="005F711F">
        <w:rPr>
          <w:i/>
          <w:iCs/>
        </w:rPr>
        <w:t>Recommended indicator:</w:t>
      </w:r>
      <w:r w:rsidRPr="005F711F">
        <w:t xml:space="preserve"> To be defined in coordination with UNESCO and other stakeholders.</w:t>
      </w:r>
    </w:p>
    <w:p w14:paraId="5A421E7B" w14:textId="02EA9293" w:rsidR="00B6556B" w:rsidRPr="00E12677" w:rsidRDefault="004956ED" w:rsidP="001C048D">
      <w:pPr>
        <w:pStyle w:val="Headingb"/>
      </w:pPr>
      <w:r>
        <w:t>Target 1.</w:t>
      </w:r>
      <w:r w:rsidR="00E12677" w:rsidRPr="005F711F">
        <w:t>6</w:t>
      </w:r>
      <w:r w:rsidR="00E12677" w:rsidRPr="005F711F">
        <w:tab/>
      </w:r>
      <w:r w:rsidR="00B6556B" w:rsidRPr="00E12677">
        <w:t>Improved cybersecurity preparedness of countries</w:t>
      </w:r>
    </w:p>
    <w:p w14:paraId="35982DED" w14:textId="77777777" w:rsidR="00B6556B" w:rsidRPr="005F711F" w:rsidRDefault="00B6556B" w:rsidP="00B42FA3">
      <w:pPr>
        <w:jc w:val="both"/>
      </w:pPr>
      <w:r w:rsidRPr="005F711F">
        <w:rPr>
          <w:i/>
          <w:iCs/>
        </w:rPr>
        <w:t>Current indicator:</w:t>
      </w:r>
      <w:r w:rsidRPr="005F711F">
        <w:t xml:space="preserve"> Global Cybersecurity Index (GCI), including its pillar scores.</w:t>
      </w:r>
    </w:p>
    <w:p w14:paraId="2A269D63" w14:textId="77777777" w:rsidR="00B6556B" w:rsidRPr="005F711F" w:rsidRDefault="00B6556B" w:rsidP="00B42FA3">
      <w:pPr>
        <w:jc w:val="both"/>
      </w:pPr>
      <w:r w:rsidRPr="005F711F">
        <w:t xml:space="preserve">Cybersecurity is a critical and increasingly important dimension of digital development. The GCI provides a recognised and widely used proxy for assessing national preparedness. However, as it measures legal frameworks, this indicator should be moved to the OP as an outcome indicator. </w:t>
      </w:r>
    </w:p>
    <w:p w14:paraId="2670B2F6" w14:textId="77777777" w:rsidR="00B6556B" w:rsidRPr="005F711F" w:rsidRDefault="00B6556B" w:rsidP="00B42FA3">
      <w:pPr>
        <w:jc w:val="both"/>
      </w:pPr>
      <w:r w:rsidRPr="005F711F">
        <w:rPr>
          <w:i/>
          <w:iCs/>
        </w:rPr>
        <w:t>Recommendation:</w:t>
      </w:r>
      <w:r w:rsidRPr="005F711F">
        <w:t xml:space="preserve"> Discontinue this target and reclassify this indicator as an outcome indicator.</w:t>
      </w:r>
    </w:p>
    <w:p w14:paraId="0B037926" w14:textId="1FB744A8" w:rsidR="00B6556B" w:rsidRPr="00E12677" w:rsidRDefault="00015940" w:rsidP="001C048D">
      <w:pPr>
        <w:pStyle w:val="Headingb"/>
      </w:pPr>
      <w:r>
        <w:lastRenderedPageBreak/>
        <w:t>Target 1.</w:t>
      </w:r>
      <w:r w:rsidR="00E12677" w:rsidRPr="005F711F">
        <w:t>7</w:t>
      </w:r>
      <w:r w:rsidR="00E12677" w:rsidRPr="005F711F">
        <w:tab/>
      </w:r>
      <w:r w:rsidR="00B6556B" w:rsidRPr="00E12677">
        <w:t>Universal access to the Internet by all individuals</w:t>
      </w:r>
    </w:p>
    <w:p w14:paraId="1F4B57CF" w14:textId="77777777" w:rsidR="00B6556B" w:rsidRPr="005F711F" w:rsidRDefault="00B6556B" w:rsidP="00B42FA3">
      <w:pPr>
        <w:jc w:val="both"/>
        <w:rPr>
          <w:b/>
          <w:bCs/>
        </w:rPr>
      </w:pPr>
      <w:r w:rsidRPr="005F711F">
        <w:rPr>
          <w:i/>
          <w:iCs/>
        </w:rPr>
        <w:t>Current indicator:</w:t>
      </w:r>
      <w:r w:rsidRPr="005F711F">
        <w:t xml:space="preserve"> Percentage of individuals using the Internet (disaggregated by urban/rural; aggregated by region and level of development) – SDG indicator 17.8.1.</w:t>
      </w:r>
    </w:p>
    <w:p w14:paraId="28747219" w14:textId="77777777" w:rsidR="00B6556B" w:rsidRPr="005F711F" w:rsidRDefault="00B6556B" w:rsidP="00B42FA3">
      <w:pPr>
        <w:jc w:val="both"/>
      </w:pPr>
      <w:r w:rsidRPr="005F711F">
        <w:t xml:space="preserve">This is a central target and should be retained. However, the current formulation is redundant (“universal” already implies “all individuals”), and the term “access” does not necessarily mean actual use. The target should be renamed to focus on Internet use. The indicator should continue to be used with additional disaggregation by gender and age. </w:t>
      </w:r>
    </w:p>
    <w:p w14:paraId="1649F104" w14:textId="77777777" w:rsidR="00B6556B" w:rsidRPr="005F711F" w:rsidRDefault="00B6556B" w:rsidP="005036F0">
      <w:pPr>
        <w:jc w:val="both"/>
      </w:pPr>
      <w:r w:rsidRPr="005F711F">
        <w:rPr>
          <w:i/>
          <w:iCs/>
        </w:rPr>
        <w:t>Recommended new target name:</w:t>
      </w:r>
      <w:r w:rsidRPr="005F711F">
        <w:t xml:space="preserve"> Universal Internet use.</w:t>
      </w:r>
    </w:p>
    <w:p w14:paraId="2DAFE851" w14:textId="77777777" w:rsidR="00B6556B" w:rsidRPr="005F711F" w:rsidRDefault="00B6556B" w:rsidP="005036F0">
      <w:pPr>
        <w:jc w:val="both"/>
      </w:pPr>
      <w:r w:rsidRPr="005F711F">
        <w:rPr>
          <w:i/>
          <w:iCs/>
        </w:rPr>
        <w:t>Recommended indicator:</w:t>
      </w:r>
      <w:r w:rsidRPr="005F711F">
        <w:t xml:space="preserve"> Percentage of individuals using the Internet (age scope TBC), overall and disaggregated by gender, rural/urban location, and age group.</w:t>
      </w:r>
    </w:p>
    <w:p w14:paraId="5D44942E" w14:textId="2044D566" w:rsidR="00B6556B" w:rsidRPr="00E12677" w:rsidRDefault="00015940" w:rsidP="001C048D">
      <w:pPr>
        <w:pStyle w:val="Headingb"/>
      </w:pPr>
      <w:r>
        <w:t>Target 2.1</w:t>
      </w:r>
      <w:r w:rsidR="00E12677" w:rsidRPr="005F711F">
        <w:tab/>
      </w:r>
      <w:r w:rsidR="00B6556B" w:rsidRPr="00E12677">
        <w:t>All digital gaps to be bridged (in particular gender, age and urban/rural)</w:t>
      </w:r>
    </w:p>
    <w:p w14:paraId="2AF582DA" w14:textId="77777777" w:rsidR="00B6556B" w:rsidRPr="005F711F" w:rsidRDefault="00B6556B" w:rsidP="005036F0">
      <w:pPr>
        <w:jc w:val="both"/>
      </w:pPr>
      <w:r w:rsidRPr="005F711F">
        <w:rPr>
          <w:i/>
          <w:iCs/>
        </w:rPr>
        <w:t>Current indicator:</w:t>
      </w:r>
      <w:r w:rsidRPr="005F711F">
        <w:t xml:space="preserve"> Percentage of individuals using the Internet (by gender, age and urban/rural).</w:t>
      </w:r>
    </w:p>
    <w:p w14:paraId="27A9AC61" w14:textId="77777777" w:rsidR="00B6556B" w:rsidRPr="005F711F" w:rsidRDefault="00B6556B" w:rsidP="005036F0">
      <w:pPr>
        <w:jc w:val="both"/>
      </w:pPr>
      <w:r w:rsidRPr="005F711F">
        <w:t>This target is very broadly formulated and overlaps with Target 1.7 on universal Internet use and other targets. No single indicator can possibly measure all the digital gaps. The indicator is identical to the one already proposed under that target. It is therefore recommended to remove this target and consolidate all monitoring of usage gaps under Target 1.7, where disaggregation by gender, age and location is already proposed.</w:t>
      </w:r>
    </w:p>
    <w:p w14:paraId="3346CE25" w14:textId="77777777" w:rsidR="00B6556B" w:rsidRPr="005F711F" w:rsidRDefault="00B6556B" w:rsidP="005036F0">
      <w:pPr>
        <w:jc w:val="both"/>
      </w:pPr>
      <w:r w:rsidRPr="005F711F">
        <w:rPr>
          <w:i/>
          <w:iCs/>
        </w:rPr>
        <w:t>Recommendation:</w:t>
      </w:r>
      <w:r w:rsidRPr="005F711F">
        <w:t xml:space="preserve"> Discontinue this target. Integrate monitoring of digital divides by gender and age into Target 1.7.</w:t>
      </w:r>
    </w:p>
    <w:p w14:paraId="64EDFC49" w14:textId="6CDCA8B5" w:rsidR="00B6556B" w:rsidRPr="00E12677" w:rsidRDefault="00015940" w:rsidP="001C048D">
      <w:pPr>
        <w:pStyle w:val="Headingb"/>
      </w:pPr>
      <w:r>
        <w:t>Target 2.2</w:t>
      </w:r>
      <w:r w:rsidR="00E12677" w:rsidRPr="005F711F">
        <w:tab/>
      </w:r>
      <w:r w:rsidR="00B6556B" w:rsidRPr="00E12677">
        <w:t>Majority of individuals to have digital skills</w:t>
      </w:r>
    </w:p>
    <w:p w14:paraId="18F4692B" w14:textId="697DE2F9" w:rsidR="00B6556B" w:rsidRPr="005F711F" w:rsidRDefault="00B6556B" w:rsidP="005036F0">
      <w:pPr>
        <w:jc w:val="both"/>
      </w:pPr>
      <w:r w:rsidRPr="005F711F">
        <w:rPr>
          <w:i/>
          <w:iCs/>
        </w:rPr>
        <w:t>Current indicator:</w:t>
      </w:r>
      <w:r w:rsidRPr="005F711F">
        <w:t xml:space="preserve"> Percentage of youth and adults with ICT skills, by type of skill (SDG indicator</w:t>
      </w:r>
      <w:r w:rsidR="009A2B83">
        <w:t> </w:t>
      </w:r>
      <w:r w:rsidRPr="005F711F">
        <w:t>4.4.1).</w:t>
      </w:r>
    </w:p>
    <w:p w14:paraId="737358A1" w14:textId="77777777" w:rsidR="00B6556B" w:rsidRPr="005F711F" w:rsidRDefault="00B6556B" w:rsidP="005036F0">
      <w:pPr>
        <w:jc w:val="both"/>
      </w:pPr>
      <w:r w:rsidRPr="005F711F">
        <w:t xml:space="preserve">Digital skills are a critical enabler of meaningful connectivity and digital transformation. The current indicator is no longer collected and was replaced with an indicator using a </w:t>
      </w:r>
      <w:hyperlink r:id="rId16" w:history="1">
        <w:r w:rsidRPr="005F711F">
          <w:rPr>
            <w:rStyle w:val="Hyperlink"/>
          </w:rPr>
          <w:t>refined methodology</w:t>
        </w:r>
      </w:hyperlink>
      <w:r w:rsidRPr="005F711F">
        <w:t xml:space="preserve"> introduced in 2025 by ITU. Data availability remains limited, although it is expected to improve as more countries adopt the refined methodology when collecting data. Aggregates cannot yet be produced for global or regional reporting. Despite this, the target should be retained due to its strategic importance.</w:t>
      </w:r>
    </w:p>
    <w:p w14:paraId="2B1C19AB" w14:textId="77777777" w:rsidR="00B6556B" w:rsidRPr="005F711F" w:rsidRDefault="00B6556B" w:rsidP="005036F0">
      <w:pPr>
        <w:jc w:val="both"/>
      </w:pPr>
      <w:r w:rsidRPr="005F711F">
        <w:rPr>
          <w:i/>
          <w:iCs/>
        </w:rPr>
        <w:t>Recommended new target name:</w:t>
      </w:r>
      <w:r w:rsidRPr="005F711F">
        <w:t xml:space="preserve"> Digital skills for all.</w:t>
      </w:r>
    </w:p>
    <w:p w14:paraId="70116E4A" w14:textId="77777777" w:rsidR="00B6556B" w:rsidRPr="005F711F" w:rsidRDefault="00B6556B" w:rsidP="005036F0">
      <w:pPr>
        <w:jc w:val="both"/>
      </w:pPr>
      <w:r w:rsidRPr="005F711F">
        <w:rPr>
          <w:i/>
          <w:iCs/>
        </w:rPr>
        <w:t>Recommended indicator:</w:t>
      </w:r>
      <w:r w:rsidRPr="005F711F">
        <w:t xml:space="preserve"> Percentage of Internet users with at least basic digital skills.</w:t>
      </w:r>
    </w:p>
    <w:p w14:paraId="71C711D7" w14:textId="6F6A0E5E" w:rsidR="00B6556B" w:rsidRPr="00E12677" w:rsidRDefault="00015940" w:rsidP="001C048D">
      <w:pPr>
        <w:pStyle w:val="Headingb"/>
      </w:pPr>
      <w:r>
        <w:t>Target 2.3</w:t>
      </w:r>
      <w:r w:rsidR="00E12677" w:rsidRPr="005F711F">
        <w:tab/>
      </w:r>
      <w:r w:rsidR="00B6556B" w:rsidRPr="00E12677">
        <w:t>Universal usage of Internet services by businesses</w:t>
      </w:r>
    </w:p>
    <w:p w14:paraId="7D045DBD" w14:textId="77777777" w:rsidR="00B6556B" w:rsidRPr="005F711F" w:rsidRDefault="00B6556B" w:rsidP="005036F0">
      <w:pPr>
        <w:jc w:val="both"/>
      </w:pPr>
      <w:r w:rsidRPr="005F711F">
        <w:rPr>
          <w:i/>
          <w:iCs/>
        </w:rPr>
        <w:t>Current indicator:</w:t>
      </w:r>
      <w:r w:rsidRPr="005F711F">
        <w:t xml:space="preserve"> Percentage of businesses using the Internet, total and by size.</w:t>
      </w:r>
    </w:p>
    <w:p w14:paraId="2B8D0696" w14:textId="77777777" w:rsidR="00B6556B" w:rsidRPr="005F711F" w:rsidRDefault="00B6556B" w:rsidP="005036F0">
      <w:pPr>
        <w:jc w:val="both"/>
      </w:pPr>
      <w:r w:rsidRPr="005F711F">
        <w:t>Business Internet use is an important dimension of digital transformation. However, ITU is not the primary source of this data. UNCTAD, OECD, Eurostat compile data on the use of ICTs by businesses. Data availability varies greatly across countries. The target could be retained, but its formulation simplified and aligned with current statistical standards.</w:t>
      </w:r>
    </w:p>
    <w:p w14:paraId="5C4263C2" w14:textId="77777777" w:rsidR="00B6556B" w:rsidRPr="005F711F" w:rsidRDefault="00B6556B" w:rsidP="005036F0">
      <w:pPr>
        <w:jc w:val="both"/>
      </w:pPr>
      <w:r w:rsidRPr="005F711F">
        <w:rPr>
          <w:i/>
          <w:iCs/>
        </w:rPr>
        <w:t>Recommended new target name:</w:t>
      </w:r>
      <w:r w:rsidRPr="005F711F">
        <w:t xml:space="preserve"> Universal business use of the Internet.</w:t>
      </w:r>
    </w:p>
    <w:p w14:paraId="79F9FD50" w14:textId="77777777" w:rsidR="00B6556B" w:rsidRPr="005F711F" w:rsidRDefault="00B6556B" w:rsidP="005036F0">
      <w:pPr>
        <w:jc w:val="both"/>
      </w:pPr>
      <w:r w:rsidRPr="005F711F">
        <w:rPr>
          <w:i/>
          <w:iCs/>
        </w:rPr>
        <w:lastRenderedPageBreak/>
        <w:t>Recommended indicator:</w:t>
      </w:r>
      <w:r w:rsidRPr="005F711F">
        <w:t xml:space="preserve"> Percentage of businesses using the Internet, overall and disaggregated by size (staff).</w:t>
      </w:r>
    </w:p>
    <w:p w14:paraId="3FBB5C9B" w14:textId="69F7528B" w:rsidR="00B6556B" w:rsidRPr="00E12677" w:rsidRDefault="00015940" w:rsidP="001C048D">
      <w:pPr>
        <w:pStyle w:val="Headingb"/>
      </w:pPr>
      <w:r>
        <w:t>Target 2.4</w:t>
      </w:r>
      <w:r w:rsidR="009A2B83">
        <w:tab/>
      </w:r>
      <w:r w:rsidR="00B6556B" w:rsidRPr="00E12677">
        <w:t>Majority of individuals accessing government services online</w:t>
      </w:r>
    </w:p>
    <w:p w14:paraId="11DC8A6A" w14:textId="77777777" w:rsidR="00B6556B" w:rsidRPr="005F711F" w:rsidRDefault="00B6556B" w:rsidP="005036F0">
      <w:pPr>
        <w:jc w:val="both"/>
      </w:pPr>
      <w:r w:rsidRPr="005F711F">
        <w:rPr>
          <w:i/>
          <w:iCs/>
        </w:rPr>
        <w:t>Current indicator:</w:t>
      </w:r>
      <w:r w:rsidRPr="005F711F">
        <w:t xml:space="preserve"> Percentage of the population interacting with government services online.</w:t>
      </w:r>
    </w:p>
    <w:p w14:paraId="54B6D1C2" w14:textId="77777777" w:rsidR="00B6556B" w:rsidRPr="005F711F" w:rsidRDefault="00B6556B" w:rsidP="008561FE">
      <w:pPr>
        <w:jc w:val="both"/>
      </w:pPr>
      <w:r w:rsidRPr="005F711F">
        <w:t>The use of online government services is an important dimension of digital inclusion, but this target focuses on one specific application of the Internet while excluding others such as e-commerce, digital payments or health services. Data availability is low, and no global aggregates are produced. For these reasons, and to maintain focus on core enablers rather than specific use cases, this target should be discontinued.</w:t>
      </w:r>
    </w:p>
    <w:p w14:paraId="0499E3BC" w14:textId="77777777" w:rsidR="00B6556B" w:rsidRPr="005F711F" w:rsidRDefault="00B6556B" w:rsidP="008561FE">
      <w:pPr>
        <w:jc w:val="both"/>
      </w:pPr>
      <w:r w:rsidRPr="005F711F">
        <w:rPr>
          <w:i/>
          <w:iCs/>
        </w:rPr>
        <w:t>Recommendation:</w:t>
      </w:r>
      <w:r w:rsidRPr="005F711F">
        <w:t xml:space="preserve"> Discontinue this target and associated indicator.</w:t>
      </w:r>
    </w:p>
    <w:p w14:paraId="20BB7947" w14:textId="1B9998C4" w:rsidR="00B6556B" w:rsidRPr="00E12677" w:rsidRDefault="00015940" w:rsidP="001C048D">
      <w:pPr>
        <w:pStyle w:val="Headingb"/>
      </w:pPr>
      <w:r>
        <w:t xml:space="preserve">Target </w:t>
      </w:r>
      <w:r w:rsidR="000143F4">
        <w:t>2</w:t>
      </w:r>
      <w:r>
        <w:t>.5</w:t>
      </w:r>
      <w:r w:rsidR="00E12677" w:rsidRPr="005F711F">
        <w:tab/>
      </w:r>
      <w:r w:rsidR="00B6556B" w:rsidRPr="00E12677">
        <w:t>Significant improvement of ICTs' contribution to climate and environment action</w:t>
      </w:r>
    </w:p>
    <w:p w14:paraId="53284E5E" w14:textId="77777777" w:rsidR="00B6556B" w:rsidRPr="005F711F" w:rsidRDefault="00B6556B" w:rsidP="008561FE">
      <w:pPr>
        <w:jc w:val="both"/>
      </w:pPr>
      <w:r w:rsidRPr="005F711F">
        <w:rPr>
          <w:i/>
          <w:iCs/>
        </w:rPr>
        <w:t>Current indicators:</w:t>
      </w:r>
    </w:p>
    <w:p w14:paraId="4C53411E" w14:textId="31ECA946" w:rsidR="00B6556B" w:rsidRPr="005F711F" w:rsidRDefault="009A2B83" w:rsidP="009A2B83">
      <w:pPr>
        <w:pStyle w:val="enumlev1"/>
      </w:pPr>
      <w:r>
        <w:rPr>
          <w:rFonts w:ascii="Aptos" w:eastAsiaTheme="minorHAnsi" w:hAnsi="Aptos" w:cstheme="minorBidi"/>
          <w:sz w:val="22"/>
        </w:rPr>
        <w:t>–</w:t>
      </w:r>
      <w:r w:rsidR="00E12677" w:rsidRPr="005F711F">
        <w:rPr>
          <w:rFonts w:ascii="Aptos" w:eastAsiaTheme="minorHAnsi" w:hAnsi="Aptos" w:cstheme="minorBidi"/>
          <w:sz w:val="22"/>
        </w:rPr>
        <w:tab/>
      </w:r>
      <w:r w:rsidR="00B6556B" w:rsidRPr="005F711F">
        <w:t>Global e-waste recycling rate</w:t>
      </w:r>
    </w:p>
    <w:p w14:paraId="30F5F4FD" w14:textId="3A667E33" w:rsidR="00B6556B" w:rsidRPr="00E12677" w:rsidRDefault="009A2B83" w:rsidP="009A2B83">
      <w:pPr>
        <w:pStyle w:val="enumlev1"/>
        <w:rPr>
          <w:b/>
          <w:bCs/>
        </w:rPr>
      </w:pPr>
      <w:r>
        <w:rPr>
          <w:rFonts w:ascii="Aptos" w:eastAsiaTheme="minorHAnsi" w:hAnsi="Aptos" w:cstheme="minorBidi"/>
          <w:bCs/>
          <w:sz w:val="22"/>
        </w:rPr>
        <w:t>–</w:t>
      </w:r>
      <w:r w:rsidR="00E12677" w:rsidRPr="005F711F">
        <w:rPr>
          <w:rFonts w:ascii="Aptos" w:eastAsiaTheme="minorHAnsi" w:hAnsi="Aptos" w:cstheme="minorBidi"/>
          <w:bCs/>
          <w:sz w:val="22"/>
        </w:rPr>
        <w:tab/>
      </w:r>
      <w:r w:rsidR="00B6556B" w:rsidRPr="005F711F">
        <w:t>Contribution of telecommunications/ICTs to global greenhouse gas emissions</w:t>
      </w:r>
    </w:p>
    <w:p w14:paraId="66C466A0" w14:textId="77777777" w:rsidR="00B6556B" w:rsidRPr="005F711F" w:rsidRDefault="00B6556B" w:rsidP="008561FE">
      <w:pPr>
        <w:jc w:val="both"/>
      </w:pPr>
      <w:r w:rsidRPr="005F711F">
        <w:t>The environmental impact of ICTs is increasing rapidly, driven by the growing number of connected devices, the expansion of data centres, and the scaling of AI applications. These trends are accelerating demand for energy and raw materials and contributing to higher emissions, pollution, and e-waste generation. The target should therefore be reframed to explicitly focus on reducing the negative environmental impacts of ICTs.</w:t>
      </w:r>
    </w:p>
    <w:p w14:paraId="17A1E45D" w14:textId="77777777" w:rsidR="00B6556B" w:rsidRPr="005F711F" w:rsidRDefault="00B6556B" w:rsidP="008561FE">
      <w:pPr>
        <w:jc w:val="both"/>
      </w:pPr>
      <w:r w:rsidRPr="005F711F">
        <w:rPr>
          <w:i/>
          <w:iCs/>
        </w:rPr>
        <w:t>Recommended new target name:</w:t>
      </w:r>
      <w:r w:rsidRPr="005F711F">
        <w:t xml:space="preserve"> Reduction of ICT environmental impact.</w:t>
      </w:r>
    </w:p>
    <w:p w14:paraId="38C28E44" w14:textId="77777777" w:rsidR="00B6556B" w:rsidRPr="005F711F" w:rsidRDefault="00B6556B" w:rsidP="008561FE">
      <w:pPr>
        <w:jc w:val="both"/>
      </w:pPr>
      <w:r w:rsidRPr="005F711F">
        <w:rPr>
          <w:i/>
          <w:iCs/>
        </w:rPr>
        <w:t>Recommended indicators:</w:t>
      </w:r>
    </w:p>
    <w:p w14:paraId="1AD88F50" w14:textId="26A55A74" w:rsidR="00B6556B" w:rsidRPr="005F711F" w:rsidRDefault="009A2B83" w:rsidP="009A2B83">
      <w:pPr>
        <w:pStyle w:val="enumlev1"/>
      </w:pPr>
      <w:r>
        <w:rPr>
          <w:rFonts w:eastAsia="SimSun" w:cs="Calibri"/>
          <w:sz w:val="22"/>
        </w:rPr>
        <w:t>–</w:t>
      </w:r>
      <w:r w:rsidR="00E12677" w:rsidRPr="005F711F">
        <w:rPr>
          <w:rFonts w:eastAsia="SimSun" w:cs="Calibri"/>
          <w:sz w:val="22"/>
        </w:rPr>
        <w:tab/>
      </w:r>
      <w:r w:rsidR="00B6556B" w:rsidRPr="005F711F">
        <w:t>Percentage of e-waste formally collected and recycled</w:t>
      </w:r>
    </w:p>
    <w:p w14:paraId="00FEA3EB" w14:textId="57B04324" w:rsidR="00B6556B" w:rsidRDefault="009A2B83" w:rsidP="009A2B83">
      <w:pPr>
        <w:pStyle w:val="enumlev1"/>
      </w:pPr>
      <w:r>
        <w:rPr>
          <w:rFonts w:eastAsia="SimSun" w:cs="Calibri"/>
          <w:sz w:val="22"/>
        </w:rPr>
        <w:t>–</w:t>
      </w:r>
      <w:r w:rsidR="00E12677" w:rsidRPr="005F711F">
        <w:rPr>
          <w:rFonts w:eastAsia="SimSun" w:cs="Calibri"/>
          <w:sz w:val="22"/>
        </w:rPr>
        <w:tab/>
      </w:r>
      <w:r w:rsidR="00B6556B" w:rsidRPr="005F711F">
        <w:t xml:space="preserve">Greenhouse gas emissions from the ICT sector (methodology to be confirmed with ITU Environment </w:t>
      </w:r>
      <w:r w:rsidR="00127076">
        <w:t>T</w:t>
      </w:r>
      <w:r w:rsidR="00B6556B" w:rsidRPr="005F711F">
        <w:t>eam)</w:t>
      </w:r>
      <w:r w:rsidR="00B851AB">
        <w:t>.</w:t>
      </w:r>
    </w:p>
    <w:p w14:paraId="2C1BB2F4" w14:textId="77777777" w:rsidR="00B851AB" w:rsidRDefault="00B851AB" w:rsidP="009A2B83">
      <w:pPr>
        <w:pStyle w:val="enumlev1"/>
      </w:pPr>
    </w:p>
    <w:p w14:paraId="1C785A0E" w14:textId="77777777" w:rsidR="00B6556B" w:rsidRDefault="00B6556B">
      <w:pPr>
        <w:jc w:val="center"/>
      </w:pPr>
      <w:r>
        <w:t>______________</w:t>
      </w:r>
    </w:p>
    <w:bookmarkEnd w:id="5"/>
    <w:bookmarkEnd w:id="10"/>
    <w:sectPr w:rsidR="00B6556B" w:rsidSect="00AD3606">
      <w:headerReference w:type="even" r:id="rId17"/>
      <w:headerReference w:type="default" r:id="rId18"/>
      <w:footerReference w:type="even" r:id="rId19"/>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E2C35" w14:textId="77777777" w:rsidR="004016E2" w:rsidRDefault="004016E2">
      <w:r>
        <w:separator/>
      </w:r>
    </w:p>
  </w:endnote>
  <w:endnote w:type="continuationSeparator" w:id="0">
    <w:p w14:paraId="6CE43B23"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4A9C" w14:textId="77777777" w:rsidR="008166D8" w:rsidRDefault="00816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46425A"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73445D46" w:rsidR="00EE49E8" w:rsidRPr="00A75CC3" w:rsidRDefault="00EE49E8" w:rsidP="00A52C84">
          <w:pPr>
            <w:pStyle w:val="Header"/>
            <w:tabs>
              <w:tab w:val="left" w:pos="6028"/>
              <w:tab w:val="right" w:pos="8505"/>
              <w:tab w:val="right" w:pos="9639"/>
            </w:tabs>
            <w:jc w:val="left"/>
            <w:rPr>
              <w:rFonts w:ascii="Arial" w:hAnsi="Arial" w:cs="Arial"/>
              <w:b/>
              <w:bCs/>
              <w:szCs w:val="18"/>
              <w:lang w:val="es-ES"/>
            </w:rPr>
          </w:pPr>
          <w:r>
            <w:rPr>
              <w:bCs/>
            </w:rPr>
            <w:tab/>
          </w:r>
          <w:proofErr w:type="spellStart"/>
          <w:r w:rsidR="00A52C84" w:rsidRPr="00A75CC3">
            <w:rPr>
              <w:bCs/>
              <w:lang w:val="es-ES"/>
            </w:rPr>
            <w:t>CWG</w:t>
          </w:r>
          <w:proofErr w:type="spellEnd"/>
          <w:r w:rsidR="00A52C84" w:rsidRPr="00A75CC3">
            <w:rPr>
              <w:bCs/>
              <w:lang w:val="es-ES"/>
            </w:rPr>
            <w:t>-</w:t>
          </w:r>
          <w:proofErr w:type="spellStart"/>
          <w:r w:rsidR="00640688" w:rsidRPr="00A75CC3">
            <w:rPr>
              <w:bCs/>
              <w:lang w:val="es-ES"/>
            </w:rPr>
            <w:t>SFP</w:t>
          </w:r>
          <w:proofErr w:type="spellEnd"/>
          <w:r w:rsidR="00640688" w:rsidRPr="00A75CC3">
            <w:rPr>
              <w:bCs/>
              <w:lang w:val="es-ES"/>
            </w:rPr>
            <w:t>-</w:t>
          </w:r>
          <w:r w:rsidR="00A75CC3">
            <w:rPr>
              <w:bCs/>
              <w:lang w:val="es-ES"/>
            </w:rPr>
            <w:t>4</w:t>
          </w:r>
          <w:r w:rsidR="00A52C84" w:rsidRPr="00A75CC3">
            <w:rPr>
              <w:bCs/>
              <w:lang w:val="es-ES"/>
            </w:rPr>
            <w:t>/</w:t>
          </w:r>
          <w:r w:rsidR="00273D16" w:rsidRPr="00A75CC3">
            <w:rPr>
              <w:bCs/>
              <w:lang w:val="es-ES"/>
            </w:rPr>
            <w:t>INF/</w:t>
          </w:r>
          <w:r w:rsidR="00B6556B">
            <w:rPr>
              <w:bCs/>
              <w:lang w:val="es-ES"/>
            </w:rPr>
            <w:t>1</w:t>
          </w:r>
          <w:r w:rsidR="00A52C84" w:rsidRPr="00A75CC3">
            <w:rPr>
              <w:bCs/>
              <w:lang w:val="es-ES"/>
            </w:rPr>
            <w:t>-E</w:t>
          </w:r>
          <w:r w:rsidRPr="00A75CC3">
            <w:rPr>
              <w:bCs/>
              <w:lang w:val="es-ES"/>
            </w:rPr>
            <w:tab/>
          </w:r>
          <w:r>
            <w:fldChar w:fldCharType="begin"/>
          </w:r>
          <w:r w:rsidRPr="00A75CC3">
            <w:rPr>
              <w:lang w:val="es-ES"/>
            </w:rPr>
            <w:instrText>PAGE</w:instrText>
          </w:r>
          <w:r>
            <w:fldChar w:fldCharType="separate"/>
          </w:r>
          <w:r w:rsidRPr="00A75CC3">
            <w:rPr>
              <w:lang w:val="es-ES"/>
            </w:rPr>
            <w:t>1</w:t>
          </w:r>
          <w:r>
            <w:rPr>
              <w:noProof/>
            </w:rPr>
            <w:fldChar w:fldCharType="end"/>
          </w:r>
        </w:p>
      </w:tc>
    </w:tr>
  </w:tbl>
  <w:p w14:paraId="44006CCE" w14:textId="77777777" w:rsidR="00EE49E8" w:rsidRPr="00A75CC3" w:rsidRDefault="00EE49E8" w:rsidP="00EE49E8">
    <w:pPr>
      <w:pStyle w:val="Header"/>
      <w:tabs>
        <w:tab w:val="left" w:pos="8080"/>
        <w:tab w:val="right" w:pos="9072"/>
      </w:tabs>
      <w:jc w:val="lef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46425A" w14:paraId="4F588A4C" w14:textId="77777777" w:rsidTr="00A52C84">
      <w:trPr>
        <w:jc w:val="center"/>
      </w:trPr>
      <w:tc>
        <w:tcPr>
          <w:tcW w:w="3107" w:type="dxa"/>
          <w:vAlign w:val="center"/>
        </w:tcPr>
        <w:p w14:paraId="4E7A2825" w14:textId="0A5D3D5C" w:rsidR="00EE49E8" w:rsidRDefault="00A52C84" w:rsidP="00EE49E8">
          <w:pPr>
            <w:pStyle w:val="Header"/>
            <w:jc w:val="left"/>
            <w:rPr>
              <w:noProof/>
            </w:rPr>
          </w:pPr>
          <w:hyperlink r:id="rId1" w:history="1">
            <w:proofErr w:type="spellStart"/>
            <w:r w:rsidRPr="00A75CC3">
              <w:rPr>
                <w:rStyle w:val="Hyperlink"/>
              </w:rPr>
              <w:t>council.itu.int</w:t>
            </w:r>
            <w:proofErr w:type="spellEnd"/>
            <w:r w:rsidRPr="00A75CC3">
              <w:rPr>
                <w:rStyle w:val="Hyperlink"/>
              </w:rPr>
              <w:t>/working-groups</w:t>
            </w:r>
          </w:hyperlink>
        </w:p>
      </w:tc>
      <w:tc>
        <w:tcPr>
          <w:tcW w:w="6957" w:type="dxa"/>
        </w:tcPr>
        <w:p w14:paraId="3F62E0D8" w14:textId="38996F30" w:rsidR="00EE49E8" w:rsidRPr="00A75CC3" w:rsidRDefault="00EE49E8" w:rsidP="00A52C84">
          <w:pPr>
            <w:pStyle w:val="Header"/>
            <w:tabs>
              <w:tab w:val="left" w:pos="4718"/>
              <w:tab w:val="right" w:pos="8505"/>
              <w:tab w:val="right" w:pos="9639"/>
            </w:tabs>
            <w:jc w:val="left"/>
            <w:rPr>
              <w:rFonts w:ascii="Arial" w:hAnsi="Arial" w:cs="Arial"/>
              <w:b/>
              <w:bCs/>
              <w:szCs w:val="18"/>
              <w:lang w:val="es-ES"/>
            </w:rPr>
          </w:pPr>
          <w:r>
            <w:rPr>
              <w:bCs/>
            </w:rPr>
            <w:tab/>
          </w:r>
          <w:proofErr w:type="spellStart"/>
          <w:r w:rsidRPr="00A75CC3">
            <w:rPr>
              <w:bCs/>
              <w:lang w:val="es-ES"/>
            </w:rPr>
            <w:t>C</w:t>
          </w:r>
          <w:r w:rsidR="00A52C84" w:rsidRPr="00A75CC3">
            <w:rPr>
              <w:bCs/>
              <w:lang w:val="es-ES"/>
            </w:rPr>
            <w:t>WG</w:t>
          </w:r>
          <w:proofErr w:type="spellEnd"/>
          <w:r w:rsidR="00A52C84" w:rsidRPr="00A75CC3">
            <w:rPr>
              <w:bCs/>
              <w:lang w:val="es-ES"/>
            </w:rPr>
            <w:t>-</w:t>
          </w:r>
          <w:proofErr w:type="spellStart"/>
          <w:r w:rsidR="00640688" w:rsidRPr="00A75CC3">
            <w:rPr>
              <w:bCs/>
              <w:lang w:val="es-ES"/>
            </w:rPr>
            <w:t>SFP</w:t>
          </w:r>
          <w:proofErr w:type="spellEnd"/>
          <w:r w:rsidR="00640688" w:rsidRPr="00A75CC3">
            <w:rPr>
              <w:bCs/>
              <w:lang w:val="es-ES"/>
            </w:rPr>
            <w:t>-</w:t>
          </w:r>
          <w:r w:rsidR="00A75CC3">
            <w:rPr>
              <w:bCs/>
              <w:lang w:val="es-ES"/>
            </w:rPr>
            <w:t>4</w:t>
          </w:r>
          <w:r w:rsidRPr="00A75CC3">
            <w:rPr>
              <w:bCs/>
              <w:lang w:val="es-ES"/>
            </w:rPr>
            <w:t>/</w:t>
          </w:r>
          <w:r w:rsidR="00273D16" w:rsidRPr="00A75CC3">
            <w:rPr>
              <w:bCs/>
              <w:lang w:val="es-ES"/>
            </w:rPr>
            <w:t>INF/</w:t>
          </w:r>
          <w:r w:rsidR="00B6556B">
            <w:rPr>
              <w:bCs/>
              <w:lang w:val="es-ES"/>
            </w:rPr>
            <w:t>1</w:t>
          </w:r>
          <w:r w:rsidRPr="00A75CC3">
            <w:rPr>
              <w:bCs/>
              <w:lang w:val="es-ES"/>
            </w:rPr>
            <w:t>-E</w:t>
          </w:r>
          <w:r w:rsidRPr="00A75CC3">
            <w:rPr>
              <w:bCs/>
              <w:lang w:val="es-ES"/>
            </w:rPr>
            <w:tab/>
          </w:r>
          <w:r>
            <w:fldChar w:fldCharType="begin"/>
          </w:r>
          <w:r w:rsidRPr="00A75CC3">
            <w:rPr>
              <w:lang w:val="es-ES"/>
            </w:rPr>
            <w:instrText>PAGE</w:instrText>
          </w:r>
          <w:r>
            <w:fldChar w:fldCharType="separate"/>
          </w:r>
          <w:r w:rsidRPr="00A75CC3">
            <w:rPr>
              <w:lang w:val="es-ES"/>
            </w:rPr>
            <w:t>1</w:t>
          </w:r>
          <w:r>
            <w:rPr>
              <w:noProof/>
            </w:rPr>
            <w:fldChar w:fldCharType="end"/>
          </w:r>
        </w:p>
      </w:tc>
    </w:tr>
  </w:tbl>
  <w:p w14:paraId="12BE588F" w14:textId="77777777" w:rsidR="00A514A4" w:rsidRPr="00A75CC3"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0B69" w14:textId="77777777" w:rsidR="004016E2" w:rsidRDefault="004016E2">
      <w:r>
        <w:t>____________________</w:t>
      </w:r>
    </w:p>
  </w:footnote>
  <w:footnote w:type="continuationSeparator" w:id="0">
    <w:p w14:paraId="3A387E86"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3419" w14:textId="77777777" w:rsidR="008166D8" w:rsidRDefault="00816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523A" w14:textId="77777777" w:rsidR="008166D8" w:rsidRDefault="00816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5F5BC24B"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A75CC3">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8166D8">
                            <w:rPr>
                              <w:sz w:val="20"/>
                            </w:rPr>
                            <w:t xml:space="preserve">12 </w:t>
                          </w:r>
                          <w:r w:rsidR="00640688">
                            <w:rPr>
                              <w:sz w:val="20"/>
                            </w:rPr>
                            <w:t xml:space="preserve">to </w:t>
                          </w:r>
                          <w:r w:rsidR="008166D8">
                            <w:rPr>
                              <w:sz w:val="20"/>
                            </w:rPr>
                            <w:t xml:space="preserve">14 </w:t>
                          </w:r>
                          <w:r w:rsidR="007C274F">
                            <w:rPr>
                              <w:sz w:val="20"/>
                            </w:rPr>
                            <w:t xml:space="preserve">(a.m.) </w:t>
                          </w:r>
                          <w:r w:rsidR="00A75CC3">
                            <w:rPr>
                              <w:sz w:val="20"/>
                            </w:rPr>
                            <w:t xml:space="preserve">January </w:t>
                          </w:r>
                          <w:r w:rsidR="00E03C3D">
                            <w:rPr>
                              <w:sz w:val="20"/>
                            </w:rPr>
                            <w:t>202</w:t>
                          </w:r>
                          <w:r w:rsidR="00A75CC3">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5F5BC24B"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A75CC3">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8166D8">
                      <w:rPr>
                        <w:sz w:val="20"/>
                      </w:rPr>
                      <w:t xml:space="preserve">12 </w:t>
                    </w:r>
                    <w:r w:rsidR="00640688">
                      <w:rPr>
                        <w:sz w:val="20"/>
                      </w:rPr>
                      <w:t xml:space="preserve">to </w:t>
                    </w:r>
                    <w:r w:rsidR="008166D8">
                      <w:rPr>
                        <w:sz w:val="20"/>
                      </w:rPr>
                      <w:t xml:space="preserve">14 </w:t>
                    </w:r>
                    <w:r w:rsidR="007C274F">
                      <w:rPr>
                        <w:sz w:val="20"/>
                      </w:rPr>
                      <w:t xml:space="preserve">(a.m.) </w:t>
                    </w:r>
                    <w:r w:rsidR="00A75CC3">
                      <w:rPr>
                        <w:sz w:val="20"/>
                      </w:rPr>
                      <w:t xml:space="preserve">January </w:t>
                    </w:r>
                    <w:r w:rsidR="00E03C3D">
                      <w:rPr>
                        <w:sz w:val="20"/>
                      </w:rPr>
                      <w:t>202</w:t>
                    </w:r>
                    <w:r w:rsidR="00A75CC3">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850E0"/>
    <w:multiLevelType w:val="multilevel"/>
    <w:tmpl w:val="C7CEAAB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6400319"/>
    <w:multiLevelType w:val="hybridMultilevel"/>
    <w:tmpl w:val="1D34C8D0"/>
    <w:lvl w:ilvl="0" w:tplc="1A80F4C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B50B3"/>
    <w:multiLevelType w:val="hybridMultilevel"/>
    <w:tmpl w:val="80CEED3A"/>
    <w:lvl w:ilvl="0" w:tplc="0809000F">
      <w:start w:val="1"/>
      <w:numFmt w:val="decimal"/>
      <w:lvlText w:val="%1."/>
      <w:lvlJc w:val="left"/>
      <w:pPr>
        <w:ind w:left="720" w:hanging="360"/>
      </w:pPr>
      <w:rPr>
        <w:rFonts w:hint="default"/>
      </w:rPr>
    </w:lvl>
    <w:lvl w:ilvl="1" w:tplc="4D726CE6">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AB567B"/>
    <w:multiLevelType w:val="hybridMultilevel"/>
    <w:tmpl w:val="EB18928C"/>
    <w:lvl w:ilvl="0" w:tplc="A6C4265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176267841">
    <w:abstractNumId w:val="3"/>
  </w:num>
  <w:num w:numId="3" w16cid:durableId="1956790177">
    <w:abstractNumId w:val="1"/>
  </w:num>
  <w:num w:numId="4" w16cid:durableId="973564867">
    <w:abstractNumId w:val="4"/>
  </w:num>
  <w:num w:numId="5" w16cid:durableId="491801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0B64"/>
    <w:rsid w:val="000143F4"/>
    <w:rsid w:val="00015940"/>
    <w:rsid w:val="000210D4"/>
    <w:rsid w:val="00041193"/>
    <w:rsid w:val="00063016"/>
    <w:rsid w:val="00066795"/>
    <w:rsid w:val="000708C3"/>
    <w:rsid w:val="00076AF6"/>
    <w:rsid w:val="00085CF2"/>
    <w:rsid w:val="000B1705"/>
    <w:rsid w:val="000D75B2"/>
    <w:rsid w:val="001121F5"/>
    <w:rsid w:val="00127076"/>
    <w:rsid w:val="00130599"/>
    <w:rsid w:val="001400DC"/>
    <w:rsid w:val="00140CE1"/>
    <w:rsid w:val="001751FF"/>
    <w:rsid w:val="0017539C"/>
    <w:rsid w:val="00175AC2"/>
    <w:rsid w:val="0017609F"/>
    <w:rsid w:val="0019628A"/>
    <w:rsid w:val="00196C33"/>
    <w:rsid w:val="001A72C5"/>
    <w:rsid w:val="001A7D1D"/>
    <w:rsid w:val="001B51DD"/>
    <w:rsid w:val="001C048D"/>
    <w:rsid w:val="001C628E"/>
    <w:rsid w:val="001E0F7B"/>
    <w:rsid w:val="001E0FBE"/>
    <w:rsid w:val="001E41BE"/>
    <w:rsid w:val="001E4B85"/>
    <w:rsid w:val="002119FD"/>
    <w:rsid w:val="002130E0"/>
    <w:rsid w:val="00215A2C"/>
    <w:rsid w:val="002404ED"/>
    <w:rsid w:val="00244F7F"/>
    <w:rsid w:val="00260ACE"/>
    <w:rsid w:val="00264425"/>
    <w:rsid w:val="00265875"/>
    <w:rsid w:val="0027303B"/>
    <w:rsid w:val="00273D16"/>
    <w:rsid w:val="0028109B"/>
    <w:rsid w:val="002A2188"/>
    <w:rsid w:val="002B1F58"/>
    <w:rsid w:val="002C1C7A"/>
    <w:rsid w:val="002C54E2"/>
    <w:rsid w:val="0030160F"/>
    <w:rsid w:val="00320223"/>
    <w:rsid w:val="00322D0D"/>
    <w:rsid w:val="00361465"/>
    <w:rsid w:val="0037753B"/>
    <w:rsid w:val="003877F5"/>
    <w:rsid w:val="003942D4"/>
    <w:rsid w:val="003958A8"/>
    <w:rsid w:val="003C15FA"/>
    <w:rsid w:val="003C2533"/>
    <w:rsid w:val="003D55B9"/>
    <w:rsid w:val="003D5A7F"/>
    <w:rsid w:val="003D6EA5"/>
    <w:rsid w:val="004016E2"/>
    <w:rsid w:val="0040435A"/>
    <w:rsid w:val="00416A24"/>
    <w:rsid w:val="00431D9E"/>
    <w:rsid w:val="00433CE8"/>
    <w:rsid w:val="00434A5C"/>
    <w:rsid w:val="004544D9"/>
    <w:rsid w:val="0046425A"/>
    <w:rsid w:val="00472BAD"/>
    <w:rsid w:val="004769FB"/>
    <w:rsid w:val="00484009"/>
    <w:rsid w:val="00490E72"/>
    <w:rsid w:val="00491157"/>
    <w:rsid w:val="004921C8"/>
    <w:rsid w:val="004956ED"/>
    <w:rsid w:val="00495B0B"/>
    <w:rsid w:val="004A1B8B"/>
    <w:rsid w:val="004D1851"/>
    <w:rsid w:val="004D599D"/>
    <w:rsid w:val="004E2037"/>
    <w:rsid w:val="004E2EA5"/>
    <w:rsid w:val="004E3AEB"/>
    <w:rsid w:val="004F1111"/>
    <w:rsid w:val="0050223C"/>
    <w:rsid w:val="005243FF"/>
    <w:rsid w:val="00564FBC"/>
    <w:rsid w:val="005800BC"/>
    <w:rsid w:val="00582442"/>
    <w:rsid w:val="00587C1B"/>
    <w:rsid w:val="005A335D"/>
    <w:rsid w:val="005E2BD5"/>
    <w:rsid w:val="005E79C5"/>
    <w:rsid w:val="005F3269"/>
    <w:rsid w:val="00607CDD"/>
    <w:rsid w:val="00623AE3"/>
    <w:rsid w:val="00634501"/>
    <w:rsid w:val="00640688"/>
    <w:rsid w:val="0064737F"/>
    <w:rsid w:val="006535F1"/>
    <w:rsid w:val="0065557D"/>
    <w:rsid w:val="00660D50"/>
    <w:rsid w:val="00662984"/>
    <w:rsid w:val="006716BB"/>
    <w:rsid w:val="00676C7D"/>
    <w:rsid w:val="00677D34"/>
    <w:rsid w:val="006B1859"/>
    <w:rsid w:val="006B6680"/>
    <w:rsid w:val="006B6DCC"/>
    <w:rsid w:val="00702DEF"/>
    <w:rsid w:val="00706861"/>
    <w:rsid w:val="00722C25"/>
    <w:rsid w:val="0075051B"/>
    <w:rsid w:val="00775655"/>
    <w:rsid w:val="00793188"/>
    <w:rsid w:val="00794D34"/>
    <w:rsid w:val="007A01A3"/>
    <w:rsid w:val="007A4F24"/>
    <w:rsid w:val="007C274F"/>
    <w:rsid w:val="007E3591"/>
    <w:rsid w:val="00813E5E"/>
    <w:rsid w:val="008166D8"/>
    <w:rsid w:val="0083581B"/>
    <w:rsid w:val="00863874"/>
    <w:rsid w:val="00864AFF"/>
    <w:rsid w:val="00865925"/>
    <w:rsid w:val="00891503"/>
    <w:rsid w:val="008964B4"/>
    <w:rsid w:val="008B4A6A"/>
    <w:rsid w:val="008C7E27"/>
    <w:rsid w:val="008F7448"/>
    <w:rsid w:val="0090147A"/>
    <w:rsid w:val="009173EF"/>
    <w:rsid w:val="009255A2"/>
    <w:rsid w:val="00932906"/>
    <w:rsid w:val="00961B0B"/>
    <w:rsid w:val="00962D33"/>
    <w:rsid w:val="00965A78"/>
    <w:rsid w:val="00971C28"/>
    <w:rsid w:val="009A2B83"/>
    <w:rsid w:val="009A58B4"/>
    <w:rsid w:val="009B2D4B"/>
    <w:rsid w:val="009B38C3"/>
    <w:rsid w:val="009B4345"/>
    <w:rsid w:val="009C253A"/>
    <w:rsid w:val="009E17BD"/>
    <w:rsid w:val="009E485A"/>
    <w:rsid w:val="009E65FA"/>
    <w:rsid w:val="009F347C"/>
    <w:rsid w:val="00A04CEC"/>
    <w:rsid w:val="00A27F92"/>
    <w:rsid w:val="00A32257"/>
    <w:rsid w:val="00A34664"/>
    <w:rsid w:val="00A36D20"/>
    <w:rsid w:val="00A467DF"/>
    <w:rsid w:val="00A514A4"/>
    <w:rsid w:val="00A52C84"/>
    <w:rsid w:val="00A55622"/>
    <w:rsid w:val="00A75CC3"/>
    <w:rsid w:val="00A77C5E"/>
    <w:rsid w:val="00A83502"/>
    <w:rsid w:val="00A94376"/>
    <w:rsid w:val="00AD15B3"/>
    <w:rsid w:val="00AD3606"/>
    <w:rsid w:val="00AD4A3D"/>
    <w:rsid w:val="00AF6E49"/>
    <w:rsid w:val="00B04A67"/>
    <w:rsid w:val="00B04C13"/>
    <w:rsid w:val="00B0583C"/>
    <w:rsid w:val="00B13D3F"/>
    <w:rsid w:val="00B358B2"/>
    <w:rsid w:val="00B40A81"/>
    <w:rsid w:val="00B44910"/>
    <w:rsid w:val="00B6556B"/>
    <w:rsid w:val="00B72267"/>
    <w:rsid w:val="00B76EB6"/>
    <w:rsid w:val="00B7737B"/>
    <w:rsid w:val="00B824C8"/>
    <w:rsid w:val="00B84B11"/>
    <w:rsid w:val="00B84B9D"/>
    <w:rsid w:val="00B851AB"/>
    <w:rsid w:val="00BB0217"/>
    <w:rsid w:val="00BB2EC4"/>
    <w:rsid w:val="00BC251A"/>
    <w:rsid w:val="00BD032B"/>
    <w:rsid w:val="00BD1693"/>
    <w:rsid w:val="00BD6503"/>
    <w:rsid w:val="00BE2640"/>
    <w:rsid w:val="00C01189"/>
    <w:rsid w:val="00C12643"/>
    <w:rsid w:val="00C374DE"/>
    <w:rsid w:val="00C47AD4"/>
    <w:rsid w:val="00C52D81"/>
    <w:rsid w:val="00C55198"/>
    <w:rsid w:val="00CA6393"/>
    <w:rsid w:val="00CA7CB8"/>
    <w:rsid w:val="00CB18FF"/>
    <w:rsid w:val="00CD0C08"/>
    <w:rsid w:val="00CE03FB"/>
    <w:rsid w:val="00CE433C"/>
    <w:rsid w:val="00CF0161"/>
    <w:rsid w:val="00CF33F3"/>
    <w:rsid w:val="00D06183"/>
    <w:rsid w:val="00D22C42"/>
    <w:rsid w:val="00D464CC"/>
    <w:rsid w:val="00D53C61"/>
    <w:rsid w:val="00D65041"/>
    <w:rsid w:val="00DB00D5"/>
    <w:rsid w:val="00DB1936"/>
    <w:rsid w:val="00DB384B"/>
    <w:rsid w:val="00DF0189"/>
    <w:rsid w:val="00E03C3D"/>
    <w:rsid w:val="00E06FD5"/>
    <w:rsid w:val="00E10E80"/>
    <w:rsid w:val="00E124F0"/>
    <w:rsid w:val="00E12677"/>
    <w:rsid w:val="00E227F3"/>
    <w:rsid w:val="00E545C6"/>
    <w:rsid w:val="00E60F04"/>
    <w:rsid w:val="00E65B24"/>
    <w:rsid w:val="00E854E4"/>
    <w:rsid w:val="00E86DBF"/>
    <w:rsid w:val="00EB0D6F"/>
    <w:rsid w:val="00EB2232"/>
    <w:rsid w:val="00EC5337"/>
    <w:rsid w:val="00ED454D"/>
    <w:rsid w:val="00EE49E8"/>
    <w:rsid w:val="00F01BE5"/>
    <w:rsid w:val="00F16BAB"/>
    <w:rsid w:val="00F2150A"/>
    <w:rsid w:val="00F231D8"/>
    <w:rsid w:val="00F264CE"/>
    <w:rsid w:val="00F42532"/>
    <w:rsid w:val="00F44C00"/>
    <w:rsid w:val="00F45D2C"/>
    <w:rsid w:val="00F46C5F"/>
    <w:rsid w:val="00F632C0"/>
    <w:rsid w:val="00F74694"/>
    <w:rsid w:val="00F94A63"/>
    <w:rsid w:val="00FA1C28"/>
    <w:rsid w:val="00FB1279"/>
    <w:rsid w:val="00FB6B76"/>
    <w:rsid w:val="00FB7596"/>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8B30F574-9D12-4153-87DF-389BA546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1E41BE"/>
    <w:pPr>
      <w:keepNext/>
      <w:keepLines/>
      <w:spacing w:before="360"/>
      <w:ind w:left="567" w:hanging="567"/>
      <w:outlineLvl w:val="0"/>
    </w:pPr>
    <w:rPr>
      <w:b/>
      <w:sz w:val="28"/>
    </w:rPr>
  </w:style>
  <w:style w:type="paragraph" w:styleId="Heading2">
    <w:name w:val="heading 2"/>
    <w:basedOn w:val="Heading1"/>
    <w:next w:val="Normal"/>
    <w:qFormat/>
    <w:rsid w:val="001E41BE"/>
    <w:pPr>
      <w:spacing w:before="240"/>
      <w:outlineLvl w:val="1"/>
    </w:pPr>
    <w:rPr>
      <w:rFonts w:ascii="Aptos" w:hAnsi="Aptos"/>
      <w:sz w:val="22"/>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851AB"/>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5E79C5"/>
    <w:rPr>
      <w:color w:val="666666"/>
    </w:rPr>
  </w:style>
  <w:style w:type="paragraph" w:styleId="ListParagraph">
    <w:name w:val="List Paragraph"/>
    <w:basedOn w:val="Normal"/>
    <w:uiPriority w:val="34"/>
    <w:qFormat/>
    <w:rsid w:val="00B6556B"/>
    <w:pPr>
      <w:ind w:left="720"/>
      <w:contextualSpacing/>
    </w:pPr>
    <w:rPr>
      <w:rFonts w:ascii="Aptos" w:hAnsi="Aptos"/>
      <w:sz w:val="22"/>
    </w:rPr>
  </w:style>
  <w:style w:type="character" w:customStyle="1" w:styleId="normaltextrun">
    <w:name w:val="normaltextrun"/>
    <w:basedOn w:val="DefaultParagraphFont"/>
    <w:rsid w:val="00B6556B"/>
  </w:style>
  <w:style w:type="paragraph" w:customStyle="1" w:styleId="Reasons">
    <w:name w:val="Reasons"/>
    <w:basedOn w:val="Normal"/>
    <w:qFormat/>
    <w:rsid w:val="00B6556B"/>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itu-d/sites/statistic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en/ITU-D/Statistics/Documents/publications/manual/ITU_HHManual_ICTskills_rev202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ITU-D/Statistics/Pages/ICTprices/default.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hub.itu.int/"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8DBFB518-4876-493A-B733-6442E8DB4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05E82-4E2D-4354-8FD2-EC3EA5985133}">
  <ds:schemaRefs>
    <ds:schemaRef ds:uri="http://schemas.microsoft.com/sharepoint/v3/contenttype/forms"/>
  </ds:schemaRefs>
</ds:datastoreItem>
</file>

<file path=customXml/itemProps4.xml><?xml version="1.0" encoding="utf-8"?>
<ds:datastoreItem xmlns:ds="http://schemas.openxmlformats.org/officeDocument/2006/customXml" ds:itemID="{FB9421A5-E5E4-4FA6-B842-958306AA47CD}">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4c22657-7647-457b-a399-8471255bb166"/>
    <ds:schemaRef ds:uri="http://schemas.microsoft.com/office/2006/metadata/properti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2383</Words>
  <Characters>14776</Characters>
  <Application>Microsoft Office Word</Application>
  <DocSecurity>0</DocSecurity>
  <Lines>254</Lines>
  <Paragraphs>136</Paragraphs>
  <ScaleCrop>false</ScaleCrop>
  <HeadingPairs>
    <vt:vector size="2" baseType="variant">
      <vt:variant>
        <vt:lpstr>Title</vt:lpstr>
      </vt:variant>
      <vt:variant>
        <vt:i4>1</vt:i4>
      </vt:variant>
    </vt:vector>
  </HeadingPairs>
  <TitlesOfParts>
    <vt:vector size="1" baseType="lpstr">
      <vt:lpstr>Assessment of strategic plan targets and target indicators</vt:lpstr>
    </vt:vector>
  </TitlesOfParts>
  <Manager/>
  <Company/>
  <LinksUpToDate>false</LinksUpToDate>
  <CharactersWithSpaces>17023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strategic plan targets and target indicators</dc:title>
  <dc:subject>ITU Council Working Group on Financial and Human Resources</dc:subject>
  <dc:creator/>
  <cp:keywords>CWG-SFP; Council-26; C26</cp:keywords>
  <dc:description/>
  <dcterms:created xsi:type="dcterms:W3CDTF">2025-12-02T08:54:00Z</dcterms:created>
  <dcterms:modified xsi:type="dcterms:W3CDTF">2025-12-11T14:52:00Z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837e6e69-210b-4a19-9e8d-ff0a171d6aeb</vt:lpwstr>
  </property>
  <property fmtid="{D5CDD505-2E9C-101B-9397-08002B2CF9AE}" pid="3" name="ContentTypeId">
    <vt:lpwstr>0x010100814E447ED7B9DA4C9F10BB2808D9DCA9</vt:lpwstr>
  </property>
  <property fmtid="{D5CDD505-2E9C-101B-9397-08002B2CF9AE}" pid="4" name="docLang">
    <vt:lpwstr>en</vt:lpwstr>
  </property>
</Properties>
</file>