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2752FB"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721565EB" w:rsidR="00AD3606" w:rsidRPr="002752FB" w:rsidRDefault="00AD3606" w:rsidP="00472BAD">
            <w:pPr>
              <w:tabs>
                <w:tab w:val="left" w:pos="851"/>
              </w:tabs>
              <w:spacing w:before="0" w:line="240" w:lineRule="atLeast"/>
              <w:jc w:val="right"/>
              <w:rPr>
                <w:b/>
                <w:lang w:val="it-IT"/>
              </w:rPr>
            </w:pPr>
            <w:r w:rsidRPr="002752FB">
              <w:rPr>
                <w:b/>
                <w:lang w:val="it-IT"/>
              </w:rPr>
              <w:t>Document C</w:t>
            </w:r>
            <w:r w:rsidR="00A52C84" w:rsidRPr="002752FB">
              <w:rPr>
                <w:b/>
                <w:lang w:val="it-IT"/>
              </w:rPr>
              <w:t>WG-</w:t>
            </w:r>
            <w:r w:rsidR="00F264CE" w:rsidRPr="002752FB">
              <w:rPr>
                <w:b/>
                <w:lang w:val="it-IT"/>
              </w:rPr>
              <w:t>SFP-</w:t>
            </w:r>
            <w:r w:rsidR="00196060" w:rsidRPr="002752FB">
              <w:rPr>
                <w:b/>
                <w:lang w:val="it-IT"/>
              </w:rPr>
              <w:t>4</w:t>
            </w:r>
            <w:r w:rsidRPr="002752FB">
              <w:rPr>
                <w:b/>
                <w:lang w:val="it-IT"/>
              </w:rPr>
              <w:t>/</w:t>
            </w:r>
            <w:r w:rsidR="00805478">
              <w:rPr>
                <w:b/>
                <w:lang w:val="it-IT"/>
              </w:rPr>
              <w:t>14</w:t>
            </w:r>
          </w:p>
        </w:tc>
      </w:tr>
      <w:tr w:rsidR="00AD3606" w:rsidRPr="002752FB" w14:paraId="789B45BA" w14:textId="77777777" w:rsidTr="00AD3606">
        <w:trPr>
          <w:cantSplit/>
        </w:trPr>
        <w:tc>
          <w:tcPr>
            <w:tcW w:w="3969" w:type="dxa"/>
            <w:vMerge/>
          </w:tcPr>
          <w:p w14:paraId="3F3D4E17" w14:textId="77777777" w:rsidR="00AD3606" w:rsidRPr="002752F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10EE13C0" w:rsidR="00AD3606" w:rsidRPr="002752FB" w:rsidRDefault="00805478" w:rsidP="00AD3606">
            <w:pPr>
              <w:tabs>
                <w:tab w:val="left" w:pos="851"/>
              </w:tabs>
              <w:spacing w:before="0"/>
              <w:jc w:val="right"/>
              <w:rPr>
                <w:b/>
              </w:rPr>
            </w:pPr>
            <w:r>
              <w:rPr>
                <w:b/>
              </w:rPr>
              <w:t>31 December 2025</w:t>
            </w:r>
          </w:p>
        </w:tc>
      </w:tr>
      <w:tr w:rsidR="00AD3606" w:rsidRPr="002752FB" w14:paraId="58A84C4A" w14:textId="77777777" w:rsidTr="00AD3606">
        <w:trPr>
          <w:cantSplit/>
          <w:trHeight w:val="23"/>
        </w:trPr>
        <w:tc>
          <w:tcPr>
            <w:tcW w:w="3969" w:type="dxa"/>
            <w:vMerge/>
          </w:tcPr>
          <w:p w14:paraId="77CEDDAA" w14:textId="77777777" w:rsidR="00AD3606" w:rsidRPr="002752FB"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2752FB" w:rsidRDefault="00891503" w:rsidP="00AD3606">
            <w:pPr>
              <w:tabs>
                <w:tab w:val="left" w:pos="851"/>
              </w:tabs>
              <w:spacing w:before="0" w:line="240" w:lineRule="atLeast"/>
              <w:jc w:val="right"/>
              <w:rPr>
                <w:b/>
              </w:rPr>
            </w:pPr>
            <w:r w:rsidRPr="002752FB">
              <w:rPr>
                <w:b/>
              </w:rPr>
              <w:t>English</w:t>
            </w:r>
            <w:r w:rsidR="009B2D4B" w:rsidRPr="002752FB">
              <w:rPr>
                <w:b/>
              </w:rPr>
              <w:t xml:space="preserve"> only</w:t>
            </w:r>
          </w:p>
        </w:tc>
      </w:tr>
      <w:tr w:rsidR="00472BAD" w:rsidRPr="002752FB" w14:paraId="12C5EF5F" w14:textId="77777777" w:rsidTr="00AD3606">
        <w:trPr>
          <w:cantSplit/>
          <w:trHeight w:val="23"/>
        </w:trPr>
        <w:tc>
          <w:tcPr>
            <w:tcW w:w="3969" w:type="dxa"/>
          </w:tcPr>
          <w:p w14:paraId="4B839BA2" w14:textId="77777777" w:rsidR="00472BAD" w:rsidRPr="002752FB" w:rsidRDefault="00472BAD" w:rsidP="00AD3606">
            <w:pPr>
              <w:tabs>
                <w:tab w:val="left" w:pos="851"/>
              </w:tabs>
              <w:spacing w:line="240" w:lineRule="atLeast"/>
              <w:rPr>
                <w:b/>
              </w:rPr>
            </w:pPr>
          </w:p>
        </w:tc>
        <w:tc>
          <w:tcPr>
            <w:tcW w:w="5245" w:type="dxa"/>
          </w:tcPr>
          <w:p w14:paraId="12F66D25" w14:textId="77777777" w:rsidR="00472BAD" w:rsidRPr="002752FB" w:rsidRDefault="00472BAD" w:rsidP="00AD3606">
            <w:pPr>
              <w:tabs>
                <w:tab w:val="left" w:pos="851"/>
              </w:tabs>
              <w:spacing w:before="0" w:line="240" w:lineRule="atLeast"/>
              <w:jc w:val="right"/>
              <w:rPr>
                <w:b/>
              </w:rPr>
            </w:pPr>
          </w:p>
        </w:tc>
      </w:tr>
      <w:tr w:rsidR="00AD3606" w:rsidRPr="002752FB" w14:paraId="27000B2A" w14:textId="77777777" w:rsidTr="00AD3606">
        <w:trPr>
          <w:cantSplit/>
        </w:trPr>
        <w:tc>
          <w:tcPr>
            <w:tcW w:w="9214" w:type="dxa"/>
            <w:gridSpan w:val="2"/>
            <w:tcMar>
              <w:left w:w="0" w:type="dxa"/>
            </w:tcMar>
          </w:tcPr>
          <w:p w14:paraId="4E7CDB90" w14:textId="0C478331" w:rsidR="00AD3606" w:rsidRPr="002752FB" w:rsidRDefault="005E413D" w:rsidP="00676C7D">
            <w:pPr>
              <w:pStyle w:val="Source"/>
              <w:framePr w:hSpace="0" w:wrap="auto" w:vAnchor="margin" w:hAnchor="text" w:xAlign="left" w:yAlign="inline"/>
            </w:pPr>
            <w:bookmarkStart w:id="8" w:name="dsource" w:colFirst="0" w:colLast="0"/>
            <w:bookmarkEnd w:id="7"/>
            <w:r w:rsidRPr="002752FB">
              <w:t xml:space="preserve">Contribution by </w:t>
            </w:r>
            <w:r w:rsidR="00805478" w:rsidRPr="00805478">
              <w:t>Australia and Canada</w:t>
            </w:r>
          </w:p>
        </w:tc>
      </w:tr>
      <w:tr w:rsidR="00AD3606" w:rsidRPr="002752FB" w14:paraId="2340750D" w14:textId="77777777" w:rsidTr="00AD3606">
        <w:trPr>
          <w:cantSplit/>
        </w:trPr>
        <w:tc>
          <w:tcPr>
            <w:tcW w:w="9214" w:type="dxa"/>
            <w:gridSpan w:val="2"/>
            <w:tcMar>
              <w:left w:w="0" w:type="dxa"/>
            </w:tcMar>
          </w:tcPr>
          <w:p w14:paraId="47B91AA8" w14:textId="6D0C3234" w:rsidR="00AD3606" w:rsidRPr="002752FB" w:rsidRDefault="00805478" w:rsidP="00805478">
            <w:pPr>
              <w:pStyle w:val="Subtitle"/>
              <w:framePr w:hSpace="0" w:wrap="auto" w:xAlign="left" w:yAlign="inline"/>
            </w:pPr>
            <w:bookmarkStart w:id="9" w:name="dtitle1" w:colFirst="0" w:colLast="0"/>
            <w:bookmarkEnd w:id="8"/>
            <w:r w:rsidRPr="00805478">
              <w:t>MAINTAINING A HIGH-LEVEL AND ENDURING ITU STRATEGIC PLAN (2028-2031)</w:t>
            </w:r>
          </w:p>
        </w:tc>
      </w:tr>
      <w:tr w:rsidR="00AD3606" w:rsidRPr="002752FB"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2752FB" w:rsidRDefault="00F16BAB" w:rsidP="00F16BAB">
            <w:pPr>
              <w:spacing w:before="160"/>
              <w:rPr>
                <w:b/>
                <w:bCs/>
                <w:sz w:val="26"/>
                <w:szCs w:val="26"/>
              </w:rPr>
            </w:pPr>
            <w:r w:rsidRPr="002752FB">
              <w:rPr>
                <w:b/>
                <w:bCs/>
                <w:sz w:val="26"/>
                <w:szCs w:val="26"/>
              </w:rPr>
              <w:t>Purpose</w:t>
            </w:r>
          </w:p>
          <w:p w14:paraId="2E09FE8B" w14:textId="41867795" w:rsidR="00AD3606" w:rsidRPr="002752FB" w:rsidRDefault="00805478" w:rsidP="00F16BAB">
            <w:r w:rsidRPr="00805478">
              <w:t>This contribution sets out Australia and Canada’s views on maintaining a high-level, flexible and enduring ITU Strategic Plan for 2028–2031 that provides clear direction while preserving the Union’s ability to adapt to change.</w:t>
            </w:r>
          </w:p>
          <w:p w14:paraId="5076D5C4" w14:textId="28F00572" w:rsidR="00AD3606" w:rsidRPr="002752FB" w:rsidRDefault="00AD3606" w:rsidP="00F16BAB">
            <w:pPr>
              <w:spacing w:before="160"/>
              <w:rPr>
                <w:b/>
                <w:bCs/>
                <w:sz w:val="26"/>
                <w:szCs w:val="26"/>
              </w:rPr>
            </w:pPr>
            <w:r w:rsidRPr="002752FB">
              <w:rPr>
                <w:b/>
                <w:bCs/>
                <w:sz w:val="26"/>
                <w:szCs w:val="26"/>
              </w:rPr>
              <w:t>Action required</w:t>
            </w:r>
          </w:p>
          <w:p w14:paraId="53A776F1" w14:textId="6EE1CBAD" w:rsidR="00891503" w:rsidRPr="002752FB" w:rsidRDefault="00805478" w:rsidP="00805478">
            <w:pPr>
              <w:spacing w:before="160"/>
            </w:pPr>
            <w:r w:rsidRPr="00805478">
              <w:t xml:space="preserve">The Council Working Group for strategic and financial plans 2028-2031 is invited to </w:t>
            </w:r>
            <w:r w:rsidRPr="00805478">
              <w:rPr>
                <w:b/>
                <w:bCs/>
              </w:rPr>
              <w:t>consider</w:t>
            </w:r>
            <w:r w:rsidRPr="00805478">
              <w:t xml:space="preserve"> this document.</w:t>
            </w:r>
          </w:p>
          <w:p w14:paraId="7E5DB0C5" w14:textId="77777777" w:rsidR="00196060" w:rsidRPr="002752FB" w:rsidRDefault="00196060">
            <w:r w:rsidRPr="002752FB">
              <w:t>_______________</w:t>
            </w:r>
          </w:p>
          <w:p w14:paraId="00DEE14C" w14:textId="3E42D299" w:rsidR="00AD3606" w:rsidRPr="002752FB" w:rsidRDefault="00AD3606" w:rsidP="00F16BAB">
            <w:pPr>
              <w:spacing w:before="160"/>
              <w:rPr>
                <w:b/>
                <w:bCs/>
                <w:i/>
                <w:iCs/>
                <w:sz w:val="26"/>
                <w:szCs w:val="26"/>
              </w:rPr>
            </w:pPr>
            <w:r w:rsidRPr="002752FB">
              <w:rPr>
                <w:b/>
                <w:bCs/>
                <w:sz w:val="26"/>
                <w:szCs w:val="26"/>
              </w:rPr>
              <w:t>References</w:t>
            </w:r>
          </w:p>
          <w:p w14:paraId="0175CD6C" w14:textId="0533BCD6" w:rsidR="00AD3606" w:rsidRPr="002752FB" w:rsidRDefault="00805478" w:rsidP="00805478">
            <w:pPr>
              <w:spacing w:after="160"/>
              <w:rPr>
                <w:i/>
                <w:iCs/>
                <w:sz w:val="22"/>
                <w:szCs w:val="22"/>
              </w:rPr>
            </w:pPr>
            <w:r w:rsidRPr="00805478">
              <w:rPr>
                <w:i/>
                <w:iCs/>
                <w:sz w:val="22"/>
                <w:szCs w:val="22"/>
              </w:rPr>
              <w:t xml:space="preserve">Documents </w:t>
            </w:r>
            <w:hyperlink r:id="rId8" w:history="1">
              <w:r w:rsidRPr="00805478">
                <w:rPr>
                  <w:rStyle w:val="Hyperlink"/>
                  <w:i/>
                  <w:iCs/>
                  <w:sz w:val="22"/>
                  <w:szCs w:val="22"/>
                </w:rPr>
                <w:t>cwg-</w:t>
              </w:r>
              <w:r>
                <w:rPr>
                  <w:rStyle w:val="Hyperlink"/>
                  <w:i/>
                  <w:iCs/>
                  <w:sz w:val="22"/>
                  <w:szCs w:val="22"/>
                </w:rPr>
                <w:t>SFP</w:t>
              </w:r>
              <w:r w:rsidRPr="00805478">
                <w:rPr>
                  <w:rStyle w:val="Hyperlink"/>
                  <w:i/>
                  <w:iCs/>
                  <w:sz w:val="22"/>
                  <w:szCs w:val="22"/>
                </w:rPr>
                <w:t>-3/7</w:t>
              </w:r>
            </w:hyperlink>
            <w:r w:rsidRPr="00805478">
              <w:rPr>
                <w:i/>
                <w:iCs/>
                <w:sz w:val="22"/>
                <w:szCs w:val="22"/>
              </w:rPr>
              <w:t xml:space="preserve">, </w:t>
            </w:r>
            <w:hyperlink r:id="rId9" w:history="1">
              <w:r w:rsidRPr="00805478">
                <w:rPr>
                  <w:rStyle w:val="Hyperlink"/>
                  <w:i/>
                  <w:iCs/>
                  <w:sz w:val="22"/>
                  <w:szCs w:val="22"/>
                </w:rPr>
                <w:t>CWG-SFP-3/6</w:t>
              </w:r>
            </w:hyperlink>
            <w:r w:rsidRPr="00805478">
              <w:rPr>
                <w:i/>
                <w:iCs/>
                <w:sz w:val="22"/>
                <w:szCs w:val="22"/>
              </w:rPr>
              <w:t xml:space="preserve">, </w:t>
            </w:r>
            <w:hyperlink r:id="rId10" w:history="1">
              <w:r w:rsidRPr="00805478">
                <w:rPr>
                  <w:rStyle w:val="Hyperlink"/>
                  <w:i/>
                  <w:iCs/>
                  <w:sz w:val="22"/>
                  <w:szCs w:val="22"/>
                </w:rPr>
                <w:t>CWG-SFP-4/INF/1</w:t>
              </w:r>
            </w:hyperlink>
            <w:r w:rsidRPr="00805478">
              <w:rPr>
                <w:i/>
                <w:iCs/>
                <w:sz w:val="22"/>
                <w:szCs w:val="22"/>
              </w:rPr>
              <w:t xml:space="preserve">, </w:t>
            </w:r>
            <w:hyperlink r:id="rId11" w:history="1">
              <w:r w:rsidRPr="00805478">
                <w:rPr>
                  <w:rStyle w:val="Hyperlink"/>
                  <w:i/>
                  <w:iCs/>
                  <w:sz w:val="22"/>
                  <w:szCs w:val="22"/>
                </w:rPr>
                <w:t>CWG-SFP-4/INF/4</w:t>
              </w:r>
            </w:hyperlink>
            <w:r>
              <w:rPr>
                <w:i/>
                <w:iCs/>
                <w:sz w:val="22"/>
                <w:szCs w:val="22"/>
              </w:rPr>
              <w:t>.</w:t>
            </w:r>
          </w:p>
        </w:tc>
      </w:tr>
    </w:tbl>
    <w:p w14:paraId="4CDB8B60" w14:textId="77777777" w:rsidR="00E227F3" w:rsidRPr="002752FB" w:rsidRDefault="00E227F3">
      <w:pPr>
        <w:tabs>
          <w:tab w:val="clear" w:pos="567"/>
          <w:tab w:val="clear" w:pos="1134"/>
          <w:tab w:val="clear" w:pos="1701"/>
          <w:tab w:val="clear" w:pos="2268"/>
          <w:tab w:val="clear" w:pos="2835"/>
        </w:tabs>
        <w:overflowPunct/>
        <w:autoSpaceDE/>
        <w:autoSpaceDN/>
        <w:adjustRightInd/>
        <w:spacing w:before="0"/>
        <w:textAlignment w:val="auto"/>
        <w:rPr>
          <w:lang w:val="es-ES"/>
        </w:rPr>
      </w:pPr>
      <w:bookmarkStart w:id="10" w:name="_Hlk133421428"/>
      <w:bookmarkEnd w:id="2"/>
      <w:bookmarkEnd w:id="9"/>
    </w:p>
    <w:bookmarkEnd w:id="3"/>
    <w:bookmarkEnd w:id="4"/>
    <w:p w14:paraId="1D7ED322" w14:textId="77777777" w:rsidR="0090147A" w:rsidRPr="002752FB" w:rsidRDefault="0090147A">
      <w:pPr>
        <w:tabs>
          <w:tab w:val="clear" w:pos="567"/>
          <w:tab w:val="clear" w:pos="1134"/>
          <w:tab w:val="clear" w:pos="1701"/>
          <w:tab w:val="clear" w:pos="2268"/>
          <w:tab w:val="clear" w:pos="2835"/>
        </w:tabs>
        <w:overflowPunct/>
        <w:autoSpaceDE/>
        <w:autoSpaceDN/>
        <w:adjustRightInd/>
        <w:spacing w:before="0"/>
        <w:textAlignment w:val="auto"/>
        <w:rPr>
          <w:b/>
          <w:lang w:val="es-ES"/>
        </w:rPr>
      </w:pPr>
      <w:r w:rsidRPr="002752FB">
        <w:rPr>
          <w:lang w:val="es-ES"/>
        </w:rPr>
        <w:br w:type="page"/>
      </w:r>
    </w:p>
    <w:bookmarkEnd w:id="5"/>
    <w:bookmarkEnd w:id="10"/>
    <w:p w14:paraId="72842ACA" w14:textId="77777777" w:rsidR="00805478" w:rsidRPr="008160AA" w:rsidRDefault="00805478" w:rsidP="00805478">
      <w:pPr>
        <w:spacing w:before="100" w:beforeAutospacing="1" w:after="100" w:afterAutospacing="1"/>
        <w:rPr>
          <w:rFonts w:cs="Calibri"/>
          <w:b/>
          <w:bCs/>
          <w:lang w:eastAsia="en-GB"/>
        </w:rPr>
      </w:pPr>
      <w:r w:rsidRPr="008160AA">
        <w:rPr>
          <w:rFonts w:cs="Calibri"/>
          <w:b/>
          <w:bCs/>
          <w:lang w:eastAsia="en-GB"/>
        </w:rPr>
        <w:lastRenderedPageBreak/>
        <w:t>Introduction</w:t>
      </w:r>
    </w:p>
    <w:p w14:paraId="536A6BF0" w14:textId="77777777" w:rsidR="00805478" w:rsidRPr="00D77441" w:rsidRDefault="00805478" w:rsidP="00805478">
      <w:pPr>
        <w:spacing w:before="100" w:beforeAutospacing="1" w:after="100" w:afterAutospacing="1"/>
        <w:rPr>
          <w:rFonts w:cs="Calibri"/>
          <w:lang w:eastAsia="en-GB"/>
        </w:rPr>
      </w:pPr>
      <w:r w:rsidRPr="00D77441">
        <w:rPr>
          <w:rFonts w:cs="Calibri"/>
          <w:lang w:eastAsia="en-GB"/>
        </w:rPr>
        <w:t>Australia</w:t>
      </w:r>
      <w:r>
        <w:rPr>
          <w:rFonts w:cs="Calibri"/>
          <w:lang w:eastAsia="en-GB"/>
        </w:rPr>
        <w:t xml:space="preserve"> and Canada</w:t>
      </w:r>
      <w:r w:rsidRPr="00D77441">
        <w:rPr>
          <w:rFonts w:cs="Calibri"/>
          <w:lang w:eastAsia="en-GB"/>
        </w:rPr>
        <w:t xml:space="preserve"> welcome the opportunity to provide this contribution on the development of the ITU Strategic Plan for 2028–2031.</w:t>
      </w:r>
      <w:r>
        <w:rPr>
          <w:rFonts w:cs="Calibri"/>
          <w:lang w:eastAsia="en-GB"/>
        </w:rPr>
        <w:t xml:space="preserve"> We</w:t>
      </w:r>
      <w:r w:rsidRPr="00D77441">
        <w:rPr>
          <w:rFonts w:cs="Calibri"/>
          <w:lang w:eastAsia="en-GB"/>
        </w:rPr>
        <w:t xml:space="preserve"> emphasise</w:t>
      </w:r>
      <w:r>
        <w:rPr>
          <w:rFonts w:cs="Calibri"/>
          <w:lang w:eastAsia="en-GB"/>
        </w:rPr>
        <w:t xml:space="preserve"> </w:t>
      </w:r>
      <w:r w:rsidRPr="00D77441">
        <w:rPr>
          <w:rFonts w:cs="Calibri"/>
          <w:lang w:eastAsia="en-GB"/>
        </w:rPr>
        <w:t xml:space="preserve">the importance of ensuring that the Strategic Plan remains high-level, flexible and clear, particularly at a time of rapid technological change and uncertainty. </w:t>
      </w:r>
      <w:r>
        <w:t>This contribution sets out an approach to help ensure that the Strategic Plan remains high-level and enduring.</w:t>
      </w:r>
    </w:p>
    <w:p w14:paraId="34BBA709" w14:textId="77777777" w:rsidR="00805478" w:rsidRPr="008160AA" w:rsidRDefault="00805478" w:rsidP="00805478">
      <w:pPr>
        <w:spacing w:before="100" w:beforeAutospacing="1" w:after="100" w:afterAutospacing="1"/>
        <w:rPr>
          <w:rFonts w:cs="Calibri"/>
          <w:b/>
          <w:bCs/>
          <w:lang w:eastAsia="en-GB"/>
        </w:rPr>
      </w:pPr>
      <w:r w:rsidRPr="008160AA">
        <w:rPr>
          <w:rFonts w:cs="Calibri"/>
          <w:b/>
          <w:bCs/>
          <w:lang w:eastAsia="en-GB"/>
        </w:rPr>
        <w:t>Purpose and role of the Strategic Plan</w:t>
      </w:r>
    </w:p>
    <w:p w14:paraId="1E03DDBC" w14:textId="77777777" w:rsidR="00805478" w:rsidRPr="00D77441" w:rsidRDefault="00805478" w:rsidP="00805478">
      <w:pPr>
        <w:spacing w:before="100" w:beforeAutospacing="1" w:after="100" w:afterAutospacing="1"/>
        <w:rPr>
          <w:rFonts w:cs="Calibri"/>
          <w:lang w:eastAsia="en-GB"/>
        </w:rPr>
      </w:pPr>
      <w:r w:rsidRPr="00D77441">
        <w:rPr>
          <w:rFonts w:cs="Calibri"/>
          <w:lang w:eastAsia="en-GB"/>
        </w:rPr>
        <w:t>Australia</w:t>
      </w:r>
      <w:r>
        <w:rPr>
          <w:rFonts w:cs="Calibri"/>
          <w:lang w:eastAsia="en-GB"/>
        </w:rPr>
        <w:t xml:space="preserve"> and Canada</w:t>
      </w:r>
      <w:r w:rsidRPr="00D77441">
        <w:rPr>
          <w:rFonts w:cs="Calibri"/>
          <w:lang w:eastAsia="en-GB"/>
        </w:rPr>
        <w:t xml:space="preserve"> consider that the Strategic Plan should:</w:t>
      </w:r>
    </w:p>
    <w:p w14:paraId="155E4A7E" w14:textId="77777777" w:rsidR="00805478" w:rsidRPr="00D77441" w:rsidRDefault="00805478" w:rsidP="00805478">
      <w:pPr>
        <w:numPr>
          <w:ilvl w:val="0"/>
          <w:numId w:val="2"/>
        </w:num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rPr>
          <w:rFonts w:cs="Calibri"/>
          <w:lang w:eastAsia="en-GB"/>
        </w:rPr>
      </w:pPr>
      <w:r w:rsidRPr="00D77441">
        <w:rPr>
          <w:rFonts w:cs="Calibri"/>
          <w:lang w:eastAsia="en-GB"/>
        </w:rPr>
        <w:t xml:space="preserve">articulate ITU’s core priorities and intent, consistent with its </w:t>
      </w:r>
      <w:proofErr w:type="gramStart"/>
      <w:r w:rsidRPr="00D77441">
        <w:rPr>
          <w:rFonts w:cs="Calibri"/>
          <w:lang w:eastAsia="en-GB"/>
        </w:rPr>
        <w:t>mandate;</w:t>
      </w:r>
      <w:proofErr w:type="gramEnd"/>
    </w:p>
    <w:p w14:paraId="5D5C8B67" w14:textId="77777777" w:rsidR="00805478" w:rsidRPr="00D77441" w:rsidRDefault="00805478" w:rsidP="00805478">
      <w:pPr>
        <w:numPr>
          <w:ilvl w:val="0"/>
          <w:numId w:val="2"/>
        </w:num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rPr>
          <w:rFonts w:cs="Calibri"/>
          <w:lang w:eastAsia="en-GB"/>
        </w:rPr>
      </w:pPr>
      <w:r w:rsidRPr="00D77441">
        <w:rPr>
          <w:rFonts w:cs="Calibri"/>
          <w:lang w:eastAsia="en-GB"/>
        </w:rPr>
        <w:t>allow sufficient flexibility for Member States and staff to adapt as circumstances change; and</w:t>
      </w:r>
    </w:p>
    <w:p w14:paraId="425CE122" w14:textId="77777777" w:rsidR="00805478" w:rsidRPr="00D77441" w:rsidRDefault="00805478" w:rsidP="00805478">
      <w:pPr>
        <w:numPr>
          <w:ilvl w:val="0"/>
          <w:numId w:val="2"/>
        </w:num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rPr>
          <w:rFonts w:cs="Calibri"/>
          <w:lang w:eastAsia="en-GB"/>
        </w:rPr>
      </w:pPr>
      <w:r w:rsidRPr="00D77441">
        <w:rPr>
          <w:rFonts w:cs="Calibri"/>
          <w:lang w:eastAsia="en-GB"/>
        </w:rPr>
        <w:t>focus on enabling outcomes that support global connectivity through international standards, spectrum management and development-oriented technical assistance.</w:t>
      </w:r>
    </w:p>
    <w:p w14:paraId="0035B2B7" w14:textId="77777777" w:rsidR="00805478" w:rsidRPr="005233EB" w:rsidRDefault="00805478" w:rsidP="00805478">
      <w:pPr>
        <w:spacing w:before="100" w:beforeAutospacing="1" w:after="100" w:afterAutospacing="1"/>
      </w:pPr>
      <w:r w:rsidRPr="00D77441">
        <w:rPr>
          <w:rFonts w:cs="Calibri"/>
          <w:lang w:eastAsia="en-GB"/>
        </w:rPr>
        <w:t xml:space="preserve">The Strategic Plan should include only what is necessary at the strategic level. More detailed analysis, </w:t>
      </w:r>
      <w:r>
        <w:t>is developed, tested and updated through established ITU planning, operational and results-based management (RBM) processes.</w:t>
      </w:r>
    </w:p>
    <w:p w14:paraId="2715D665" w14:textId="77777777" w:rsidR="00805478" w:rsidRPr="008160AA" w:rsidRDefault="00805478" w:rsidP="00805478">
      <w:pPr>
        <w:spacing w:before="100" w:beforeAutospacing="1" w:after="100" w:afterAutospacing="1"/>
        <w:rPr>
          <w:rFonts w:cs="Calibri"/>
          <w:b/>
          <w:bCs/>
          <w:lang w:eastAsia="en-GB"/>
        </w:rPr>
      </w:pPr>
      <w:r w:rsidRPr="008160AA">
        <w:rPr>
          <w:rFonts w:cs="Calibri"/>
          <w:b/>
          <w:bCs/>
          <w:lang w:eastAsia="en-GB"/>
        </w:rPr>
        <w:t>Situational and SWOT analyses</w:t>
      </w:r>
    </w:p>
    <w:p w14:paraId="0BCEB836" w14:textId="77777777" w:rsidR="00805478" w:rsidRPr="005A56ED" w:rsidRDefault="00805478" w:rsidP="00805478">
      <w:pPr>
        <w:pStyle w:val="NormalWeb"/>
        <w:rPr>
          <w:rFonts w:asciiTheme="minorHAnsi" w:hAnsiTheme="minorHAnsi" w:cstheme="minorHAnsi"/>
        </w:rPr>
      </w:pPr>
      <w:r>
        <w:rPr>
          <w:rFonts w:asciiTheme="minorHAnsi" w:hAnsiTheme="minorHAnsi" w:cstheme="minorHAnsi"/>
        </w:rPr>
        <w:t>We</w:t>
      </w:r>
      <w:r w:rsidRPr="005A56ED">
        <w:rPr>
          <w:rFonts w:asciiTheme="minorHAnsi" w:hAnsiTheme="minorHAnsi" w:cstheme="minorHAnsi"/>
        </w:rPr>
        <w:t xml:space="preserve"> note that</w:t>
      </w:r>
      <w:r>
        <w:rPr>
          <w:rFonts w:asciiTheme="minorHAnsi" w:hAnsiTheme="minorHAnsi" w:cstheme="minorHAnsi"/>
        </w:rPr>
        <w:t xml:space="preserve"> discussions at the September 2025 CWG-SFP that</w:t>
      </w:r>
      <w:r w:rsidRPr="005A56ED">
        <w:rPr>
          <w:rFonts w:asciiTheme="minorHAnsi" w:hAnsiTheme="minorHAnsi" w:cstheme="minorHAnsi"/>
        </w:rPr>
        <w:t xml:space="preserve"> Member</w:t>
      </w:r>
      <w:r>
        <w:rPr>
          <w:rFonts w:asciiTheme="minorHAnsi" w:hAnsiTheme="minorHAnsi" w:cstheme="minorHAnsi"/>
        </w:rPr>
        <w:t>s</w:t>
      </w:r>
      <w:r w:rsidRPr="005A56ED">
        <w:rPr>
          <w:rFonts w:asciiTheme="minorHAnsi" w:hAnsiTheme="minorHAnsi" w:cstheme="minorHAnsi"/>
        </w:rPr>
        <w:t xml:space="preserve"> indicate the situational and SWOT analyses reflect diverse and, in some cases, unresolved views, making full consensus unlikely within the current CWG-SFP timeframe</w:t>
      </w:r>
      <w:r>
        <w:rPr>
          <w:rFonts w:asciiTheme="minorHAnsi" w:hAnsiTheme="minorHAnsi" w:cstheme="minorHAnsi"/>
        </w:rPr>
        <w:t xml:space="preserve"> in January 2026</w:t>
      </w:r>
      <w:r w:rsidRPr="005A56ED">
        <w:rPr>
          <w:rFonts w:asciiTheme="minorHAnsi" w:hAnsiTheme="minorHAnsi" w:cstheme="minorHAnsi"/>
        </w:rPr>
        <w:t>.</w:t>
      </w:r>
      <w:r>
        <w:rPr>
          <w:rFonts w:asciiTheme="minorHAnsi" w:hAnsiTheme="minorHAnsi" w:cstheme="minorHAnsi"/>
        </w:rPr>
        <w:t xml:space="preserve"> </w:t>
      </w:r>
      <w:r w:rsidRPr="005A56ED">
        <w:rPr>
          <w:rFonts w:asciiTheme="minorHAnsi" w:hAnsiTheme="minorHAnsi" w:cstheme="minorHAnsi"/>
        </w:rPr>
        <w:t>The priority should therefore be to ensure the Strategic Plan itself remains streamlined and forward-looking, rather than weighed down by analytical detail. The Strategic Plan should be judged by the clarity of its direction, not the breadth of challenges it catalogues, as over-elaboration risks diluting strategic focus and accessibility.</w:t>
      </w:r>
    </w:p>
    <w:p w14:paraId="147DB77A" w14:textId="77777777" w:rsidR="00805478" w:rsidRPr="008160AA" w:rsidRDefault="00805478" w:rsidP="00805478">
      <w:pPr>
        <w:spacing w:before="100" w:beforeAutospacing="1" w:after="100" w:afterAutospacing="1"/>
        <w:rPr>
          <w:rFonts w:cs="Calibri"/>
          <w:b/>
          <w:bCs/>
          <w:lang w:eastAsia="en-GB"/>
        </w:rPr>
      </w:pPr>
      <w:r w:rsidRPr="008160AA">
        <w:rPr>
          <w:rFonts w:cs="Calibri"/>
          <w:b/>
          <w:bCs/>
          <w:lang w:eastAsia="en-GB"/>
        </w:rPr>
        <w:t>The timing challenge</w:t>
      </w:r>
    </w:p>
    <w:p w14:paraId="35F47E37" w14:textId="77777777" w:rsidR="00805478" w:rsidRPr="00D77441" w:rsidRDefault="00805478" w:rsidP="00805478">
      <w:pPr>
        <w:spacing w:before="100" w:beforeAutospacing="1" w:after="100" w:afterAutospacing="1"/>
        <w:rPr>
          <w:rFonts w:cs="Calibri"/>
          <w:lang w:eastAsia="en-GB"/>
        </w:rPr>
      </w:pPr>
      <w:r>
        <w:rPr>
          <w:rFonts w:cs="Calibri"/>
          <w:lang w:eastAsia="en-GB"/>
        </w:rPr>
        <w:t xml:space="preserve">We </w:t>
      </w:r>
      <w:r w:rsidRPr="00D77441">
        <w:rPr>
          <w:rFonts w:cs="Calibri"/>
          <w:lang w:eastAsia="en-GB"/>
        </w:rPr>
        <w:t>also note the timing challenge associated with detailed situational or SWOT analyses</w:t>
      </w:r>
      <w:r>
        <w:rPr>
          <w:rFonts w:cs="Calibri"/>
          <w:lang w:eastAsia="en-GB"/>
        </w:rPr>
        <w:t>:</w:t>
      </w:r>
    </w:p>
    <w:p w14:paraId="7F9AD4F9" w14:textId="77777777" w:rsidR="00805478" w:rsidRPr="00D77441" w:rsidRDefault="00805478" w:rsidP="00805478">
      <w:pPr>
        <w:numPr>
          <w:ilvl w:val="0"/>
          <w:numId w:val="3"/>
        </w:num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rPr>
          <w:rFonts w:cs="Calibri"/>
          <w:lang w:eastAsia="en-GB"/>
        </w:rPr>
      </w:pPr>
      <w:r w:rsidRPr="00D77441">
        <w:rPr>
          <w:rFonts w:cs="Calibri"/>
          <w:lang w:eastAsia="en-GB"/>
        </w:rPr>
        <w:t>Drafted: late 2025</w:t>
      </w:r>
      <w:r>
        <w:rPr>
          <w:rFonts w:cs="Calibri"/>
          <w:lang w:eastAsia="en-GB"/>
        </w:rPr>
        <w:t xml:space="preserve">, </w:t>
      </w:r>
      <w:r w:rsidRPr="00D77441">
        <w:rPr>
          <w:rFonts w:cs="Calibri"/>
          <w:lang w:eastAsia="en-GB"/>
        </w:rPr>
        <w:t>early 2026</w:t>
      </w:r>
    </w:p>
    <w:p w14:paraId="71E96238" w14:textId="77777777" w:rsidR="00805478" w:rsidRPr="00D77441" w:rsidRDefault="00805478" w:rsidP="00805478">
      <w:pPr>
        <w:numPr>
          <w:ilvl w:val="0"/>
          <w:numId w:val="3"/>
        </w:num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rPr>
          <w:rFonts w:cs="Calibri"/>
          <w:lang w:eastAsia="en-GB"/>
        </w:rPr>
      </w:pPr>
      <w:r w:rsidRPr="00D77441">
        <w:rPr>
          <w:rFonts w:cs="Calibri"/>
          <w:lang w:eastAsia="en-GB"/>
        </w:rPr>
        <w:t>Strategic Plan commences: 2028</w:t>
      </w:r>
    </w:p>
    <w:p w14:paraId="2169F1A9" w14:textId="77777777" w:rsidR="00805478" w:rsidRPr="00D77441" w:rsidRDefault="00805478" w:rsidP="00805478">
      <w:pPr>
        <w:numPr>
          <w:ilvl w:val="0"/>
          <w:numId w:val="3"/>
        </w:num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rPr>
          <w:rFonts w:cs="Calibri"/>
          <w:lang w:eastAsia="en-GB"/>
        </w:rPr>
      </w:pPr>
      <w:r w:rsidRPr="00D77441">
        <w:rPr>
          <w:rFonts w:cs="Calibri"/>
          <w:lang w:eastAsia="en-GB"/>
        </w:rPr>
        <w:t>Strategic Plan concludes: 2031</w:t>
      </w:r>
    </w:p>
    <w:p w14:paraId="7868A8D9" w14:textId="77777777" w:rsidR="00805478" w:rsidRDefault="00805478" w:rsidP="00805478">
      <w:pPr>
        <w:spacing w:before="100" w:beforeAutospacing="1" w:after="100" w:afterAutospacing="1"/>
        <w:outlineLvl w:val="2"/>
      </w:pPr>
      <w:r>
        <w:t>By the time the Strategic Plan becomes operational, the assumptions underpinning detailed analyses may no longer fully reflect the realities facing the Union. The pace of technological change, together with unforeseen global developments, can quickly reshape priorities, alongside the continued evolution of areas such as AI and cybersecurity within the wider international system. Keeping the Strategic Plan high-level and flexible therefore helps ensure it remains effective and relevant over its full life.</w:t>
      </w:r>
    </w:p>
    <w:p w14:paraId="62227F78" w14:textId="77777777" w:rsidR="00805478" w:rsidRPr="008160AA" w:rsidRDefault="00805478" w:rsidP="00805478">
      <w:pPr>
        <w:keepNext/>
        <w:keepLines/>
        <w:spacing w:before="100" w:beforeAutospacing="1" w:after="100" w:afterAutospacing="1"/>
        <w:outlineLvl w:val="2"/>
        <w:rPr>
          <w:rFonts w:cs="Calibri"/>
          <w:b/>
          <w:bCs/>
          <w:szCs w:val="24"/>
          <w:lang w:eastAsia="en-GB"/>
        </w:rPr>
      </w:pPr>
      <w:r w:rsidRPr="008160AA">
        <w:rPr>
          <w:rFonts w:cs="Calibri"/>
          <w:b/>
          <w:bCs/>
          <w:szCs w:val="24"/>
          <w:lang w:eastAsia="en-GB"/>
        </w:rPr>
        <w:t>Linking the Strategic Plan and the Financial Plan</w:t>
      </w:r>
    </w:p>
    <w:p w14:paraId="60811B7F" w14:textId="77777777" w:rsidR="00805478" w:rsidRDefault="00805478" w:rsidP="00805478">
      <w:pPr>
        <w:keepNext/>
        <w:keepLines/>
        <w:spacing w:before="100" w:beforeAutospacing="1" w:after="100" w:afterAutospacing="1"/>
        <w:outlineLvl w:val="2"/>
        <w:rPr>
          <w:rFonts w:cs="Calibri"/>
          <w:lang w:eastAsia="en-GB"/>
        </w:rPr>
      </w:pPr>
      <w:r>
        <w:t>Australia and Canada note that the Secretariat’s approach to linking the Strategic and Financial Plans, as outlined in Document CWG-SFP-4/INF/4, depends on a clear separation between high-level strategic outcomes and the detailed outputs, activities and costing developed through operational planning and results-based management processes. Allowing extensive analytical detail to sit in the Strategic Plan, even as an Annex, risks pre-empting these downstream processes by embedding assumptions that should instead be tested through validated data and costing. Keeping the Strategic Plan focused on priorities and intended outcomes therefore supports more credible financial planning and clearer, evidence-based trade-offs over the life of the Plan.</w:t>
      </w:r>
    </w:p>
    <w:p w14:paraId="5408CF78" w14:textId="77777777" w:rsidR="00805478" w:rsidRPr="008160AA" w:rsidRDefault="00805478" w:rsidP="00805478">
      <w:pPr>
        <w:spacing w:before="100" w:beforeAutospacing="1" w:after="100" w:afterAutospacing="1"/>
        <w:outlineLvl w:val="2"/>
        <w:rPr>
          <w:rFonts w:cs="Calibri"/>
          <w:b/>
          <w:bCs/>
          <w:szCs w:val="24"/>
          <w:lang w:eastAsia="en-GB"/>
        </w:rPr>
      </w:pPr>
      <w:r w:rsidRPr="008160AA">
        <w:rPr>
          <w:rFonts w:cs="Calibri"/>
          <w:b/>
          <w:bCs/>
          <w:szCs w:val="24"/>
          <w:lang w:eastAsia="en-GB"/>
        </w:rPr>
        <w:t>Strategic focus and measurement feasibility</w:t>
      </w:r>
    </w:p>
    <w:p w14:paraId="710C23DB" w14:textId="77777777" w:rsidR="00805478" w:rsidRPr="00D32AB8" w:rsidRDefault="00805478" w:rsidP="00805478">
      <w:pPr>
        <w:spacing w:before="100" w:beforeAutospacing="1" w:after="100" w:afterAutospacing="1"/>
        <w:outlineLvl w:val="2"/>
        <w:rPr>
          <w:rFonts w:cs="Calibri"/>
          <w:b/>
          <w:bCs/>
          <w:sz w:val="27"/>
          <w:szCs w:val="27"/>
          <w:lang w:eastAsia="en-GB"/>
        </w:rPr>
      </w:pPr>
      <w:r>
        <w:t>We note, as highlighted in Document CWG-SFP-4/INF/1, that data availability and measurement capacity vary widely across issues and countries. Embedding detailed analytical assumptions in the Strategic Plan therefore risks committing ITU to targets that cannot be measured or sustained consistently over the life of the Plan. A high-level focus on outcomes, with indicators developed through existing RBM processes, better supports effective implementation across the membership.</w:t>
      </w:r>
    </w:p>
    <w:p w14:paraId="79C86CA9" w14:textId="77777777" w:rsidR="00805478" w:rsidRPr="008160AA" w:rsidRDefault="00805478" w:rsidP="00805478">
      <w:pPr>
        <w:spacing w:before="100" w:beforeAutospacing="1" w:after="100" w:afterAutospacing="1"/>
        <w:outlineLvl w:val="2"/>
        <w:rPr>
          <w:rFonts w:cs="Calibri"/>
          <w:b/>
          <w:bCs/>
          <w:szCs w:val="24"/>
          <w:lang w:eastAsia="en-GB"/>
        </w:rPr>
      </w:pPr>
      <w:r w:rsidRPr="008160AA">
        <w:rPr>
          <w:rFonts w:cs="Calibri"/>
          <w:b/>
          <w:bCs/>
          <w:szCs w:val="24"/>
          <w:lang w:eastAsia="en-GB"/>
        </w:rPr>
        <w:t>Strategic guidance rather than diagnosis</w:t>
      </w:r>
    </w:p>
    <w:p w14:paraId="18FD8303" w14:textId="77777777" w:rsidR="00805478" w:rsidRDefault="00805478" w:rsidP="00805478">
      <w:pPr>
        <w:spacing w:before="100" w:beforeAutospacing="1" w:after="100" w:afterAutospacing="1"/>
        <w:rPr>
          <w:rFonts w:cs="Calibri"/>
          <w:lang w:eastAsia="en-GB"/>
        </w:rPr>
      </w:pPr>
      <w:r>
        <w:rPr>
          <w:rFonts w:cs="Calibri"/>
          <w:lang w:eastAsia="en-GB"/>
        </w:rPr>
        <w:t>We</w:t>
      </w:r>
      <w:r w:rsidRPr="00D77441">
        <w:rPr>
          <w:rFonts w:cs="Calibri"/>
          <w:lang w:eastAsia="en-GB"/>
        </w:rPr>
        <w:t xml:space="preserve"> consider</w:t>
      </w:r>
      <w:r>
        <w:rPr>
          <w:rFonts w:cs="Calibri"/>
          <w:lang w:eastAsia="en-GB"/>
        </w:rPr>
        <w:t xml:space="preserve"> that</w:t>
      </w:r>
      <w:r w:rsidRPr="00D77441">
        <w:rPr>
          <w:rFonts w:cs="Calibri"/>
          <w:lang w:eastAsia="en-GB"/>
        </w:rPr>
        <w:t xml:space="preserve"> the Strategic Plan is better served by durable, principle-based guidance, for example:</w:t>
      </w:r>
      <w:r>
        <w:rPr>
          <w:rFonts w:cs="Calibri"/>
          <w:lang w:eastAsia="en-GB"/>
        </w:rPr>
        <w:t xml:space="preserve"> </w:t>
      </w:r>
      <w:r w:rsidRPr="00D77441">
        <w:rPr>
          <w:rFonts w:cs="Calibri"/>
          <w:i/>
          <w:iCs/>
          <w:lang w:eastAsia="en-GB"/>
        </w:rPr>
        <w:t>“The ITU will remain a neutral, technical organisation and will consider any new areas of work carefully, based on mandate, value added and available resources.”</w:t>
      </w:r>
      <w:r>
        <w:rPr>
          <w:rFonts w:cs="Calibri"/>
          <w:lang w:eastAsia="en-GB"/>
        </w:rPr>
        <w:t xml:space="preserve"> </w:t>
      </w:r>
      <w:r w:rsidRPr="00D77441">
        <w:rPr>
          <w:rFonts w:cs="Calibri"/>
          <w:lang w:eastAsia="en-GB"/>
        </w:rPr>
        <w:t>Such guidance provides direction while preserving flexibility, allowing Members and the Secretariat to respond to change without constraining future decision-making.</w:t>
      </w:r>
    </w:p>
    <w:p w14:paraId="5097C80E" w14:textId="77777777" w:rsidR="00805478" w:rsidRPr="00D77441" w:rsidRDefault="00805478" w:rsidP="00805478">
      <w:pPr>
        <w:spacing w:before="100" w:beforeAutospacing="1" w:after="100" w:afterAutospacing="1"/>
        <w:rPr>
          <w:rFonts w:cs="Calibri"/>
          <w:lang w:eastAsia="en-GB"/>
        </w:rPr>
      </w:pPr>
      <w:r>
        <w:t>Also, Decision 5 (Rev. Bucharest, 2022), underscores that the Strategic Plan should function as a high-level framework guiding financial and operational planning, rather than as a standalone operational document. Preserving the Strategic Plan’s enduring and strategic nature will strengthen coherence across ITU’s planning and budgeting processes.</w:t>
      </w:r>
    </w:p>
    <w:p w14:paraId="69E2A33D" w14:textId="77777777" w:rsidR="00805478" w:rsidRPr="00D77441" w:rsidRDefault="00805478" w:rsidP="00805478">
      <w:pPr>
        <w:spacing w:before="100" w:beforeAutospacing="1" w:after="100" w:afterAutospacing="1"/>
        <w:outlineLvl w:val="2"/>
        <w:rPr>
          <w:rFonts w:cs="Calibri"/>
          <w:b/>
          <w:bCs/>
          <w:sz w:val="27"/>
          <w:szCs w:val="27"/>
          <w:lang w:eastAsia="en-GB"/>
        </w:rPr>
      </w:pPr>
      <w:r w:rsidRPr="00D36FA2">
        <w:rPr>
          <w:rFonts w:cs="Calibri"/>
          <w:b/>
          <w:bCs/>
          <w:szCs w:val="24"/>
          <w:lang w:eastAsia="en-GB"/>
        </w:rPr>
        <w:t>Existing inputs and industry perspectives</w:t>
      </w:r>
    </w:p>
    <w:p w14:paraId="369D596A" w14:textId="77777777" w:rsidR="00805478" w:rsidRPr="00D77441" w:rsidRDefault="00805478" w:rsidP="00805478">
      <w:pPr>
        <w:spacing w:before="100" w:beforeAutospacing="1" w:after="100" w:afterAutospacing="1"/>
        <w:rPr>
          <w:rFonts w:cs="Calibri"/>
          <w:lang w:eastAsia="en-GB"/>
        </w:rPr>
      </w:pPr>
      <w:r>
        <w:rPr>
          <w:rFonts w:cs="Calibri"/>
          <w:lang w:eastAsia="en-GB"/>
        </w:rPr>
        <w:t>We</w:t>
      </w:r>
      <w:r w:rsidRPr="00D77441">
        <w:rPr>
          <w:rFonts w:cs="Calibri"/>
          <w:lang w:eastAsia="en-GB"/>
        </w:rPr>
        <w:t xml:space="preserve"> note</w:t>
      </w:r>
      <w:r>
        <w:rPr>
          <w:rFonts w:cs="Calibri"/>
          <w:lang w:eastAsia="en-GB"/>
        </w:rPr>
        <w:t xml:space="preserve"> </w:t>
      </w:r>
      <w:r w:rsidRPr="00D77441">
        <w:rPr>
          <w:rFonts w:cs="Calibri"/>
          <w:lang w:eastAsia="en-GB"/>
        </w:rPr>
        <w:t>that the draft Strategic Plan is already informed by a substantial body of sector-specific inputs agreed through established ITU governance processes. Taken together, these inputs provide a strong analytical foundation while allowing the Strategic Plan itself to remain high-level and enduring.</w:t>
      </w:r>
    </w:p>
    <w:p w14:paraId="4D7C13D2" w14:textId="77777777" w:rsidR="00805478" w:rsidRPr="00D77441" w:rsidRDefault="00805478" w:rsidP="00805478">
      <w:pPr>
        <w:spacing w:before="100" w:beforeAutospacing="1" w:after="100" w:afterAutospacing="1"/>
        <w:rPr>
          <w:rFonts w:cs="Calibri"/>
          <w:lang w:eastAsia="en-GB"/>
        </w:rPr>
      </w:pPr>
      <w:r w:rsidRPr="00D77441">
        <w:rPr>
          <w:rFonts w:cs="Calibri"/>
          <w:lang w:eastAsia="en-GB"/>
        </w:rPr>
        <w:t xml:space="preserve">Australia </w:t>
      </w:r>
      <w:r>
        <w:rPr>
          <w:rFonts w:cs="Calibri"/>
          <w:lang w:eastAsia="en-GB"/>
        </w:rPr>
        <w:t xml:space="preserve">and Canada </w:t>
      </w:r>
      <w:r w:rsidRPr="00D77441">
        <w:rPr>
          <w:rFonts w:cs="Calibri"/>
          <w:lang w:eastAsia="en-GB"/>
        </w:rPr>
        <w:t>also note</w:t>
      </w:r>
      <w:r>
        <w:rPr>
          <w:rFonts w:cs="Calibri"/>
          <w:lang w:eastAsia="en-GB"/>
        </w:rPr>
        <w:t xml:space="preserve"> </w:t>
      </w:r>
      <w:r w:rsidRPr="00D77441">
        <w:rPr>
          <w:rFonts w:cs="Calibri"/>
          <w:lang w:eastAsia="en-GB"/>
        </w:rPr>
        <w:t xml:space="preserve">recent </w:t>
      </w:r>
      <w:r>
        <w:rPr>
          <w:rFonts w:cs="Calibri"/>
          <w:lang w:eastAsia="en-GB"/>
        </w:rPr>
        <w:t>sector member/industry</w:t>
      </w:r>
      <w:r w:rsidRPr="00D77441">
        <w:rPr>
          <w:rFonts w:cs="Calibri"/>
          <w:lang w:eastAsia="en-GB"/>
        </w:rPr>
        <w:t xml:space="preserve"> contribution</w:t>
      </w:r>
      <w:r>
        <w:rPr>
          <w:rFonts w:cs="Calibri"/>
          <w:lang w:eastAsia="en-GB"/>
        </w:rPr>
        <w:t xml:space="preserve"> </w:t>
      </w:r>
      <w:r w:rsidRPr="00D77441">
        <w:rPr>
          <w:rFonts w:cs="Calibri"/>
          <w:lang w:eastAsia="en-GB"/>
        </w:rPr>
        <w:t>highlighting the value of clarity and simplicity in strategic direction, particularly in enabling organisations to adapt to change. These perspectives reinforce the importance of keeping the Strategic Plan focused on intent rather than detailed diagnosis.</w:t>
      </w:r>
      <w:r>
        <w:rPr>
          <w:rFonts w:cs="Calibri"/>
          <w:lang w:eastAsia="en-GB"/>
        </w:rPr>
        <w:t xml:space="preserve"> </w:t>
      </w:r>
      <w:r w:rsidRPr="00D77441">
        <w:rPr>
          <w:rFonts w:cs="Calibri"/>
          <w:lang w:eastAsia="en-GB"/>
        </w:rPr>
        <w:t>The key consideration is therefore not whether analytical material exists but ensuring that it informs rather than constrains the Strategic Plan.</w:t>
      </w:r>
    </w:p>
    <w:p w14:paraId="2C1130BD" w14:textId="77777777" w:rsidR="00805478" w:rsidRPr="00D36FA2" w:rsidRDefault="00805478" w:rsidP="00805478">
      <w:pPr>
        <w:spacing w:before="100" w:beforeAutospacing="1" w:after="100" w:afterAutospacing="1"/>
        <w:outlineLvl w:val="2"/>
        <w:rPr>
          <w:rFonts w:cs="Calibri"/>
          <w:b/>
          <w:bCs/>
          <w:szCs w:val="24"/>
          <w:lang w:eastAsia="en-GB"/>
        </w:rPr>
      </w:pPr>
      <w:r w:rsidRPr="00D36FA2">
        <w:rPr>
          <w:rFonts w:cs="Calibri"/>
          <w:b/>
          <w:bCs/>
          <w:szCs w:val="24"/>
          <w:lang w:eastAsia="en-GB"/>
        </w:rPr>
        <w:t>Strategic clarity and resource mobilisation</w:t>
      </w:r>
    </w:p>
    <w:p w14:paraId="2A878725" w14:textId="77777777" w:rsidR="00805478" w:rsidRDefault="00805478" w:rsidP="00805478">
      <w:pPr>
        <w:spacing w:before="100" w:beforeAutospacing="1" w:after="100" w:afterAutospacing="1"/>
        <w:outlineLvl w:val="2"/>
      </w:pPr>
      <w:r>
        <w:t>We consider that a clear and focused Strategic Plan is particularly important for resource mobilisation in the ITU context, where a significant proportion of activities are supported through voluntary and extra-budgetary contributions. When strategic priorities and mandate boundaries are clearly articulated, potential partners are better able to assess alignment and commit support in a targeted and predictable way. A concise Strategic Plan provides a stable reference for such decisions, whereas excessive analytical detail can blur strategic intent, complicate alignment decisions and reduce confidence in how voluntary resources will be prioritised and governed.</w:t>
      </w:r>
    </w:p>
    <w:p w14:paraId="2C587108" w14:textId="77777777" w:rsidR="00805478" w:rsidRPr="00D36FA2" w:rsidRDefault="00805478" w:rsidP="00805478">
      <w:pPr>
        <w:spacing w:before="100" w:beforeAutospacing="1" w:after="100" w:afterAutospacing="1"/>
        <w:outlineLvl w:val="2"/>
        <w:rPr>
          <w:rFonts w:cs="Calibri"/>
          <w:b/>
          <w:bCs/>
          <w:szCs w:val="24"/>
          <w:lang w:eastAsia="en-GB"/>
        </w:rPr>
      </w:pPr>
      <w:r w:rsidRPr="00D36FA2">
        <w:rPr>
          <w:rFonts w:cs="Calibri"/>
          <w:b/>
          <w:bCs/>
          <w:szCs w:val="24"/>
          <w:lang w:eastAsia="en-GB"/>
        </w:rPr>
        <w:t>Conclusion</w:t>
      </w:r>
    </w:p>
    <w:p w14:paraId="57F50A89" w14:textId="77777777" w:rsidR="00805478" w:rsidRPr="00383C2D" w:rsidRDefault="00805478" w:rsidP="00805478">
      <w:pPr>
        <w:spacing w:before="100" w:beforeAutospacing="1" w:after="100" w:afterAutospacing="1"/>
        <w:rPr>
          <w:rFonts w:cs="Calibri"/>
          <w:lang w:eastAsia="en-GB"/>
        </w:rPr>
      </w:pPr>
      <w:r>
        <w:t>In Australia and Canada’s view, a high-level, flexible and focused Strategic Plan will best position ITU to respond to evolving technologies, priorities and Member needs over the 2028–2031 period. The Plan should concentrate on clear direction and intent, leaving detailed analysis and delivery to the mechanisms established for that purpose. Maintaining this strategic discipline will strengthen alignment with the Financial Plan, support effective resource mobilisation, and reinforce confidence in ITU’s ability to deliver against its objectives.</w:t>
      </w:r>
    </w:p>
    <w:p w14:paraId="257674B4" w14:textId="2FA098E9" w:rsidR="00A514A4" w:rsidRPr="00805478" w:rsidRDefault="00805478" w:rsidP="00805478">
      <w:pPr>
        <w:tabs>
          <w:tab w:val="clear" w:pos="567"/>
          <w:tab w:val="clear" w:pos="1134"/>
          <w:tab w:val="clear" w:pos="1701"/>
          <w:tab w:val="clear" w:pos="2268"/>
          <w:tab w:val="clear" w:pos="2835"/>
        </w:tabs>
        <w:overflowPunct/>
        <w:autoSpaceDE/>
        <w:autoSpaceDN/>
        <w:adjustRightInd/>
        <w:spacing w:before="600"/>
        <w:jc w:val="center"/>
        <w:textAlignment w:val="auto"/>
      </w:pPr>
      <w:r w:rsidRPr="00805478">
        <w:t>________________</w:t>
      </w:r>
    </w:p>
    <w:sectPr w:rsidR="00A514A4" w:rsidRPr="00805478"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74AD915B" w:rsidR="00EE49E8" w:rsidRPr="00E06FD5" w:rsidRDefault="00EE49E8" w:rsidP="00196060">
          <w:pPr>
            <w:pStyle w:val="Header"/>
            <w:tabs>
              <w:tab w:val="left" w:pos="6314"/>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640688">
            <w:rPr>
              <w:bCs/>
            </w:rPr>
            <w:t>SFP-</w:t>
          </w:r>
          <w:r w:rsidR="00196060">
            <w:rPr>
              <w:bCs/>
            </w:rPr>
            <w:t>4</w:t>
          </w:r>
          <w:r w:rsidR="00A52C84" w:rsidRPr="00623AE3">
            <w:rPr>
              <w:bCs/>
            </w:rPr>
            <w:t>/</w:t>
          </w:r>
          <w:r w:rsidR="00805478">
            <w:rPr>
              <w:bCs/>
            </w:rPr>
            <w:t>14</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28E55B31" w:rsidR="00EE49E8" w:rsidRDefault="00A52C84" w:rsidP="00EE49E8">
          <w:pPr>
            <w:pStyle w:val="Header"/>
            <w:jc w:val="left"/>
            <w:rPr>
              <w:noProof/>
            </w:rPr>
          </w:pPr>
          <w:hyperlink r:id="rId1" w:history="1">
            <w:r w:rsidRPr="00196060">
              <w:rPr>
                <w:rStyle w:val="Hyperlink"/>
              </w:rPr>
              <w:t>council.itu.int/working-groups</w:t>
            </w:r>
          </w:hyperlink>
        </w:p>
      </w:tc>
      <w:tc>
        <w:tcPr>
          <w:tcW w:w="6957" w:type="dxa"/>
        </w:tcPr>
        <w:p w14:paraId="3F62E0D8" w14:textId="1C744499" w:rsidR="00EE49E8" w:rsidRPr="00E06FD5" w:rsidRDefault="00EE49E8" w:rsidP="00196060">
          <w:pPr>
            <w:pStyle w:val="Header"/>
            <w:tabs>
              <w:tab w:val="left" w:pos="5148"/>
              <w:tab w:val="right" w:pos="8505"/>
              <w:tab w:val="right" w:pos="9639"/>
            </w:tabs>
            <w:jc w:val="left"/>
            <w:rPr>
              <w:rFonts w:ascii="Arial" w:hAnsi="Arial" w:cs="Arial"/>
              <w:b/>
              <w:bCs/>
              <w:szCs w:val="18"/>
            </w:rPr>
          </w:pPr>
          <w:r>
            <w:rPr>
              <w:bCs/>
            </w:rPr>
            <w:tab/>
          </w:r>
          <w:r w:rsidRPr="00623AE3">
            <w:rPr>
              <w:bCs/>
            </w:rPr>
            <w:t>C</w:t>
          </w:r>
          <w:r w:rsidR="00A52C84">
            <w:rPr>
              <w:bCs/>
            </w:rPr>
            <w:t>WG-</w:t>
          </w:r>
          <w:r w:rsidR="00640688">
            <w:rPr>
              <w:bCs/>
            </w:rPr>
            <w:t>SFP-</w:t>
          </w:r>
          <w:r w:rsidR="00196060">
            <w:rPr>
              <w:bCs/>
            </w:rPr>
            <w:t>4</w:t>
          </w:r>
          <w:r w:rsidRPr="00623AE3">
            <w:rPr>
              <w:bCs/>
            </w:rPr>
            <w:t>/</w:t>
          </w:r>
          <w:r w:rsidR="00805478">
            <w:rPr>
              <w:bCs/>
            </w:rPr>
            <w:t>14</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51B36CB4"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196060">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436E55">
                            <w:rPr>
                              <w:sz w:val="20"/>
                            </w:rPr>
                            <w:t>12</w:t>
                          </w:r>
                          <w:r w:rsidR="00196060">
                            <w:rPr>
                              <w:sz w:val="20"/>
                            </w:rPr>
                            <w:t xml:space="preserve"> </w:t>
                          </w:r>
                          <w:r w:rsidR="00640688">
                            <w:rPr>
                              <w:sz w:val="20"/>
                            </w:rPr>
                            <w:t xml:space="preserve">to </w:t>
                          </w:r>
                          <w:r w:rsidR="00436E55">
                            <w:rPr>
                              <w:sz w:val="20"/>
                            </w:rPr>
                            <w:t>14</w:t>
                          </w:r>
                          <w:r w:rsidR="001F53FD">
                            <w:rPr>
                              <w:sz w:val="20"/>
                            </w:rPr>
                            <w:t xml:space="preserve"> (a.m.)</w:t>
                          </w:r>
                          <w:r w:rsidR="00436E55">
                            <w:rPr>
                              <w:sz w:val="20"/>
                            </w:rPr>
                            <w:t xml:space="preserve"> </w:t>
                          </w:r>
                          <w:r w:rsidR="00196060">
                            <w:rPr>
                              <w:sz w:val="20"/>
                            </w:rPr>
                            <w:t xml:space="preserve">January </w:t>
                          </w:r>
                          <w:r w:rsidR="00E03C3D">
                            <w:rPr>
                              <w:sz w:val="20"/>
                            </w:rPr>
                            <w:t>202</w:t>
                          </w:r>
                          <w:r w:rsidR="00196060">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51B36CB4"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196060">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436E55">
                      <w:rPr>
                        <w:sz w:val="20"/>
                      </w:rPr>
                      <w:t>12</w:t>
                    </w:r>
                    <w:r w:rsidR="00196060">
                      <w:rPr>
                        <w:sz w:val="20"/>
                      </w:rPr>
                      <w:t xml:space="preserve"> </w:t>
                    </w:r>
                    <w:r w:rsidR="00640688">
                      <w:rPr>
                        <w:sz w:val="20"/>
                      </w:rPr>
                      <w:t xml:space="preserve">to </w:t>
                    </w:r>
                    <w:r w:rsidR="00436E55">
                      <w:rPr>
                        <w:sz w:val="20"/>
                      </w:rPr>
                      <w:t>14</w:t>
                    </w:r>
                    <w:r w:rsidR="001F53FD">
                      <w:rPr>
                        <w:sz w:val="20"/>
                      </w:rPr>
                      <w:t xml:space="preserve"> (a.m.)</w:t>
                    </w:r>
                    <w:r w:rsidR="00436E55">
                      <w:rPr>
                        <w:sz w:val="20"/>
                      </w:rPr>
                      <w:t xml:space="preserve"> </w:t>
                    </w:r>
                    <w:r w:rsidR="00196060">
                      <w:rPr>
                        <w:sz w:val="20"/>
                      </w:rPr>
                      <w:t xml:space="preserve">January </w:t>
                    </w:r>
                    <w:r w:rsidR="00E03C3D">
                      <w:rPr>
                        <w:sz w:val="20"/>
                      </w:rPr>
                      <w:t>202</w:t>
                    </w:r>
                    <w:r w:rsidR="00196060">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26311FD"/>
    <w:multiLevelType w:val="multilevel"/>
    <w:tmpl w:val="78DE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CB0E6E"/>
    <w:multiLevelType w:val="multilevel"/>
    <w:tmpl w:val="9568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816267">
    <w:abstractNumId w:val="0"/>
  </w:num>
  <w:num w:numId="2" w16cid:durableId="529101429">
    <w:abstractNumId w:val="2"/>
  </w:num>
  <w:num w:numId="3" w16cid:durableId="687830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CF2"/>
    <w:rsid w:val="000B1705"/>
    <w:rsid w:val="000D75B2"/>
    <w:rsid w:val="001121F5"/>
    <w:rsid w:val="00130599"/>
    <w:rsid w:val="001400DC"/>
    <w:rsid w:val="00140CE1"/>
    <w:rsid w:val="001751FF"/>
    <w:rsid w:val="0017539C"/>
    <w:rsid w:val="00175AC2"/>
    <w:rsid w:val="0017609F"/>
    <w:rsid w:val="00196060"/>
    <w:rsid w:val="0019628A"/>
    <w:rsid w:val="001A7D1D"/>
    <w:rsid w:val="001B51DD"/>
    <w:rsid w:val="001C628E"/>
    <w:rsid w:val="001E0F7B"/>
    <w:rsid w:val="001E0FBE"/>
    <w:rsid w:val="001F53FD"/>
    <w:rsid w:val="002119FD"/>
    <w:rsid w:val="002130E0"/>
    <w:rsid w:val="00215A2C"/>
    <w:rsid w:val="002404ED"/>
    <w:rsid w:val="00244F7F"/>
    <w:rsid w:val="00260ACE"/>
    <w:rsid w:val="00264425"/>
    <w:rsid w:val="00265875"/>
    <w:rsid w:val="0027303B"/>
    <w:rsid w:val="00273D16"/>
    <w:rsid w:val="002752FB"/>
    <w:rsid w:val="0028109B"/>
    <w:rsid w:val="002A2188"/>
    <w:rsid w:val="002B1F58"/>
    <w:rsid w:val="002C1C7A"/>
    <w:rsid w:val="002C54E2"/>
    <w:rsid w:val="0030160F"/>
    <w:rsid w:val="00320223"/>
    <w:rsid w:val="00322D0D"/>
    <w:rsid w:val="00361465"/>
    <w:rsid w:val="003877F5"/>
    <w:rsid w:val="003942D4"/>
    <w:rsid w:val="003958A8"/>
    <w:rsid w:val="003C2533"/>
    <w:rsid w:val="003D55B9"/>
    <w:rsid w:val="003D5A7F"/>
    <w:rsid w:val="004016E2"/>
    <w:rsid w:val="0040435A"/>
    <w:rsid w:val="00416A24"/>
    <w:rsid w:val="00431D9E"/>
    <w:rsid w:val="00433CE8"/>
    <w:rsid w:val="00434A5C"/>
    <w:rsid w:val="00436E55"/>
    <w:rsid w:val="004544D9"/>
    <w:rsid w:val="00472BAD"/>
    <w:rsid w:val="00473E44"/>
    <w:rsid w:val="00484009"/>
    <w:rsid w:val="00490E72"/>
    <w:rsid w:val="00491157"/>
    <w:rsid w:val="004921C8"/>
    <w:rsid w:val="00495B0B"/>
    <w:rsid w:val="004A1B8B"/>
    <w:rsid w:val="004D1851"/>
    <w:rsid w:val="004D599D"/>
    <w:rsid w:val="004E2037"/>
    <w:rsid w:val="004E2EA5"/>
    <w:rsid w:val="004E3AEB"/>
    <w:rsid w:val="0050223C"/>
    <w:rsid w:val="005243FF"/>
    <w:rsid w:val="00564FBC"/>
    <w:rsid w:val="005800BC"/>
    <w:rsid w:val="00582442"/>
    <w:rsid w:val="005A335D"/>
    <w:rsid w:val="005E2BD5"/>
    <w:rsid w:val="005E413D"/>
    <w:rsid w:val="005F3269"/>
    <w:rsid w:val="00623AE3"/>
    <w:rsid w:val="00634501"/>
    <w:rsid w:val="00640688"/>
    <w:rsid w:val="0064737F"/>
    <w:rsid w:val="006535F1"/>
    <w:rsid w:val="0065557D"/>
    <w:rsid w:val="00660D50"/>
    <w:rsid w:val="00662984"/>
    <w:rsid w:val="006716BB"/>
    <w:rsid w:val="00676C7D"/>
    <w:rsid w:val="006B1859"/>
    <w:rsid w:val="006B6680"/>
    <w:rsid w:val="006B6DCC"/>
    <w:rsid w:val="00702DEF"/>
    <w:rsid w:val="00706861"/>
    <w:rsid w:val="0075051B"/>
    <w:rsid w:val="00775655"/>
    <w:rsid w:val="00793188"/>
    <w:rsid w:val="00794D34"/>
    <w:rsid w:val="00805478"/>
    <w:rsid w:val="00813E5E"/>
    <w:rsid w:val="0083581B"/>
    <w:rsid w:val="00863874"/>
    <w:rsid w:val="00864AFF"/>
    <w:rsid w:val="00865925"/>
    <w:rsid w:val="00891503"/>
    <w:rsid w:val="008964B4"/>
    <w:rsid w:val="008B4A6A"/>
    <w:rsid w:val="008C7E27"/>
    <w:rsid w:val="008F7448"/>
    <w:rsid w:val="0090147A"/>
    <w:rsid w:val="009173EF"/>
    <w:rsid w:val="00932906"/>
    <w:rsid w:val="00961B0B"/>
    <w:rsid w:val="00962D33"/>
    <w:rsid w:val="00971C28"/>
    <w:rsid w:val="009B2D4B"/>
    <w:rsid w:val="009B38C3"/>
    <w:rsid w:val="009C253A"/>
    <w:rsid w:val="009E17BD"/>
    <w:rsid w:val="009E485A"/>
    <w:rsid w:val="009F347C"/>
    <w:rsid w:val="00A04CEC"/>
    <w:rsid w:val="00A27F92"/>
    <w:rsid w:val="00A32257"/>
    <w:rsid w:val="00A34664"/>
    <w:rsid w:val="00A36D20"/>
    <w:rsid w:val="00A467DF"/>
    <w:rsid w:val="00A514A4"/>
    <w:rsid w:val="00A52C84"/>
    <w:rsid w:val="00A55622"/>
    <w:rsid w:val="00A83502"/>
    <w:rsid w:val="00A94376"/>
    <w:rsid w:val="00AD15B3"/>
    <w:rsid w:val="00AD3606"/>
    <w:rsid w:val="00AD4A3D"/>
    <w:rsid w:val="00AF6E49"/>
    <w:rsid w:val="00B04A67"/>
    <w:rsid w:val="00B0583C"/>
    <w:rsid w:val="00B358B2"/>
    <w:rsid w:val="00B40A81"/>
    <w:rsid w:val="00B44910"/>
    <w:rsid w:val="00B72267"/>
    <w:rsid w:val="00B76EB6"/>
    <w:rsid w:val="00B7737B"/>
    <w:rsid w:val="00B824C8"/>
    <w:rsid w:val="00B84B9D"/>
    <w:rsid w:val="00BC251A"/>
    <w:rsid w:val="00BD032B"/>
    <w:rsid w:val="00BD1693"/>
    <w:rsid w:val="00BD6503"/>
    <w:rsid w:val="00BE2640"/>
    <w:rsid w:val="00C01189"/>
    <w:rsid w:val="00C374DE"/>
    <w:rsid w:val="00C47AD4"/>
    <w:rsid w:val="00C52D81"/>
    <w:rsid w:val="00C55198"/>
    <w:rsid w:val="00CA6393"/>
    <w:rsid w:val="00CA7CB8"/>
    <w:rsid w:val="00CB18FF"/>
    <w:rsid w:val="00CD0C08"/>
    <w:rsid w:val="00CE03FB"/>
    <w:rsid w:val="00CE433C"/>
    <w:rsid w:val="00CF0161"/>
    <w:rsid w:val="00CF33F3"/>
    <w:rsid w:val="00D06183"/>
    <w:rsid w:val="00D22C42"/>
    <w:rsid w:val="00D464CC"/>
    <w:rsid w:val="00D53C61"/>
    <w:rsid w:val="00D65041"/>
    <w:rsid w:val="00DB00D5"/>
    <w:rsid w:val="00DB1936"/>
    <w:rsid w:val="00DB384B"/>
    <w:rsid w:val="00DF0189"/>
    <w:rsid w:val="00E03C3D"/>
    <w:rsid w:val="00E06FD5"/>
    <w:rsid w:val="00E10E80"/>
    <w:rsid w:val="00E124F0"/>
    <w:rsid w:val="00E227F3"/>
    <w:rsid w:val="00E545C6"/>
    <w:rsid w:val="00E60F04"/>
    <w:rsid w:val="00E65B24"/>
    <w:rsid w:val="00E854E4"/>
    <w:rsid w:val="00E86DBF"/>
    <w:rsid w:val="00EB0D6F"/>
    <w:rsid w:val="00EB2232"/>
    <w:rsid w:val="00EC5337"/>
    <w:rsid w:val="00ED454D"/>
    <w:rsid w:val="00EE49E8"/>
    <w:rsid w:val="00F16BAB"/>
    <w:rsid w:val="00F2150A"/>
    <w:rsid w:val="00F231D8"/>
    <w:rsid w:val="00F264CE"/>
    <w:rsid w:val="00F44C00"/>
    <w:rsid w:val="00F45D2C"/>
    <w:rsid w:val="00F46C5F"/>
    <w:rsid w:val="00F60A1F"/>
    <w:rsid w:val="00F632C0"/>
    <w:rsid w:val="00F74694"/>
    <w:rsid w:val="00F94A63"/>
    <w:rsid w:val="00FA1C28"/>
    <w:rsid w:val="00FB1279"/>
    <w:rsid w:val="00FB6B76"/>
    <w:rsid w:val="00FB7596"/>
    <w:rsid w:val="00FD701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2752FB"/>
    <w:rPr>
      <w:color w:val="666666"/>
    </w:rPr>
  </w:style>
  <w:style w:type="paragraph" w:styleId="NormalWeb">
    <w:name w:val="Normal (Web)"/>
    <w:basedOn w:val="Normal"/>
    <w:uiPriority w:val="99"/>
    <w:semiHidden/>
    <w:unhideWhenUsed/>
    <w:rsid w:val="00805478"/>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WGSFP3-C-0007/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meetingdoc.asp?lang=en&amp;parent=S26-CWGSFP4-INF-000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md/meetingdoc.asp?lang=en&amp;parent=S26-CWGSFP4-INF-0001" TargetMode="External"/><Relationship Id="rId4" Type="http://schemas.openxmlformats.org/officeDocument/2006/relationships/settings" Target="settings.xml"/><Relationship Id="rId9" Type="http://schemas.openxmlformats.org/officeDocument/2006/relationships/hyperlink" Target="https://www.itu.int/md/S25-CWGSFP3-C-0006/e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6483</Characters>
  <Application>Microsoft Office Word</Application>
  <DocSecurity>0</DocSecurity>
  <Lines>432</Lines>
  <Paragraphs>292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7318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Maintaining a high-level and enduring ITU Strategic Plan (2028-2031)</dc:title>
  <dc:subject>ITU Council Working Group on Financial and Human Resources</dc:subject>
  <dc:creator/>
  <cp:keywords>CWG-SFP; Council-26; C26</cp:keywords>
  <dc:description/>
  <cp:lastModifiedBy/>
  <cp:revision>1</cp:revision>
  <dcterms:created xsi:type="dcterms:W3CDTF">2026-01-06T10:19:00Z</dcterms:created>
  <dcterms:modified xsi:type="dcterms:W3CDTF">2026-01-06T10:19:00Z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dcf76eb8-ec84-4b71-97bc-9e960c51973a</vt:lpwstr>
  </property>
</Properties>
</file>