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752FB"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6E91B95" w:rsidR="00AD3606" w:rsidRPr="002752FB" w:rsidRDefault="00AD3606" w:rsidP="00472BAD">
            <w:pPr>
              <w:tabs>
                <w:tab w:val="left" w:pos="851"/>
              </w:tabs>
              <w:spacing w:before="0" w:line="240" w:lineRule="atLeast"/>
              <w:jc w:val="right"/>
              <w:rPr>
                <w:b/>
                <w:lang w:val="it-IT"/>
              </w:rPr>
            </w:pPr>
            <w:r w:rsidRPr="002752FB">
              <w:rPr>
                <w:b/>
                <w:lang w:val="it-IT"/>
              </w:rPr>
              <w:t>Document C</w:t>
            </w:r>
            <w:r w:rsidR="00A52C84" w:rsidRPr="002752FB">
              <w:rPr>
                <w:b/>
                <w:lang w:val="it-IT"/>
              </w:rPr>
              <w:t>WG-</w:t>
            </w:r>
            <w:r w:rsidR="00F264CE" w:rsidRPr="002752FB">
              <w:rPr>
                <w:b/>
                <w:lang w:val="it-IT"/>
              </w:rPr>
              <w:t>SFP-</w:t>
            </w:r>
            <w:r w:rsidR="00196060" w:rsidRPr="002752FB">
              <w:rPr>
                <w:b/>
                <w:lang w:val="it-IT"/>
              </w:rPr>
              <w:t>4</w:t>
            </w:r>
            <w:r w:rsidRPr="002752FB">
              <w:rPr>
                <w:b/>
                <w:lang w:val="it-IT"/>
              </w:rPr>
              <w:t>/</w:t>
            </w:r>
            <w:r w:rsidR="00A84DF2">
              <w:rPr>
                <w:b/>
                <w:lang w:val="it-IT"/>
              </w:rPr>
              <w:t>12</w:t>
            </w:r>
          </w:p>
        </w:tc>
      </w:tr>
      <w:tr w:rsidR="00AD3606" w:rsidRPr="002752FB" w14:paraId="789B45BA" w14:textId="77777777" w:rsidTr="00AD3606">
        <w:trPr>
          <w:cantSplit/>
        </w:trPr>
        <w:tc>
          <w:tcPr>
            <w:tcW w:w="3969" w:type="dxa"/>
            <w:vMerge/>
          </w:tcPr>
          <w:p w14:paraId="3F3D4E17" w14:textId="77777777" w:rsidR="00AD3606" w:rsidRPr="002752F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2D8B8688" w:rsidR="00AD3606" w:rsidRPr="002752FB" w:rsidRDefault="00A84DF2" w:rsidP="00AD3606">
            <w:pPr>
              <w:tabs>
                <w:tab w:val="left" w:pos="851"/>
              </w:tabs>
              <w:spacing w:before="0"/>
              <w:jc w:val="right"/>
              <w:rPr>
                <w:b/>
              </w:rPr>
            </w:pPr>
            <w:r>
              <w:rPr>
                <w:b/>
              </w:rPr>
              <w:t>29 December 2025</w:t>
            </w:r>
          </w:p>
        </w:tc>
      </w:tr>
      <w:tr w:rsidR="00AD3606" w:rsidRPr="002752FB" w14:paraId="58A84C4A" w14:textId="77777777" w:rsidTr="00AD3606">
        <w:trPr>
          <w:cantSplit/>
          <w:trHeight w:val="23"/>
        </w:trPr>
        <w:tc>
          <w:tcPr>
            <w:tcW w:w="3969" w:type="dxa"/>
            <w:vMerge/>
          </w:tcPr>
          <w:p w14:paraId="77CEDDAA" w14:textId="77777777" w:rsidR="00AD3606" w:rsidRPr="002752FB"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2752FB" w:rsidRDefault="00891503" w:rsidP="00AD3606">
            <w:pPr>
              <w:tabs>
                <w:tab w:val="left" w:pos="851"/>
              </w:tabs>
              <w:spacing w:before="0" w:line="240" w:lineRule="atLeast"/>
              <w:jc w:val="right"/>
              <w:rPr>
                <w:b/>
              </w:rPr>
            </w:pPr>
            <w:r w:rsidRPr="002752FB">
              <w:rPr>
                <w:b/>
              </w:rPr>
              <w:t>English</w:t>
            </w:r>
            <w:r w:rsidR="009B2D4B" w:rsidRPr="002752FB">
              <w:rPr>
                <w:b/>
              </w:rPr>
              <w:t xml:space="preserve"> only</w:t>
            </w:r>
          </w:p>
        </w:tc>
      </w:tr>
      <w:tr w:rsidR="00472BAD" w:rsidRPr="002752FB" w14:paraId="12C5EF5F" w14:textId="77777777" w:rsidTr="00AD3606">
        <w:trPr>
          <w:cantSplit/>
          <w:trHeight w:val="23"/>
        </w:trPr>
        <w:tc>
          <w:tcPr>
            <w:tcW w:w="3969" w:type="dxa"/>
          </w:tcPr>
          <w:p w14:paraId="4B839BA2" w14:textId="77777777" w:rsidR="00472BAD" w:rsidRPr="002752FB" w:rsidRDefault="00472BAD" w:rsidP="00AD3606">
            <w:pPr>
              <w:tabs>
                <w:tab w:val="left" w:pos="851"/>
              </w:tabs>
              <w:spacing w:line="240" w:lineRule="atLeast"/>
              <w:rPr>
                <w:b/>
              </w:rPr>
            </w:pPr>
          </w:p>
        </w:tc>
        <w:tc>
          <w:tcPr>
            <w:tcW w:w="5245" w:type="dxa"/>
          </w:tcPr>
          <w:p w14:paraId="12F66D25" w14:textId="77777777" w:rsidR="00472BAD" w:rsidRPr="002752FB" w:rsidRDefault="00472BAD" w:rsidP="00AD3606">
            <w:pPr>
              <w:tabs>
                <w:tab w:val="left" w:pos="851"/>
              </w:tabs>
              <w:spacing w:before="0" w:line="240" w:lineRule="atLeast"/>
              <w:jc w:val="right"/>
              <w:rPr>
                <w:b/>
              </w:rPr>
            </w:pPr>
          </w:p>
        </w:tc>
      </w:tr>
      <w:tr w:rsidR="00AD3606" w:rsidRPr="002752FB" w14:paraId="27000B2A" w14:textId="77777777" w:rsidTr="00AD3606">
        <w:trPr>
          <w:cantSplit/>
        </w:trPr>
        <w:tc>
          <w:tcPr>
            <w:tcW w:w="9214" w:type="dxa"/>
            <w:gridSpan w:val="2"/>
            <w:tcMar>
              <w:left w:w="0" w:type="dxa"/>
            </w:tcMar>
          </w:tcPr>
          <w:p w14:paraId="4E7CDB90" w14:textId="2E1677A7" w:rsidR="00AD3606" w:rsidRPr="002752FB" w:rsidRDefault="00A84DF2" w:rsidP="00676C7D">
            <w:pPr>
              <w:pStyle w:val="Source"/>
              <w:framePr w:hSpace="0" w:wrap="auto" w:vAnchor="margin" w:hAnchor="text" w:xAlign="left" w:yAlign="inline"/>
            </w:pPr>
            <w:bookmarkStart w:id="8" w:name="dsource" w:colFirst="0" w:colLast="0"/>
            <w:bookmarkEnd w:id="7"/>
            <w:r w:rsidRPr="002B1A17">
              <w:rPr>
                <w:rFonts w:asciiTheme="minorHAnsi" w:hAnsiTheme="minorHAnsi" w:cstheme="minorHAnsi"/>
              </w:rPr>
              <w:t xml:space="preserve">Contribution by </w:t>
            </w:r>
            <w:r>
              <w:rPr>
                <w:rFonts w:asciiTheme="minorHAnsi" w:hAnsiTheme="minorHAnsi" w:cstheme="minorHAnsi"/>
              </w:rPr>
              <w:t>Nigeria</w:t>
            </w:r>
            <w:r>
              <w:rPr>
                <w:rFonts w:asciiTheme="minorHAnsi" w:hAnsiTheme="minorHAnsi" w:cstheme="minorHAnsi"/>
              </w:rPr>
              <w:t xml:space="preserve"> (</w:t>
            </w:r>
            <w:r>
              <w:rPr>
                <w:rFonts w:asciiTheme="minorHAnsi" w:hAnsiTheme="minorHAnsi" w:cstheme="minorHAnsi"/>
              </w:rPr>
              <w:t>Federal Republic of</w:t>
            </w:r>
            <w:r>
              <w:rPr>
                <w:rFonts w:asciiTheme="minorHAnsi" w:hAnsiTheme="minorHAnsi" w:cstheme="minorHAnsi"/>
              </w:rPr>
              <w:t>)</w:t>
            </w:r>
            <w:r>
              <w:rPr>
                <w:rFonts w:asciiTheme="minorHAnsi" w:hAnsiTheme="minorHAnsi" w:cstheme="minorHAnsi"/>
              </w:rPr>
              <w:t>, Tanzania</w:t>
            </w:r>
            <w:r w:rsidR="00FE0EAC">
              <w:rPr>
                <w:rFonts w:asciiTheme="minorHAnsi" w:hAnsiTheme="minorHAnsi" w:cstheme="minorHAnsi"/>
              </w:rPr>
              <w:t xml:space="preserve"> </w:t>
            </w:r>
            <w:r w:rsidR="00FE0EAC" w:rsidRPr="00FE0EAC">
              <w:rPr>
                <w:rFonts w:asciiTheme="minorHAnsi" w:hAnsiTheme="minorHAnsi" w:cstheme="minorHAnsi"/>
              </w:rPr>
              <w:t>(United Republic of</w:t>
            </w:r>
            <w:r w:rsidR="00FE0EAC">
              <w:rPr>
                <w:rFonts w:asciiTheme="minorHAnsi" w:hAnsiTheme="minorHAnsi" w:cstheme="minorHAnsi"/>
              </w:rPr>
              <w:t>)</w:t>
            </w:r>
            <w:r>
              <w:rPr>
                <w:rFonts w:asciiTheme="minorHAnsi" w:hAnsiTheme="minorHAnsi" w:cstheme="minorHAnsi"/>
              </w:rPr>
              <w:t>, South Africa</w:t>
            </w:r>
            <w:r w:rsidR="00FE0EAC">
              <w:t xml:space="preserve"> </w:t>
            </w:r>
            <w:r w:rsidR="00FE0EAC" w:rsidRPr="00FE0EAC">
              <w:rPr>
                <w:rFonts w:asciiTheme="minorHAnsi" w:hAnsiTheme="minorHAnsi" w:cstheme="minorHAnsi"/>
              </w:rPr>
              <w:t>(Republic of)</w:t>
            </w:r>
            <w:r>
              <w:rPr>
                <w:rFonts w:asciiTheme="minorHAnsi" w:hAnsiTheme="minorHAnsi" w:cstheme="minorHAnsi"/>
              </w:rPr>
              <w:t>, Rwanda</w:t>
            </w:r>
            <w:r w:rsidR="00FE0EAC" w:rsidRPr="00FE0EAC">
              <w:rPr>
                <w:rFonts w:asciiTheme="minorHAnsi" w:hAnsiTheme="minorHAnsi" w:cstheme="minorHAnsi"/>
              </w:rPr>
              <w:t xml:space="preserve"> (Republic of)</w:t>
            </w:r>
            <w:r>
              <w:rPr>
                <w:rFonts w:asciiTheme="minorHAnsi" w:hAnsiTheme="minorHAnsi" w:cstheme="minorHAnsi"/>
              </w:rPr>
              <w:t>, Kenya</w:t>
            </w:r>
            <w:r w:rsidR="00FE0EAC">
              <w:rPr>
                <w:rFonts w:asciiTheme="minorHAnsi" w:hAnsiTheme="minorHAnsi" w:cstheme="minorHAnsi"/>
              </w:rPr>
              <w:t xml:space="preserve"> </w:t>
            </w:r>
            <w:r w:rsidR="00FE0EAC" w:rsidRPr="00FE0EAC">
              <w:rPr>
                <w:rFonts w:asciiTheme="minorHAnsi" w:hAnsiTheme="minorHAnsi" w:cstheme="minorHAnsi"/>
              </w:rPr>
              <w:t>(Republic of)</w:t>
            </w:r>
            <w:r>
              <w:rPr>
                <w:rFonts w:asciiTheme="minorHAnsi" w:hAnsiTheme="minorHAnsi" w:cstheme="minorHAnsi"/>
              </w:rPr>
              <w:t>, and Senegal</w:t>
            </w:r>
            <w:r w:rsidR="00FE0EAC">
              <w:rPr>
                <w:rFonts w:asciiTheme="minorHAnsi" w:hAnsiTheme="minorHAnsi" w:cstheme="minorHAnsi"/>
              </w:rPr>
              <w:t xml:space="preserve"> (</w:t>
            </w:r>
            <w:r w:rsidR="00FE0EAC">
              <w:rPr>
                <w:rFonts w:asciiTheme="minorHAnsi" w:hAnsiTheme="minorHAnsi" w:cstheme="minorHAnsi"/>
              </w:rPr>
              <w:t>Republic of)</w:t>
            </w:r>
          </w:p>
        </w:tc>
      </w:tr>
      <w:tr w:rsidR="00AD3606" w:rsidRPr="002752FB" w14:paraId="2340750D" w14:textId="77777777" w:rsidTr="00AD3606">
        <w:trPr>
          <w:cantSplit/>
        </w:trPr>
        <w:tc>
          <w:tcPr>
            <w:tcW w:w="9214" w:type="dxa"/>
            <w:gridSpan w:val="2"/>
            <w:tcMar>
              <w:left w:w="0" w:type="dxa"/>
            </w:tcMar>
          </w:tcPr>
          <w:p w14:paraId="47B91AA8" w14:textId="544FD1B2" w:rsidR="00AD3606" w:rsidRPr="002752FB" w:rsidRDefault="00FE0EAC" w:rsidP="00676C7D">
            <w:pPr>
              <w:pStyle w:val="Subtitle"/>
              <w:framePr w:hSpace="0" w:wrap="auto" w:xAlign="left" w:yAlign="inline"/>
            </w:pPr>
            <w:bookmarkStart w:id="9" w:name="dtitle1" w:colFirst="0" w:colLast="0"/>
            <w:bookmarkEnd w:id="8"/>
            <w:r w:rsidRPr="00FE0EAC">
              <w:t>COMMENTS ON DRAFT ANNEX 1 TO RESOLUTION 71</w:t>
            </w:r>
            <w:r w:rsidR="00035050">
              <w:t xml:space="preserve"> – </w:t>
            </w:r>
            <w:r w:rsidRPr="00FE0EAC">
              <w:t>ITU STRATEGIC PLAN FOR 2028-2031</w:t>
            </w:r>
          </w:p>
        </w:tc>
      </w:tr>
      <w:tr w:rsidR="00AD3606" w:rsidRPr="002752FB"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2752FB" w:rsidRDefault="00F16BAB" w:rsidP="00F16BAB">
            <w:pPr>
              <w:spacing w:before="160"/>
              <w:rPr>
                <w:b/>
                <w:bCs/>
                <w:sz w:val="26"/>
                <w:szCs w:val="26"/>
              </w:rPr>
            </w:pPr>
            <w:r w:rsidRPr="002752FB">
              <w:rPr>
                <w:b/>
                <w:bCs/>
                <w:sz w:val="26"/>
                <w:szCs w:val="26"/>
              </w:rPr>
              <w:t>Purpose</w:t>
            </w:r>
          </w:p>
          <w:p w14:paraId="68EFD545" w14:textId="6F714A95" w:rsidR="00FE0EAC" w:rsidRDefault="00FE0EAC" w:rsidP="000F6B61">
            <w:pPr>
              <w:jc w:val="both"/>
            </w:pPr>
            <w:r>
              <w:t>Following the 3</w:t>
            </w:r>
            <w:r w:rsidRPr="00735224">
              <w:rPr>
                <w:vertAlign w:val="superscript"/>
              </w:rPr>
              <w:t>rd</w:t>
            </w:r>
            <w:r>
              <w:t xml:space="preserve"> meeting of the Council Working Group for Strategic and Financial Plans </w:t>
            </w:r>
            <w:r w:rsidR="00735224">
              <w:t>(</w:t>
            </w:r>
            <w:r w:rsidR="00735224">
              <w:t>CWG-SFP</w:t>
            </w:r>
            <w:r w:rsidR="00735224">
              <w:t xml:space="preserve">) </w:t>
            </w:r>
            <w:r>
              <w:t>2028</w:t>
            </w:r>
            <w:r w:rsidR="000F6B61">
              <w:noBreakHyphen/>
            </w:r>
            <w:r>
              <w:t>2031 which held in September 2025, which discussed contributions received by the Council Working Group since its creation under Council Resolution 1428, ITU secretariat presented a proposed draft Annex 1 to Resolution 71 (Rev. Bucharest, 2022) of ITU strategic plan (2028-2031).</w:t>
            </w:r>
          </w:p>
          <w:p w14:paraId="2E09FE8B" w14:textId="27310B74" w:rsidR="00AD3606" w:rsidRPr="002752FB" w:rsidRDefault="00FE0EAC" w:rsidP="000F6B61">
            <w:pPr>
              <w:jc w:val="both"/>
            </w:pPr>
            <w:r>
              <w:t>This document presents our proposed amendments to Annex 1 to Resolution 71 (Rev.</w:t>
            </w:r>
            <w:r w:rsidR="000F6B61">
              <w:t> </w:t>
            </w:r>
            <w:r>
              <w:t>Bucharest, 2022) as presented by the Secretariat, and invites the CWG-SFP to consider these comments in the final document to be approved and presented to Council 2026.</w:t>
            </w:r>
          </w:p>
          <w:p w14:paraId="5076D5C4" w14:textId="28F00572" w:rsidR="00AD3606" w:rsidRPr="002752FB" w:rsidRDefault="00AD3606" w:rsidP="00F16BAB">
            <w:pPr>
              <w:spacing w:before="160"/>
              <w:rPr>
                <w:b/>
                <w:bCs/>
                <w:sz w:val="26"/>
                <w:szCs w:val="26"/>
              </w:rPr>
            </w:pPr>
            <w:r w:rsidRPr="002752FB">
              <w:rPr>
                <w:b/>
                <w:bCs/>
                <w:sz w:val="26"/>
                <w:szCs w:val="26"/>
              </w:rPr>
              <w:t>Action required</w:t>
            </w:r>
          </w:p>
          <w:p w14:paraId="53A776F1" w14:textId="276715CB" w:rsidR="00891503" w:rsidRPr="002752FB" w:rsidRDefault="000F6B61" w:rsidP="000F6B61">
            <w:pPr>
              <w:spacing w:before="160"/>
              <w:jc w:val="both"/>
            </w:pPr>
            <w:r w:rsidRPr="000F6B61">
              <w:t xml:space="preserve">The Council Working Group for strategic and financial plans 2028-2031 is invited to </w:t>
            </w:r>
            <w:r w:rsidRPr="004517E2">
              <w:rPr>
                <w:b/>
                <w:bCs/>
              </w:rPr>
              <w:t>consider</w:t>
            </w:r>
            <w:r w:rsidRPr="000F6B61">
              <w:t xml:space="preserve"> this document, with a view to ensuring that the concerns of </w:t>
            </w:r>
            <w:r w:rsidR="004517E2" w:rsidRPr="000F6B61">
              <w:t xml:space="preserve">Member States </w:t>
            </w:r>
            <w:r w:rsidRPr="000F6B61">
              <w:t>as relates to these observations are taken into consideration ahead of finalizing the ITU Strategic Plan 2028-2031.</w:t>
            </w:r>
          </w:p>
          <w:p w14:paraId="7E5DB0C5" w14:textId="77777777" w:rsidR="00196060" w:rsidRPr="002752FB" w:rsidRDefault="00196060">
            <w:r w:rsidRPr="002752FB">
              <w:t>_______________</w:t>
            </w:r>
          </w:p>
          <w:p w14:paraId="00DEE14C" w14:textId="07C0DCD5" w:rsidR="00AD3606" w:rsidRPr="002752FB" w:rsidRDefault="00AD3606" w:rsidP="00F16BAB">
            <w:pPr>
              <w:spacing w:before="160"/>
              <w:rPr>
                <w:b/>
                <w:bCs/>
                <w:i/>
                <w:iCs/>
                <w:sz w:val="26"/>
                <w:szCs w:val="26"/>
              </w:rPr>
            </w:pPr>
            <w:r w:rsidRPr="002752FB">
              <w:rPr>
                <w:b/>
                <w:bCs/>
                <w:sz w:val="26"/>
                <w:szCs w:val="26"/>
              </w:rPr>
              <w:t>References</w:t>
            </w:r>
          </w:p>
          <w:p w14:paraId="0175CD6C" w14:textId="02BD5FFE" w:rsidR="00AD3606" w:rsidRPr="002752FB" w:rsidRDefault="000F6B61" w:rsidP="00F16BAB">
            <w:pPr>
              <w:spacing w:after="160"/>
              <w:rPr>
                <w:i/>
                <w:iCs/>
                <w:sz w:val="22"/>
                <w:szCs w:val="22"/>
              </w:rPr>
            </w:pPr>
            <w:hyperlink r:id="rId8" w:history="1">
              <w:r w:rsidRPr="000F6B61">
                <w:rPr>
                  <w:rStyle w:val="Hyperlink"/>
                  <w:i/>
                  <w:iCs/>
                  <w:sz w:val="22"/>
                  <w:szCs w:val="22"/>
                </w:rPr>
                <w:t>CWG-SFP website</w:t>
              </w:r>
            </w:hyperlink>
            <w:r w:rsidRPr="000F6B61">
              <w:rPr>
                <w:i/>
                <w:iCs/>
                <w:sz w:val="22"/>
                <w:szCs w:val="22"/>
              </w:rPr>
              <w:t xml:space="preserve">; </w:t>
            </w:r>
            <w:r>
              <w:rPr>
                <w:i/>
                <w:iCs/>
                <w:sz w:val="22"/>
                <w:szCs w:val="22"/>
              </w:rPr>
              <w:t xml:space="preserve">Council </w:t>
            </w:r>
            <w:r w:rsidRPr="000F6B61">
              <w:rPr>
                <w:i/>
                <w:iCs/>
                <w:sz w:val="22"/>
                <w:szCs w:val="22"/>
              </w:rPr>
              <w:t xml:space="preserve">Resolution </w:t>
            </w:r>
            <w:hyperlink r:id="rId9" w:history="1">
              <w:r w:rsidRPr="000F6B61">
                <w:rPr>
                  <w:rStyle w:val="Hyperlink"/>
                  <w:i/>
                  <w:iCs/>
                  <w:sz w:val="22"/>
                  <w:szCs w:val="22"/>
                </w:rPr>
                <w:t>1428 (</w:t>
              </w:r>
              <w:proofErr w:type="spellStart"/>
              <w:r w:rsidRPr="000F6B61">
                <w:rPr>
                  <w:rStyle w:val="Hyperlink"/>
                  <w:i/>
                  <w:iCs/>
                  <w:sz w:val="22"/>
                  <w:szCs w:val="22"/>
                </w:rPr>
                <w:t>C24</w:t>
              </w:r>
              <w:proofErr w:type="spellEnd"/>
              <w:r w:rsidRPr="000F6B61">
                <w:rPr>
                  <w:rStyle w:val="Hyperlink"/>
                  <w:i/>
                  <w:iCs/>
                  <w:sz w:val="22"/>
                  <w:szCs w:val="22"/>
                </w:rPr>
                <w:t>)</w:t>
              </w:r>
            </w:hyperlink>
            <w:r>
              <w:rPr>
                <w:i/>
                <w:iCs/>
                <w:sz w:val="22"/>
                <w:szCs w:val="22"/>
              </w:rPr>
              <w:t>;</w:t>
            </w:r>
            <w:r w:rsidRPr="000F6B61">
              <w:rPr>
                <w:i/>
                <w:iCs/>
                <w:sz w:val="22"/>
                <w:szCs w:val="22"/>
              </w:rPr>
              <w:t xml:space="preserve"> </w:t>
            </w:r>
            <w:r>
              <w:rPr>
                <w:i/>
                <w:iCs/>
                <w:sz w:val="22"/>
                <w:szCs w:val="22"/>
              </w:rPr>
              <w:t xml:space="preserve">Document </w:t>
            </w:r>
            <w:hyperlink r:id="rId10" w:history="1">
              <w:r w:rsidRPr="000F6B61">
                <w:rPr>
                  <w:rStyle w:val="Hyperlink"/>
                  <w:i/>
                  <w:iCs/>
                  <w:sz w:val="22"/>
                  <w:szCs w:val="22"/>
                </w:rPr>
                <w:t>CWG-SFP-4/2</w:t>
              </w:r>
            </w:hyperlink>
          </w:p>
        </w:tc>
      </w:tr>
    </w:tbl>
    <w:p w14:paraId="4CDB8B60" w14:textId="77777777" w:rsidR="00E227F3" w:rsidRPr="002752FB"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3C091722" w14:textId="77777777" w:rsidR="00A84DF2" w:rsidRPr="002752FB"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sidRPr="002752FB">
        <w:rPr>
          <w:lang w:val="es-ES"/>
        </w:rPr>
        <w:br w:type="page"/>
      </w:r>
    </w:p>
    <w:p w14:paraId="3837E054" w14:textId="33D553BF" w:rsidR="00A84DF2" w:rsidRPr="004517E2" w:rsidRDefault="004517E2" w:rsidP="004517E2">
      <w:pPr>
        <w:pStyle w:val="Heading1"/>
      </w:pPr>
      <w:r w:rsidRPr="0016209C">
        <w:lastRenderedPageBreak/>
        <w:t>1</w:t>
      </w:r>
      <w:r w:rsidRPr="0016209C">
        <w:tab/>
      </w:r>
      <w:r w:rsidR="00A84DF2" w:rsidRPr="004517E2">
        <w:t>INTRODUCTION</w:t>
      </w:r>
    </w:p>
    <w:p w14:paraId="52A5C2CB" w14:textId="43415A9E" w:rsidR="00A84DF2" w:rsidRDefault="00A84DF2" w:rsidP="004517E2">
      <w:pPr>
        <w:jc w:val="both"/>
      </w:pPr>
      <w:r>
        <w:rPr>
          <w:lang w:val="en-US"/>
        </w:rPr>
        <w:t xml:space="preserve">Following comments received from Member States and discussions held during the last CWG meeting, </w:t>
      </w:r>
      <w:r w:rsidR="00035050">
        <w:rPr>
          <w:lang w:val="en-US"/>
        </w:rPr>
        <w:t xml:space="preserve">the </w:t>
      </w:r>
      <w:r>
        <w:rPr>
          <w:lang w:val="en-US"/>
        </w:rPr>
        <w:t xml:space="preserve">ITU secretariat has made proposed changes to </w:t>
      </w:r>
      <w:r w:rsidRPr="00F4637C">
        <w:t>Annex 1 to Resolution 71 (Rev.</w:t>
      </w:r>
      <w:r w:rsidR="00035050">
        <w:t> </w:t>
      </w:r>
      <w:r w:rsidRPr="00F4637C">
        <w:t>Bucharest, 2022)</w:t>
      </w:r>
      <w:r>
        <w:t>. The document is expected to be submitted to Council</w:t>
      </w:r>
      <w:r w:rsidR="00035050">
        <w:t>-</w:t>
      </w:r>
      <w:r>
        <w:t xml:space="preserve">26 for endorsement if approved by CWG-SFP in January 2026. </w:t>
      </w:r>
    </w:p>
    <w:p w14:paraId="3C2EBC24" w14:textId="3D3E35DE" w:rsidR="00A84DF2" w:rsidRDefault="00A84DF2" w:rsidP="004517E2">
      <w:pPr>
        <w:jc w:val="both"/>
      </w:pPr>
      <w:r>
        <w:t>This document contains a summary of our review and comments, as regards some of the amendments proposed by the secretariat.</w:t>
      </w:r>
    </w:p>
    <w:p w14:paraId="283DB0AE" w14:textId="212377CB" w:rsidR="00A84DF2" w:rsidRPr="004517E2" w:rsidRDefault="004517E2" w:rsidP="004517E2">
      <w:pPr>
        <w:pStyle w:val="Heading1"/>
      </w:pPr>
      <w:r>
        <w:t>2</w:t>
      </w:r>
      <w:r>
        <w:tab/>
      </w:r>
      <w:r w:rsidR="00A84DF2" w:rsidRPr="004517E2">
        <w:t>COMMENTS</w:t>
      </w:r>
    </w:p>
    <w:p w14:paraId="61AFC033" w14:textId="77777777" w:rsidR="00A84DF2" w:rsidRPr="00A22633" w:rsidRDefault="00A84DF2" w:rsidP="004517E2">
      <w:pPr>
        <w:jc w:val="both"/>
      </w:pPr>
      <w:r w:rsidRPr="00A22633">
        <w:t>The table below presents a list of observations regarding aspects of the secretariat’s proposed amendments, for CWG-SFP’s consideration:</w:t>
      </w:r>
    </w:p>
    <w:p w14:paraId="2E6D5F30" w14:textId="77777777" w:rsidR="00A84DF2" w:rsidRPr="00A22633" w:rsidRDefault="00A84DF2" w:rsidP="004517E2"/>
    <w:tbl>
      <w:tblPr>
        <w:tblStyle w:val="TableGrid"/>
        <w:tblW w:w="9639" w:type="dxa"/>
        <w:jc w:val="center"/>
        <w:tblLook w:val="04A0" w:firstRow="1" w:lastRow="0" w:firstColumn="1" w:lastColumn="0" w:noHBand="0" w:noVBand="1"/>
      </w:tblPr>
      <w:tblGrid>
        <w:gridCol w:w="2689"/>
        <w:gridCol w:w="3402"/>
        <w:gridCol w:w="3548"/>
      </w:tblGrid>
      <w:tr w:rsidR="00A84DF2" w:rsidRPr="00F85570" w14:paraId="1D8C8736" w14:textId="77777777" w:rsidTr="00035050">
        <w:trPr>
          <w:cantSplit/>
          <w:tblHeader/>
          <w:jc w:val="center"/>
        </w:trPr>
        <w:tc>
          <w:tcPr>
            <w:tcW w:w="2689" w:type="dxa"/>
          </w:tcPr>
          <w:p w14:paraId="34E9752D" w14:textId="77777777" w:rsidR="00A84DF2" w:rsidRPr="00F85570" w:rsidRDefault="00A84DF2" w:rsidP="00126ECE">
            <w:pPr>
              <w:pStyle w:val="Tablehead"/>
              <w:rPr>
                <w:lang w:val="en-US"/>
              </w:rPr>
            </w:pPr>
            <w:r>
              <w:rPr>
                <w:lang w:val="en-US"/>
              </w:rPr>
              <w:t>Section</w:t>
            </w:r>
          </w:p>
        </w:tc>
        <w:tc>
          <w:tcPr>
            <w:tcW w:w="3402" w:type="dxa"/>
          </w:tcPr>
          <w:p w14:paraId="7B4116C9" w14:textId="223AA6BA" w:rsidR="00A84DF2" w:rsidRPr="00F85570" w:rsidRDefault="00A84DF2" w:rsidP="00126ECE">
            <w:pPr>
              <w:pStyle w:val="Tablehead"/>
              <w:rPr>
                <w:lang w:val="en-US"/>
              </w:rPr>
            </w:pPr>
            <w:r>
              <w:rPr>
                <w:lang w:val="en-US"/>
              </w:rPr>
              <w:t xml:space="preserve">Secretariat’s </w:t>
            </w:r>
            <w:r w:rsidR="00126ECE">
              <w:rPr>
                <w:lang w:val="en-US"/>
              </w:rPr>
              <w:t>proposal</w:t>
            </w:r>
          </w:p>
        </w:tc>
        <w:tc>
          <w:tcPr>
            <w:tcW w:w="3548" w:type="dxa"/>
          </w:tcPr>
          <w:p w14:paraId="0B141C40" w14:textId="46724FA8" w:rsidR="00A84DF2" w:rsidRPr="00F85570" w:rsidRDefault="00A84DF2" w:rsidP="00126ECE">
            <w:pPr>
              <w:pStyle w:val="Tablehead"/>
              <w:rPr>
                <w:lang w:val="en-US"/>
              </w:rPr>
            </w:pPr>
            <w:r w:rsidRPr="00F85570">
              <w:rPr>
                <w:lang w:val="en-US"/>
              </w:rPr>
              <w:t xml:space="preserve">Our </w:t>
            </w:r>
            <w:r w:rsidR="00126ECE" w:rsidRPr="00F85570">
              <w:rPr>
                <w:lang w:val="en-US"/>
              </w:rPr>
              <w:t>comments</w:t>
            </w:r>
          </w:p>
        </w:tc>
      </w:tr>
      <w:tr w:rsidR="00A84DF2" w14:paraId="1A3F27BB" w14:textId="77777777" w:rsidTr="00035050">
        <w:trPr>
          <w:cantSplit/>
          <w:jc w:val="center"/>
        </w:trPr>
        <w:tc>
          <w:tcPr>
            <w:tcW w:w="2689" w:type="dxa"/>
          </w:tcPr>
          <w:p w14:paraId="332BF2CB" w14:textId="77777777" w:rsidR="00A84DF2" w:rsidRDefault="00A84DF2" w:rsidP="00126ECE">
            <w:pPr>
              <w:pStyle w:val="Tabletext"/>
              <w:rPr>
                <w:lang w:val="en-US"/>
              </w:rPr>
            </w:pPr>
            <w:r>
              <w:rPr>
                <w:lang w:val="en-US"/>
              </w:rPr>
              <w:t>Para. 7</w:t>
            </w:r>
          </w:p>
        </w:tc>
        <w:tc>
          <w:tcPr>
            <w:tcW w:w="3402" w:type="dxa"/>
          </w:tcPr>
          <w:p w14:paraId="380E16DC" w14:textId="77777777" w:rsidR="00A84DF2" w:rsidRPr="00D61216" w:rsidRDefault="00A84DF2" w:rsidP="00126ECE">
            <w:pPr>
              <w:pStyle w:val="Tabletext"/>
            </w:pPr>
            <w:r>
              <w:rPr>
                <w:lang w:val="en-US"/>
              </w:rPr>
              <w:t>Insertion of new para.7</w:t>
            </w:r>
          </w:p>
        </w:tc>
        <w:tc>
          <w:tcPr>
            <w:tcW w:w="3548" w:type="dxa"/>
          </w:tcPr>
          <w:p w14:paraId="0F8FC9D8" w14:textId="7BC97CFB" w:rsidR="00A84DF2" w:rsidRDefault="00A84DF2" w:rsidP="00126ECE">
            <w:pPr>
              <w:pStyle w:val="Tabletext"/>
              <w:rPr>
                <w:lang w:val="en-US"/>
              </w:rPr>
            </w:pPr>
            <w:r>
              <w:rPr>
                <w:lang w:val="en-US"/>
              </w:rPr>
              <w:t xml:space="preserve">We recommend a clarification of the term “unified strategic plan” and the link with the Strategic </w:t>
            </w:r>
            <w:r w:rsidR="00935615">
              <w:rPr>
                <w:lang w:val="en-US"/>
              </w:rPr>
              <w:t>Plan</w:t>
            </w:r>
            <w:r>
              <w:rPr>
                <w:lang w:val="en-US"/>
              </w:rPr>
              <w:t xml:space="preserve"> of the 3 sectors.</w:t>
            </w:r>
          </w:p>
        </w:tc>
      </w:tr>
      <w:tr w:rsidR="00A84DF2" w14:paraId="440DDAEC" w14:textId="77777777" w:rsidTr="00035050">
        <w:trPr>
          <w:cantSplit/>
          <w:jc w:val="center"/>
        </w:trPr>
        <w:tc>
          <w:tcPr>
            <w:tcW w:w="2689" w:type="dxa"/>
          </w:tcPr>
          <w:p w14:paraId="03E3F69F" w14:textId="77777777" w:rsidR="00A84DF2" w:rsidRDefault="00A84DF2" w:rsidP="00126ECE">
            <w:pPr>
              <w:pStyle w:val="Tabletext"/>
              <w:rPr>
                <w:lang w:val="en-US"/>
              </w:rPr>
            </w:pPr>
            <w:r>
              <w:rPr>
                <w:lang w:val="en-US"/>
              </w:rPr>
              <w:t xml:space="preserve">2.1 </w:t>
            </w:r>
          </w:p>
        </w:tc>
        <w:tc>
          <w:tcPr>
            <w:tcW w:w="3402" w:type="dxa"/>
          </w:tcPr>
          <w:p w14:paraId="5B78E264" w14:textId="77777777" w:rsidR="00A84DF2" w:rsidRDefault="00A84DF2" w:rsidP="00126ECE">
            <w:pPr>
              <w:pStyle w:val="Tabletext"/>
              <w:rPr>
                <w:lang w:val="en-US"/>
              </w:rPr>
            </w:pPr>
            <w:r>
              <w:rPr>
                <w:lang w:val="en-US"/>
              </w:rPr>
              <w:t>Proposal for definition of terms to be consolidated in the Annex: Glossary of Terms</w:t>
            </w:r>
          </w:p>
        </w:tc>
        <w:tc>
          <w:tcPr>
            <w:tcW w:w="3548" w:type="dxa"/>
          </w:tcPr>
          <w:p w14:paraId="4791EBBF" w14:textId="77777777" w:rsidR="00A84DF2" w:rsidRDefault="00A84DF2" w:rsidP="00126ECE">
            <w:pPr>
              <w:pStyle w:val="Tabletext"/>
              <w:rPr>
                <w:lang w:val="en-US"/>
              </w:rPr>
            </w:pPr>
            <w:r>
              <w:rPr>
                <w:lang w:val="en-US"/>
              </w:rPr>
              <w:t>We support this approach</w:t>
            </w:r>
          </w:p>
        </w:tc>
      </w:tr>
      <w:tr w:rsidR="00A84DF2" w14:paraId="447F7555" w14:textId="77777777" w:rsidTr="00035050">
        <w:trPr>
          <w:cantSplit/>
          <w:jc w:val="center"/>
        </w:trPr>
        <w:tc>
          <w:tcPr>
            <w:tcW w:w="2689" w:type="dxa"/>
          </w:tcPr>
          <w:p w14:paraId="62947616" w14:textId="7BCCB0F3" w:rsidR="00A84DF2" w:rsidRDefault="00A84DF2" w:rsidP="00126ECE">
            <w:pPr>
              <w:pStyle w:val="Tabletext"/>
              <w:rPr>
                <w:lang w:val="en-US"/>
              </w:rPr>
            </w:pPr>
            <w:r>
              <w:rPr>
                <w:lang w:val="en-US"/>
              </w:rPr>
              <w:t xml:space="preserve">2.3 Mission </w:t>
            </w:r>
          </w:p>
        </w:tc>
        <w:tc>
          <w:tcPr>
            <w:tcW w:w="3402" w:type="dxa"/>
          </w:tcPr>
          <w:p w14:paraId="74830879" w14:textId="15E92DF1" w:rsidR="00A84DF2" w:rsidRDefault="00A84DF2" w:rsidP="00126ECE">
            <w:pPr>
              <w:pStyle w:val="Tabletext"/>
              <w:rPr>
                <w:lang w:val="en-US"/>
              </w:rPr>
            </w:pPr>
            <w:r>
              <w:rPr>
                <w:lang w:val="en-US"/>
              </w:rPr>
              <w:t xml:space="preserve">Adjustment of the </w:t>
            </w:r>
            <w:r w:rsidR="00935615">
              <w:rPr>
                <w:lang w:val="en-US"/>
              </w:rPr>
              <w:t xml:space="preserve">mission </w:t>
            </w:r>
            <w:r>
              <w:rPr>
                <w:lang w:val="en-US"/>
              </w:rPr>
              <w:t>statement</w:t>
            </w:r>
          </w:p>
        </w:tc>
        <w:tc>
          <w:tcPr>
            <w:tcW w:w="3548" w:type="dxa"/>
          </w:tcPr>
          <w:p w14:paraId="61E90C08" w14:textId="2D942BE7" w:rsidR="00A84DF2" w:rsidRDefault="00A84DF2" w:rsidP="00126ECE">
            <w:pPr>
              <w:pStyle w:val="Tabletext"/>
              <w:rPr>
                <w:lang w:val="en-US"/>
              </w:rPr>
            </w:pPr>
            <w:r>
              <w:t>While we consider the a</w:t>
            </w:r>
            <w:r w:rsidRPr="00224BF0">
              <w:t xml:space="preserve">ddition of the term 'trusted' </w:t>
            </w:r>
            <w:r>
              <w:t>as</w:t>
            </w:r>
            <w:r w:rsidRPr="00224BF0">
              <w:t xml:space="preserve"> positive for security/confidence building</w:t>
            </w:r>
            <w:r>
              <w:t xml:space="preserve">, </w:t>
            </w:r>
            <w:r w:rsidRPr="00224BF0">
              <w:t>we do not support the elimination of the words “universal” and “development”</w:t>
            </w:r>
            <w:r>
              <w:t xml:space="preserve">, as they permit us to bring under the umbrella </w:t>
            </w:r>
            <w:r w:rsidRPr="00224BF0">
              <w:t xml:space="preserve">elements </w:t>
            </w:r>
            <w:r>
              <w:t>such as</w:t>
            </w:r>
            <w:r w:rsidRPr="00224BF0">
              <w:t xml:space="preserve"> capacity building</w:t>
            </w:r>
            <w:r w:rsidR="00935615">
              <w:t>,</w:t>
            </w:r>
            <w:r w:rsidRPr="00224BF0">
              <w:t xml:space="preserve"> which is very relevant for us as a region</w:t>
            </w:r>
            <w:r>
              <w:t>.</w:t>
            </w:r>
          </w:p>
        </w:tc>
      </w:tr>
      <w:tr w:rsidR="00A84DF2" w:rsidRPr="00126ECE" w14:paraId="6DE94B78" w14:textId="77777777" w:rsidTr="00035050">
        <w:trPr>
          <w:cantSplit/>
          <w:jc w:val="center"/>
        </w:trPr>
        <w:tc>
          <w:tcPr>
            <w:tcW w:w="9639" w:type="dxa"/>
            <w:gridSpan w:val="3"/>
          </w:tcPr>
          <w:p w14:paraId="68C52354" w14:textId="77777777" w:rsidR="00A84DF2" w:rsidRPr="00126ECE" w:rsidRDefault="00A84DF2" w:rsidP="00126ECE">
            <w:pPr>
              <w:pStyle w:val="Tabletext"/>
              <w:rPr>
                <w:b/>
                <w:bCs/>
                <w:lang w:val="en-US"/>
              </w:rPr>
            </w:pPr>
            <w:r w:rsidRPr="00126ECE">
              <w:rPr>
                <w:b/>
                <w:bCs/>
                <w:lang w:val="en-US"/>
              </w:rPr>
              <w:t xml:space="preserve">Section 2.5: </w:t>
            </w:r>
            <w:r w:rsidRPr="00126ECE">
              <w:rPr>
                <w:rFonts w:eastAsia="SimSun"/>
                <w:b/>
                <w:bCs/>
              </w:rPr>
              <w:t>Targets for Goals 1 and 2: Universal Connectivity</w:t>
            </w:r>
          </w:p>
        </w:tc>
      </w:tr>
      <w:tr w:rsidR="00A84DF2" w14:paraId="46388CD9" w14:textId="77777777" w:rsidTr="00035050">
        <w:trPr>
          <w:cantSplit/>
          <w:jc w:val="center"/>
        </w:trPr>
        <w:tc>
          <w:tcPr>
            <w:tcW w:w="2689" w:type="dxa"/>
          </w:tcPr>
          <w:p w14:paraId="2A012166" w14:textId="77777777" w:rsidR="00A84DF2" w:rsidRDefault="00A84DF2" w:rsidP="00126ECE">
            <w:pPr>
              <w:pStyle w:val="Tabletext"/>
              <w:rPr>
                <w:lang w:val="en-US"/>
              </w:rPr>
            </w:pPr>
            <w:r>
              <w:rPr>
                <w:lang w:val="en-US"/>
              </w:rPr>
              <w:t xml:space="preserve">1.2 </w:t>
            </w:r>
          </w:p>
        </w:tc>
        <w:tc>
          <w:tcPr>
            <w:tcW w:w="3402" w:type="dxa"/>
          </w:tcPr>
          <w:p w14:paraId="086B01A0" w14:textId="77777777" w:rsidR="00A84DF2" w:rsidRDefault="00A84DF2" w:rsidP="00126ECE">
            <w:pPr>
              <w:pStyle w:val="Tabletext"/>
              <w:rPr>
                <w:lang w:val="en-US"/>
              </w:rPr>
            </w:pPr>
            <w:r>
              <w:rPr>
                <w:lang w:val="en-US"/>
              </w:rPr>
              <w:t>Proposed amendment of text to read “Affordable Connectivity for All”</w:t>
            </w:r>
          </w:p>
        </w:tc>
        <w:tc>
          <w:tcPr>
            <w:tcW w:w="3548" w:type="dxa"/>
          </w:tcPr>
          <w:p w14:paraId="0C2A1A1D" w14:textId="77777777" w:rsidR="00A84DF2" w:rsidRDefault="00A84DF2" w:rsidP="00126ECE">
            <w:pPr>
              <w:pStyle w:val="Tabletext"/>
              <w:rPr>
                <w:lang w:val="en-US"/>
              </w:rPr>
            </w:pPr>
            <w:r>
              <w:t>We</w:t>
            </w:r>
            <w:r w:rsidRPr="003C72C9">
              <w:t xml:space="preserve"> support this </w:t>
            </w:r>
            <w:r>
              <w:t xml:space="preserve">amendment </w:t>
            </w:r>
            <w:r w:rsidRPr="003C72C9">
              <w:t>as it is a critical target for our region where connectivity costs remain a major barrier. The broadened language 'for all' strengthens universal service commitment.</w:t>
            </w:r>
          </w:p>
        </w:tc>
      </w:tr>
      <w:tr w:rsidR="00A84DF2" w14:paraId="596D0E33" w14:textId="77777777" w:rsidTr="00035050">
        <w:trPr>
          <w:cantSplit/>
          <w:jc w:val="center"/>
        </w:trPr>
        <w:tc>
          <w:tcPr>
            <w:tcW w:w="2689" w:type="dxa"/>
          </w:tcPr>
          <w:p w14:paraId="02803129" w14:textId="77777777" w:rsidR="00A84DF2" w:rsidRDefault="00A84DF2" w:rsidP="00126ECE">
            <w:pPr>
              <w:pStyle w:val="Tabletext"/>
              <w:rPr>
                <w:lang w:val="en-US"/>
              </w:rPr>
            </w:pPr>
            <w:r>
              <w:rPr>
                <w:lang w:val="en-US"/>
              </w:rPr>
              <w:t>1.3</w:t>
            </w:r>
          </w:p>
        </w:tc>
        <w:tc>
          <w:tcPr>
            <w:tcW w:w="3402" w:type="dxa"/>
          </w:tcPr>
          <w:p w14:paraId="0AEA9A96" w14:textId="77777777" w:rsidR="00A84DF2" w:rsidRDefault="00A84DF2" w:rsidP="00126ECE">
            <w:pPr>
              <w:pStyle w:val="Tabletext"/>
              <w:rPr>
                <w:lang w:val="en-US"/>
              </w:rPr>
            </w:pPr>
            <w:r>
              <w:rPr>
                <w:lang w:val="en-US"/>
              </w:rPr>
              <w:t>Deletion of the target “Broadband access to every household”</w:t>
            </w:r>
          </w:p>
        </w:tc>
        <w:tc>
          <w:tcPr>
            <w:tcW w:w="3548" w:type="dxa"/>
          </w:tcPr>
          <w:p w14:paraId="653911CF" w14:textId="4884C378" w:rsidR="00A84DF2" w:rsidRDefault="00A84DF2" w:rsidP="00126ECE">
            <w:pPr>
              <w:pStyle w:val="Tabletext"/>
              <w:rPr>
                <w:lang w:val="en-US"/>
              </w:rPr>
            </w:pPr>
            <w:r>
              <w:rPr>
                <w:lang w:val="en-US"/>
              </w:rPr>
              <w:t>We support this deletion for 2 reasons: 1) T</w:t>
            </w:r>
            <w:r w:rsidRPr="000D024A">
              <w:rPr>
                <w:lang w:val="en-US"/>
              </w:rPr>
              <w:t xml:space="preserve">he distinction between individual and household access is becoming less meaningful due to widespread mobile access and shared devices. </w:t>
            </w:r>
            <w:r>
              <w:rPr>
                <w:lang w:val="en-US"/>
              </w:rPr>
              <w:t>In addition</w:t>
            </w:r>
            <w:r w:rsidR="00935615">
              <w:rPr>
                <w:lang w:val="en-US"/>
              </w:rPr>
              <w:t>,</w:t>
            </w:r>
            <w:r>
              <w:rPr>
                <w:lang w:val="en-US"/>
              </w:rPr>
              <w:t xml:space="preserve"> 2) </w:t>
            </w:r>
            <w:r w:rsidR="00935615">
              <w:rPr>
                <w:lang w:val="en-US"/>
              </w:rPr>
              <w:t xml:space="preserve">the </w:t>
            </w:r>
            <w:r>
              <w:rPr>
                <w:lang w:val="en-US"/>
              </w:rPr>
              <w:t xml:space="preserve">measurement difficulties </w:t>
            </w:r>
          </w:p>
        </w:tc>
      </w:tr>
      <w:tr w:rsidR="00A84DF2" w14:paraId="669AD590" w14:textId="77777777" w:rsidTr="00035050">
        <w:trPr>
          <w:cantSplit/>
          <w:jc w:val="center"/>
        </w:trPr>
        <w:tc>
          <w:tcPr>
            <w:tcW w:w="2689" w:type="dxa"/>
          </w:tcPr>
          <w:p w14:paraId="47C6AD8B" w14:textId="77777777" w:rsidR="00A84DF2" w:rsidRDefault="00A84DF2" w:rsidP="00126ECE">
            <w:pPr>
              <w:pStyle w:val="Tabletext"/>
              <w:rPr>
                <w:lang w:val="en-US"/>
              </w:rPr>
            </w:pPr>
            <w:r>
              <w:rPr>
                <w:lang w:val="en-US"/>
              </w:rPr>
              <w:lastRenderedPageBreak/>
              <w:t>1.4</w:t>
            </w:r>
          </w:p>
        </w:tc>
        <w:tc>
          <w:tcPr>
            <w:tcW w:w="3402" w:type="dxa"/>
          </w:tcPr>
          <w:p w14:paraId="2BFC805E" w14:textId="77777777" w:rsidR="00A84DF2" w:rsidRDefault="00A84DF2" w:rsidP="00126ECE">
            <w:pPr>
              <w:pStyle w:val="Tabletext"/>
              <w:rPr>
                <w:lang w:val="en-US"/>
              </w:rPr>
            </w:pPr>
            <w:r>
              <w:rPr>
                <w:lang w:val="en-US"/>
              </w:rPr>
              <w:t>Proposed amendment of text to read: “Universal Access to internet enabled devices”</w:t>
            </w:r>
          </w:p>
        </w:tc>
        <w:tc>
          <w:tcPr>
            <w:tcW w:w="3548" w:type="dxa"/>
          </w:tcPr>
          <w:p w14:paraId="10D56BF2" w14:textId="77777777" w:rsidR="00A84DF2" w:rsidRDefault="00A84DF2" w:rsidP="00126ECE">
            <w:pPr>
              <w:pStyle w:val="Tabletext"/>
              <w:rPr>
                <w:lang w:val="en-US"/>
              </w:rPr>
            </w:pPr>
            <w:r>
              <w:rPr>
                <w:lang w:val="en-US"/>
              </w:rPr>
              <w:t xml:space="preserve">We recommend retention of original text. </w:t>
            </w:r>
            <w:r w:rsidRPr="00C21FF3">
              <w:rPr>
                <w:lang w:val="en-US"/>
              </w:rPr>
              <w:t xml:space="preserve">Changing from 'Ownership of and access to' to 'Universal access to' may weaken focus on actual ownership. In Nigeria, as in most other countries in the region, shared device use is common, but individual ownership is key for true digital inclusion. </w:t>
            </w:r>
          </w:p>
        </w:tc>
      </w:tr>
      <w:tr w:rsidR="00A84DF2" w14:paraId="46965148" w14:textId="77777777" w:rsidTr="00035050">
        <w:trPr>
          <w:cantSplit/>
          <w:jc w:val="center"/>
        </w:trPr>
        <w:tc>
          <w:tcPr>
            <w:tcW w:w="2689" w:type="dxa"/>
          </w:tcPr>
          <w:p w14:paraId="5CFFED6C" w14:textId="77777777" w:rsidR="00A84DF2" w:rsidRDefault="00A84DF2" w:rsidP="00126ECE">
            <w:pPr>
              <w:pStyle w:val="Tabletext"/>
              <w:rPr>
                <w:lang w:val="en-US"/>
              </w:rPr>
            </w:pPr>
            <w:r>
              <w:rPr>
                <w:lang w:val="en-US"/>
              </w:rPr>
              <w:t>1.6</w:t>
            </w:r>
          </w:p>
        </w:tc>
        <w:tc>
          <w:tcPr>
            <w:tcW w:w="3402" w:type="dxa"/>
          </w:tcPr>
          <w:p w14:paraId="61442897" w14:textId="77777777" w:rsidR="00A84DF2" w:rsidRDefault="00A84DF2" w:rsidP="00126ECE">
            <w:pPr>
              <w:pStyle w:val="Tabletext"/>
              <w:rPr>
                <w:lang w:val="en-US"/>
              </w:rPr>
            </w:pPr>
            <w:r>
              <w:rPr>
                <w:lang w:val="en-US"/>
              </w:rPr>
              <w:t xml:space="preserve">Proposal to delete target “Improved cybersecurity preparedness of countries…… </w:t>
            </w:r>
          </w:p>
        </w:tc>
        <w:tc>
          <w:tcPr>
            <w:tcW w:w="3548" w:type="dxa"/>
          </w:tcPr>
          <w:p w14:paraId="0ED61953" w14:textId="77777777" w:rsidR="00A84DF2" w:rsidRDefault="00A84DF2" w:rsidP="00126ECE">
            <w:pPr>
              <w:pStyle w:val="Tabletext"/>
              <w:rPr>
                <w:lang w:val="en-US"/>
              </w:rPr>
            </w:pPr>
            <w:r w:rsidRPr="00253CFC">
              <w:rPr>
                <w:lang w:val="en-US"/>
              </w:rPr>
              <w:t>Security and Trusted connectivity is essential</w:t>
            </w:r>
            <w:r>
              <w:rPr>
                <w:lang w:val="en-US"/>
              </w:rPr>
              <w:t xml:space="preserve"> for countries in our region, most of which are currently developing cybersecurity frameworks, t</w:t>
            </w:r>
            <w:r w:rsidRPr="00253CFC">
              <w:rPr>
                <w:lang w:val="en-US"/>
              </w:rPr>
              <w:t xml:space="preserve">hus </w:t>
            </w:r>
            <w:r>
              <w:rPr>
                <w:lang w:val="en-US"/>
              </w:rPr>
              <w:t>we</w:t>
            </w:r>
            <w:r w:rsidRPr="00253CFC">
              <w:rPr>
                <w:lang w:val="en-US"/>
              </w:rPr>
              <w:t xml:space="preserve"> suggest </w:t>
            </w:r>
            <w:r>
              <w:rPr>
                <w:lang w:val="en-US"/>
              </w:rPr>
              <w:t>retention of this text.</w:t>
            </w:r>
          </w:p>
        </w:tc>
      </w:tr>
      <w:tr w:rsidR="00A84DF2" w14:paraId="3316198A" w14:textId="77777777" w:rsidTr="00035050">
        <w:trPr>
          <w:cantSplit/>
          <w:jc w:val="center"/>
        </w:trPr>
        <w:tc>
          <w:tcPr>
            <w:tcW w:w="2689" w:type="dxa"/>
          </w:tcPr>
          <w:p w14:paraId="0FB8FF9D" w14:textId="77777777" w:rsidR="00A84DF2" w:rsidRDefault="00A84DF2" w:rsidP="00126ECE">
            <w:pPr>
              <w:pStyle w:val="Tabletext"/>
              <w:rPr>
                <w:lang w:val="en-US"/>
              </w:rPr>
            </w:pPr>
            <w:r>
              <w:rPr>
                <w:lang w:val="en-US"/>
              </w:rPr>
              <w:t>1.7</w:t>
            </w:r>
          </w:p>
        </w:tc>
        <w:tc>
          <w:tcPr>
            <w:tcW w:w="3402" w:type="dxa"/>
          </w:tcPr>
          <w:p w14:paraId="4732F650" w14:textId="77777777" w:rsidR="00A84DF2" w:rsidRPr="00500471" w:rsidRDefault="00A84DF2" w:rsidP="00126ECE">
            <w:pPr>
              <w:pStyle w:val="Tabletext"/>
              <w:rPr>
                <w:strike/>
                <w:lang w:val="en-US"/>
              </w:rPr>
            </w:pPr>
            <w:r>
              <w:rPr>
                <w:lang w:val="en-US"/>
              </w:rPr>
              <w:t>Proposed amendment of text to read: “Universal internet use”</w:t>
            </w:r>
          </w:p>
        </w:tc>
        <w:tc>
          <w:tcPr>
            <w:tcW w:w="3548" w:type="dxa"/>
          </w:tcPr>
          <w:p w14:paraId="09203175" w14:textId="77777777" w:rsidR="00A84DF2" w:rsidRDefault="00A84DF2" w:rsidP="00126ECE">
            <w:pPr>
              <w:pStyle w:val="Tabletext"/>
              <w:rPr>
                <w:lang w:val="en-US"/>
              </w:rPr>
            </w:pPr>
            <w:r>
              <w:rPr>
                <w:lang w:val="en-US"/>
              </w:rPr>
              <w:t>The proposed amendment is supported, as it clarifies the target</w:t>
            </w:r>
            <w:r w:rsidRPr="00B954AA">
              <w:rPr>
                <w:lang w:val="en-US"/>
              </w:rPr>
              <w:t>.</w:t>
            </w:r>
          </w:p>
        </w:tc>
      </w:tr>
      <w:tr w:rsidR="00A84DF2" w14:paraId="09C92F7C" w14:textId="77777777" w:rsidTr="00035050">
        <w:trPr>
          <w:cantSplit/>
          <w:jc w:val="center"/>
        </w:trPr>
        <w:tc>
          <w:tcPr>
            <w:tcW w:w="2689" w:type="dxa"/>
          </w:tcPr>
          <w:p w14:paraId="71DE9A46" w14:textId="77777777" w:rsidR="00A84DF2" w:rsidRDefault="00A84DF2" w:rsidP="00126ECE">
            <w:pPr>
              <w:pStyle w:val="Tabletext"/>
              <w:rPr>
                <w:lang w:val="en-US"/>
              </w:rPr>
            </w:pPr>
            <w:r>
              <w:rPr>
                <w:lang w:val="en-US"/>
              </w:rPr>
              <w:t>2.1</w:t>
            </w:r>
          </w:p>
        </w:tc>
        <w:tc>
          <w:tcPr>
            <w:tcW w:w="3402" w:type="dxa"/>
          </w:tcPr>
          <w:p w14:paraId="03D152CA" w14:textId="77777777" w:rsidR="00A84DF2" w:rsidRDefault="00A84DF2" w:rsidP="00126ECE">
            <w:pPr>
              <w:pStyle w:val="Tabletext"/>
              <w:rPr>
                <w:lang w:val="en-US"/>
              </w:rPr>
            </w:pPr>
            <w:r>
              <w:rPr>
                <w:lang w:val="en-US"/>
              </w:rPr>
              <w:t>Proposed amendment of text to read: “Digital skills for all”</w:t>
            </w:r>
          </w:p>
        </w:tc>
        <w:tc>
          <w:tcPr>
            <w:tcW w:w="3548" w:type="dxa"/>
          </w:tcPr>
          <w:p w14:paraId="1061BD78" w14:textId="77777777" w:rsidR="00A84DF2" w:rsidRPr="00733FD3" w:rsidRDefault="00A84DF2" w:rsidP="00126ECE">
            <w:pPr>
              <w:pStyle w:val="Tabletext"/>
              <w:rPr>
                <w:lang w:val="en-US"/>
              </w:rPr>
            </w:pPr>
            <w:r w:rsidRPr="00733FD3">
              <w:rPr>
                <w:lang w:val="en-US"/>
              </w:rPr>
              <w:t xml:space="preserve">Accepted. This is a priority for Africa. Changing from 'Majority' to 'for all' significantly strengthens the target and aligns with universal access principles. Digital literacy and skills development are central to Africa's digital development. </w:t>
            </w:r>
          </w:p>
          <w:p w14:paraId="10AE4CE9" w14:textId="77777777" w:rsidR="00A84DF2" w:rsidRDefault="00A84DF2" w:rsidP="00126ECE">
            <w:pPr>
              <w:pStyle w:val="Tabletext"/>
              <w:rPr>
                <w:lang w:val="en-US"/>
              </w:rPr>
            </w:pPr>
          </w:p>
        </w:tc>
      </w:tr>
      <w:tr w:rsidR="00A84DF2" w14:paraId="2227C49C" w14:textId="77777777" w:rsidTr="00035050">
        <w:trPr>
          <w:cantSplit/>
          <w:jc w:val="center"/>
        </w:trPr>
        <w:tc>
          <w:tcPr>
            <w:tcW w:w="2689" w:type="dxa"/>
          </w:tcPr>
          <w:p w14:paraId="062F5B4D" w14:textId="77777777" w:rsidR="00A84DF2" w:rsidRDefault="00A84DF2" w:rsidP="00126ECE">
            <w:pPr>
              <w:pStyle w:val="Tabletext"/>
              <w:rPr>
                <w:lang w:val="en-US"/>
              </w:rPr>
            </w:pPr>
            <w:r>
              <w:rPr>
                <w:lang w:val="en-US"/>
              </w:rPr>
              <w:t xml:space="preserve">2.2 </w:t>
            </w:r>
          </w:p>
        </w:tc>
        <w:tc>
          <w:tcPr>
            <w:tcW w:w="3402" w:type="dxa"/>
          </w:tcPr>
          <w:p w14:paraId="61CE55BD" w14:textId="77777777" w:rsidR="00A84DF2" w:rsidRDefault="00A84DF2" w:rsidP="00126ECE">
            <w:pPr>
              <w:pStyle w:val="Tabletext"/>
              <w:rPr>
                <w:lang w:val="en-US"/>
              </w:rPr>
            </w:pPr>
            <w:r>
              <w:rPr>
                <w:lang w:val="en-US"/>
              </w:rPr>
              <w:t>Proposed amendment of text to read: “Universal business use of the internet”</w:t>
            </w:r>
          </w:p>
        </w:tc>
        <w:tc>
          <w:tcPr>
            <w:tcW w:w="3548" w:type="dxa"/>
          </w:tcPr>
          <w:p w14:paraId="43BC196A" w14:textId="77777777" w:rsidR="00A84DF2" w:rsidRPr="00792FDD" w:rsidRDefault="00A84DF2" w:rsidP="00126ECE">
            <w:pPr>
              <w:pStyle w:val="Tabletext"/>
              <w:rPr>
                <w:lang w:val="en-US"/>
              </w:rPr>
            </w:pPr>
            <w:r w:rsidRPr="00792FDD">
              <w:t>We accept the proposed change</w:t>
            </w:r>
          </w:p>
        </w:tc>
      </w:tr>
      <w:tr w:rsidR="00A84DF2" w14:paraId="098BB24F" w14:textId="77777777" w:rsidTr="00035050">
        <w:trPr>
          <w:cantSplit/>
          <w:jc w:val="center"/>
        </w:trPr>
        <w:tc>
          <w:tcPr>
            <w:tcW w:w="2689" w:type="dxa"/>
          </w:tcPr>
          <w:p w14:paraId="6AAE6AFD" w14:textId="784263F9" w:rsidR="00A84DF2" w:rsidRDefault="00A84DF2" w:rsidP="00126ECE">
            <w:pPr>
              <w:pStyle w:val="Tabletext"/>
              <w:rPr>
                <w:lang w:val="en-US"/>
              </w:rPr>
            </w:pPr>
            <w:r>
              <w:rPr>
                <w:lang w:val="en-US"/>
              </w:rPr>
              <w:lastRenderedPageBreak/>
              <w:t>TSAG input: Para</w:t>
            </w:r>
            <w:r w:rsidR="00935615">
              <w:rPr>
                <w:lang w:val="en-US"/>
              </w:rPr>
              <w:t>s</w:t>
            </w:r>
            <w:r>
              <w:rPr>
                <w:lang w:val="en-US"/>
              </w:rPr>
              <w:t xml:space="preserve"> 18</w:t>
            </w:r>
            <w:r w:rsidR="00935615">
              <w:rPr>
                <w:lang w:val="en-US"/>
              </w:rPr>
              <w:t>-</w:t>
            </w:r>
            <w:r>
              <w:rPr>
                <w:lang w:val="en-US"/>
              </w:rPr>
              <w:t>19</w:t>
            </w:r>
          </w:p>
        </w:tc>
        <w:tc>
          <w:tcPr>
            <w:tcW w:w="3402" w:type="dxa"/>
          </w:tcPr>
          <w:p w14:paraId="404B4F57" w14:textId="77777777" w:rsidR="00A84DF2" w:rsidRDefault="00A84DF2" w:rsidP="00126ECE">
            <w:pPr>
              <w:pStyle w:val="Tabletext"/>
              <w:rPr>
                <w:lang w:val="en-US"/>
              </w:rPr>
            </w:pPr>
            <w:r>
              <w:rPr>
                <w:lang w:val="en-US"/>
              </w:rPr>
              <w:t>TSAG Input with the title “Global ICT Interoperability”</w:t>
            </w:r>
          </w:p>
        </w:tc>
        <w:tc>
          <w:tcPr>
            <w:tcW w:w="3548" w:type="dxa"/>
          </w:tcPr>
          <w:p w14:paraId="242F97DF" w14:textId="77777777" w:rsidR="00A84DF2" w:rsidRPr="002154FE" w:rsidRDefault="00A84DF2" w:rsidP="00126ECE">
            <w:pPr>
              <w:pStyle w:val="Tabletext"/>
              <w:rPr>
                <w:lang w:val="en-US"/>
              </w:rPr>
            </w:pPr>
            <w:r w:rsidRPr="00792FDD">
              <w:t xml:space="preserve">We </w:t>
            </w:r>
            <w:r>
              <w:t>support</w:t>
            </w:r>
            <w:r w:rsidRPr="00792FDD">
              <w:t xml:space="preserve"> the proposed </w:t>
            </w:r>
            <w:r>
              <w:t xml:space="preserve">inclusion for the following reasons: </w:t>
            </w:r>
            <w:r w:rsidRPr="002154FE">
              <w:rPr>
                <w:lang w:val="en-US"/>
              </w:rPr>
              <w:t xml:space="preserve">a) 'fostering inclusive participation in standardization process—especially from developing countries' - is a critical provision and directly addresses Africa's need to participate fully in standards development. b) The expansion from just numbering resources to full 'Global ICT Interoperability' recognizes broader needs beyond resource allocation. c) </w:t>
            </w:r>
            <w:r>
              <w:rPr>
                <w:lang w:val="en-US"/>
              </w:rPr>
              <w:t xml:space="preserve">the </w:t>
            </w:r>
            <w:r w:rsidRPr="002154FE">
              <w:rPr>
                <w:lang w:val="en-US"/>
              </w:rPr>
              <w:t xml:space="preserve">emphasis on 'level playing field' and 'accelerates infrastructure development' benefits Africa which comprises countries some of which have large ICT markets. </w:t>
            </w:r>
          </w:p>
          <w:p w14:paraId="50E202A1" w14:textId="77777777" w:rsidR="00A84DF2" w:rsidRDefault="00A84DF2" w:rsidP="00126ECE">
            <w:pPr>
              <w:pStyle w:val="Tabletext"/>
              <w:rPr>
                <w:lang w:val="en-US"/>
              </w:rPr>
            </w:pPr>
          </w:p>
        </w:tc>
      </w:tr>
      <w:tr w:rsidR="00A84DF2" w14:paraId="02799C51" w14:textId="77777777" w:rsidTr="00035050">
        <w:trPr>
          <w:cantSplit/>
          <w:jc w:val="center"/>
        </w:trPr>
        <w:tc>
          <w:tcPr>
            <w:tcW w:w="2689" w:type="dxa"/>
          </w:tcPr>
          <w:p w14:paraId="4F442FAE" w14:textId="77777777" w:rsidR="00A84DF2" w:rsidRDefault="00A84DF2" w:rsidP="00126ECE">
            <w:pPr>
              <w:pStyle w:val="Tabletext"/>
              <w:rPr>
                <w:lang w:val="en-US"/>
              </w:rPr>
            </w:pPr>
            <w:r>
              <w:rPr>
                <w:lang w:val="en-US"/>
              </w:rPr>
              <w:t>Para. 32 on ITU’s role in creating an enabling environment</w:t>
            </w:r>
          </w:p>
        </w:tc>
        <w:tc>
          <w:tcPr>
            <w:tcW w:w="3402" w:type="dxa"/>
          </w:tcPr>
          <w:p w14:paraId="05E5FBC8" w14:textId="77777777" w:rsidR="00A84DF2" w:rsidRDefault="00A84DF2" w:rsidP="00126ECE">
            <w:pPr>
              <w:pStyle w:val="Tabletext"/>
              <w:rPr>
                <w:lang w:val="en-US"/>
              </w:rPr>
            </w:pPr>
            <w:r>
              <w:rPr>
                <w:lang w:val="en-US"/>
              </w:rPr>
              <w:t xml:space="preserve">Deletion of reference to </w:t>
            </w:r>
            <w:r>
              <w:t>…”</w:t>
            </w:r>
            <w:r w:rsidRPr="004B63A1">
              <w:t>this includes LDCs, SIDS, LLDCs, and countries with economies in transition</w:t>
            </w:r>
            <w:r>
              <w:t>”</w:t>
            </w:r>
            <w:r w:rsidRPr="004B63A1">
              <w:t xml:space="preserve"> </w:t>
            </w:r>
            <w:r>
              <w:t>from para. 32</w:t>
            </w:r>
          </w:p>
        </w:tc>
        <w:tc>
          <w:tcPr>
            <w:tcW w:w="3548" w:type="dxa"/>
          </w:tcPr>
          <w:p w14:paraId="62F8EBC4" w14:textId="77777777" w:rsidR="00A84DF2" w:rsidRDefault="00A84DF2" w:rsidP="00126ECE">
            <w:pPr>
              <w:pStyle w:val="Tabletext"/>
              <w:rPr>
                <w:lang w:val="en-US"/>
              </w:rPr>
            </w:pPr>
            <w:r>
              <w:rPr>
                <w:lang w:val="en-US"/>
              </w:rPr>
              <w:t xml:space="preserve">Supported, as </w:t>
            </w:r>
            <w:r w:rsidRPr="004B63A1">
              <w:t>page 1 of th</w:t>
            </w:r>
            <w:r>
              <w:t>e</w:t>
            </w:r>
            <w:r w:rsidRPr="004B63A1">
              <w:t xml:space="preserve"> document</w:t>
            </w:r>
            <w:r>
              <w:t xml:space="preserve"> already has a footnote to this effect which applies to all mention of the term “developing countries’ across the document </w:t>
            </w:r>
          </w:p>
        </w:tc>
      </w:tr>
      <w:tr w:rsidR="00A84DF2" w14:paraId="7345AD5C" w14:textId="77777777" w:rsidTr="00035050">
        <w:trPr>
          <w:cantSplit/>
          <w:jc w:val="center"/>
        </w:trPr>
        <w:tc>
          <w:tcPr>
            <w:tcW w:w="2689" w:type="dxa"/>
          </w:tcPr>
          <w:p w14:paraId="0E6E884D" w14:textId="77777777" w:rsidR="00A84DF2" w:rsidRDefault="00A84DF2" w:rsidP="00126ECE">
            <w:pPr>
              <w:pStyle w:val="Tabletext"/>
              <w:rPr>
                <w:lang w:val="en-US"/>
              </w:rPr>
            </w:pPr>
            <w:r>
              <w:rPr>
                <w:lang w:val="en-US"/>
              </w:rPr>
              <w:t>Para. 54</w:t>
            </w:r>
          </w:p>
        </w:tc>
        <w:tc>
          <w:tcPr>
            <w:tcW w:w="3402" w:type="dxa"/>
          </w:tcPr>
          <w:p w14:paraId="416FA048" w14:textId="77777777" w:rsidR="00A84DF2" w:rsidRDefault="00A84DF2" w:rsidP="00126ECE">
            <w:pPr>
              <w:pStyle w:val="Tabletext"/>
              <w:rPr>
                <w:lang w:val="en-US"/>
              </w:rPr>
            </w:pPr>
            <w:r>
              <w:rPr>
                <w:lang w:val="en-US"/>
              </w:rPr>
              <w:t>Insertion of text referencing ITU Academy in para. 54 on capacity development</w:t>
            </w:r>
          </w:p>
        </w:tc>
        <w:tc>
          <w:tcPr>
            <w:tcW w:w="3548" w:type="dxa"/>
          </w:tcPr>
          <w:p w14:paraId="1DE84903" w14:textId="198D476E" w:rsidR="00A84DF2" w:rsidRDefault="00A84DF2" w:rsidP="00935615">
            <w:pPr>
              <w:pStyle w:val="Tabletext"/>
              <w:rPr>
                <w:lang w:val="en-US"/>
              </w:rPr>
            </w:pPr>
            <w:r w:rsidRPr="00297C52">
              <w:rPr>
                <w:lang w:val="en-US"/>
              </w:rPr>
              <w:t>Supported</w:t>
            </w:r>
            <w:r>
              <w:rPr>
                <w:lang w:val="en-US"/>
              </w:rPr>
              <w:t xml:space="preserve">, as </w:t>
            </w:r>
            <w:r w:rsidRPr="00297C52">
              <w:rPr>
                <w:lang w:val="en-US"/>
              </w:rPr>
              <w:t>ITU Academy is critical for professional capacity building within Member States</w:t>
            </w:r>
          </w:p>
        </w:tc>
      </w:tr>
      <w:tr w:rsidR="00A84DF2" w14:paraId="7C9CEC24" w14:textId="77777777" w:rsidTr="00035050">
        <w:trPr>
          <w:cantSplit/>
          <w:jc w:val="center"/>
        </w:trPr>
        <w:tc>
          <w:tcPr>
            <w:tcW w:w="2689" w:type="dxa"/>
          </w:tcPr>
          <w:p w14:paraId="5318A83E" w14:textId="77777777" w:rsidR="00A84DF2" w:rsidRDefault="00A84DF2" w:rsidP="00126ECE">
            <w:pPr>
              <w:pStyle w:val="Tabletext"/>
              <w:rPr>
                <w:lang w:val="en-US"/>
              </w:rPr>
            </w:pPr>
            <w:r>
              <w:rPr>
                <w:lang w:val="en-US"/>
              </w:rPr>
              <w:t>Para. 57</w:t>
            </w:r>
          </w:p>
        </w:tc>
        <w:tc>
          <w:tcPr>
            <w:tcW w:w="3402" w:type="dxa"/>
          </w:tcPr>
          <w:p w14:paraId="73FB3C3F" w14:textId="77777777" w:rsidR="00A84DF2" w:rsidRDefault="00A84DF2" w:rsidP="00126ECE">
            <w:pPr>
              <w:pStyle w:val="Tabletext"/>
              <w:rPr>
                <w:lang w:val="en-US"/>
              </w:rPr>
            </w:pPr>
            <w:r>
              <w:rPr>
                <w:lang w:val="en-US"/>
              </w:rPr>
              <w:t>Deletion of para. 57 on promoting capacity development by means of partnership</w:t>
            </w:r>
          </w:p>
        </w:tc>
        <w:tc>
          <w:tcPr>
            <w:tcW w:w="3548" w:type="dxa"/>
          </w:tcPr>
          <w:p w14:paraId="127DBBDE" w14:textId="5BFA0A8B" w:rsidR="00A84DF2" w:rsidRDefault="00A84DF2" w:rsidP="00935615">
            <w:pPr>
              <w:pStyle w:val="Tabletext"/>
              <w:rPr>
                <w:lang w:val="en-US"/>
              </w:rPr>
            </w:pPr>
            <w:r>
              <w:rPr>
                <w:lang w:val="en-US"/>
              </w:rPr>
              <w:t>We do not</w:t>
            </w:r>
            <w:r w:rsidRPr="008A0578">
              <w:rPr>
                <w:lang w:val="en-US"/>
              </w:rPr>
              <w:t xml:space="preserve"> support the deletion of this sentence, as it undermines commitment to capacity development in developing countries</w:t>
            </w:r>
          </w:p>
        </w:tc>
      </w:tr>
      <w:tr w:rsidR="00A84DF2" w14:paraId="1BC9A770" w14:textId="77777777" w:rsidTr="00035050">
        <w:trPr>
          <w:cantSplit/>
          <w:jc w:val="center"/>
        </w:trPr>
        <w:tc>
          <w:tcPr>
            <w:tcW w:w="2689" w:type="dxa"/>
          </w:tcPr>
          <w:p w14:paraId="2B1C1FA2" w14:textId="77777777" w:rsidR="00A84DF2" w:rsidRDefault="00A84DF2" w:rsidP="00126ECE">
            <w:pPr>
              <w:pStyle w:val="Tabletext"/>
              <w:rPr>
                <w:lang w:val="en-US"/>
              </w:rPr>
            </w:pPr>
            <w:r>
              <w:rPr>
                <w:lang w:val="en-US"/>
              </w:rPr>
              <w:t>Para. 66</w:t>
            </w:r>
          </w:p>
        </w:tc>
        <w:tc>
          <w:tcPr>
            <w:tcW w:w="3402" w:type="dxa"/>
          </w:tcPr>
          <w:p w14:paraId="70F65BBF" w14:textId="77777777" w:rsidR="00A84DF2" w:rsidRDefault="00A84DF2" w:rsidP="00126ECE">
            <w:pPr>
              <w:pStyle w:val="Tabletext"/>
              <w:rPr>
                <w:lang w:val="en-US"/>
              </w:rPr>
            </w:pPr>
            <w:r>
              <w:rPr>
                <w:lang w:val="en-US"/>
              </w:rPr>
              <w:t>Insertion of text referencing regional initiatives</w:t>
            </w:r>
          </w:p>
        </w:tc>
        <w:tc>
          <w:tcPr>
            <w:tcW w:w="3548" w:type="dxa"/>
          </w:tcPr>
          <w:p w14:paraId="362A9CAF" w14:textId="77777777" w:rsidR="00A84DF2" w:rsidRDefault="00A84DF2" w:rsidP="00126ECE">
            <w:pPr>
              <w:pStyle w:val="Tabletext"/>
              <w:rPr>
                <w:lang w:val="en-US"/>
              </w:rPr>
            </w:pPr>
            <w:r>
              <w:t>We s</w:t>
            </w:r>
            <w:r w:rsidRPr="006A5992">
              <w:t>upport the reference to the regional initiatives</w:t>
            </w:r>
          </w:p>
        </w:tc>
      </w:tr>
      <w:tr w:rsidR="00A84DF2" w14:paraId="43EC6014" w14:textId="77777777" w:rsidTr="00035050">
        <w:trPr>
          <w:cantSplit/>
          <w:jc w:val="center"/>
        </w:trPr>
        <w:tc>
          <w:tcPr>
            <w:tcW w:w="2689" w:type="dxa"/>
          </w:tcPr>
          <w:p w14:paraId="22294091" w14:textId="77777777" w:rsidR="00A84DF2" w:rsidRPr="009809B1" w:rsidRDefault="00A84DF2" w:rsidP="00126ECE">
            <w:pPr>
              <w:pStyle w:val="Tabletext"/>
              <w:rPr>
                <w:lang w:val="en-US"/>
              </w:rPr>
            </w:pPr>
            <w:r w:rsidRPr="009809B1">
              <w:rPr>
                <w:lang w:val="en-US"/>
              </w:rPr>
              <w:lastRenderedPageBreak/>
              <w:t>Para. 74 on Strategic Risk Management</w:t>
            </w:r>
          </w:p>
        </w:tc>
        <w:tc>
          <w:tcPr>
            <w:tcW w:w="3402" w:type="dxa"/>
          </w:tcPr>
          <w:p w14:paraId="239EBC17" w14:textId="77777777" w:rsidR="00A84DF2" w:rsidRPr="009809B1" w:rsidRDefault="00A84DF2" w:rsidP="00126ECE">
            <w:pPr>
              <w:pStyle w:val="Tabletext"/>
              <w:rPr>
                <w:lang w:val="en-US"/>
              </w:rPr>
            </w:pPr>
            <w:r w:rsidRPr="009809B1">
              <w:rPr>
                <w:lang w:val="en-US"/>
              </w:rPr>
              <w:t>Requires improvement of text for clarity</w:t>
            </w:r>
          </w:p>
        </w:tc>
        <w:tc>
          <w:tcPr>
            <w:tcW w:w="3548" w:type="dxa"/>
          </w:tcPr>
          <w:p w14:paraId="45400429" w14:textId="7EE84EB3" w:rsidR="00A84DF2" w:rsidRDefault="00A84DF2" w:rsidP="00935615">
            <w:pPr>
              <w:pStyle w:val="Tabletext"/>
              <w:rPr>
                <w:lang w:val="en-US"/>
              </w:rPr>
            </w:pPr>
            <w:r>
              <w:rPr>
                <w:lang w:val="en-US"/>
              </w:rPr>
              <w:t>We recommend use of the following alternate text: “</w:t>
            </w:r>
            <w:r w:rsidRPr="00620E47">
              <w:rPr>
                <w:lang w:val="en-US"/>
              </w:rPr>
              <w:t xml:space="preserve">Evolving challenges and fast-paced technological developments during the period of the strategic plan present both threats and opportunities that may impact the Union's strategic goals and targets. Through SWOT analysis and the ITU Risk Management Policy, the Union identifies and assesses these strategic risks alongside the operational risks affecting the General Secretariat and Bureaux outputs. </w:t>
            </w:r>
            <w:r>
              <w:rPr>
                <w:lang w:val="en-US"/>
              </w:rPr>
              <w:t>ITU Counc</w:t>
            </w:r>
            <w:r w:rsidRPr="00620E47">
              <w:rPr>
                <w:lang w:val="en-US"/>
              </w:rPr>
              <w:t xml:space="preserve">il </w:t>
            </w:r>
            <w:r>
              <w:rPr>
                <w:lang w:val="en-US"/>
              </w:rPr>
              <w:t>will r</w:t>
            </w:r>
            <w:r w:rsidRPr="00620E47">
              <w:rPr>
                <w:lang w:val="en-US"/>
              </w:rPr>
              <w:t>eview these risks and corresponding mitigation measures annually as part of ITU's performance framework.</w:t>
            </w:r>
            <w:r>
              <w:rPr>
                <w:lang w:val="en-US"/>
              </w:rPr>
              <w:t>”</w:t>
            </w:r>
          </w:p>
        </w:tc>
      </w:tr>
      <w:tr w:rsidR="00A84DF2" w:rsidRPr="00126ECE" w14:paraId="3EF66FB5" w14:textId="77777777" w:rsidTr="00035050">
        <w:trPr>
          <w:cantSplit/>
          <w:jc w:val="center"/>
        </w:trPr>
        <w:tc>
          <w:tcPr>
            <w:tcW w:w="9639" w:type="dxa"/>
            <w:gridSpan w:val="3"/>
          </w:tcPr>
          <w:p w14:paraId="5E2EA82B" w14:textId="636E4D03" w:rsidR="00A84DF2" w:rsidRPr="00126ECE" w:rsidRDefault="00A84DF2" w:rsidP="00126ECE">
            <w:pPr>
              <w:pStyle w:val="Tabletext"/>
              <w:rPr>
                <w:b/>
                <w:bCs/>
                <w:highlight w:val="yellow"/>
                <w:lang w:val="en-US"/>
              </w:rPr>
            </w:pPr>
            <w:r w:rsidRPr="00126ECE">
              <w:rPr>
                <w:b/>
                <w:bCs/>
                <w:lang w:val="en-US"/>
              </w:rPr>
              <w:t xml:space="preserve">Section 3 on </w:t>
            </w:r>
            <w:r w:rsidR="00935615" w:rsidRPr="00126ECE">
              <w:rPr>
                <w:b/>
                <w:bCs/>
                <w:lang w:val="en-US"/>
              </w:rPr>
              <w:t>strategic goals and targets</w:t>
            </w:r>
          </w:p>
        </w:tc>
      </w:tr>
      <w:tr w:rsidR="00A84DF2" w14:paraId="1FA01626" w14:textId="77777777" w:rsidTr="00035050">
        <w:trPr>
          <w:cantSplit/>
          <w:jc w:val="center"/>
        </w:trPr>
        <w:tc>
          <w:tcPr>
            <w:tcW w:w="2689" w:type="dxa"/>
          </w:tcPr>
          <w:p w14:paraId="0F2856C9" w14:textId="31201EE4" w:rsidR="00A84DF2" w:rsidRDefault="00A84DF2" w:rsidP="00126ECE">
            <w:pPr>
              <w:pStyle w:val="Tabletext"/>
              <w:rPr>
                <w:lang w:val="en-US"/>
              </w:rPr>
            </w:pPr>
            <w:r>
              <w:rPr>
                <w:lang w:val="en-US"/>
              </w:rPr>
              <w:t xml:space="preserve">1.3 “Universal </w:t>
            </w:r>
            <w:r w:rsidRPr="002F366E">
              <w:t>access to Internet-enabled devices</w:t>
            </w:r>
            <w:r>
              <w:t>”</w:t>
            </w:r>
          </w:p>
        </w:tc>
        <w:tc>
          <w:tcPr>
            <w:tcW w:w="3402" w:type="dxa"/>
          </w:tcPr>
          <w:p w14:paraId="1996234E" w14:textId="52C84FA9" w:rsidR="00A84DF2" w:rsidRPr="00D068D4" w:rsidRDefault="00A84DF2" w:rsidP="00126ECE">
            <w:pPr>
              <w:pStyle w:val="Tabletext"/>
            </w:pPr>
            <w:r>
              <w:rPr>
                <w:lang w:val="en-US"/>
              </w:rPr>
              <w:t>ITU’s proposed amendment of the text from “percentage of individuals who own a smart telephone” to read “percentage of individuals who own a mobile phone”</w:t>
            </w:r>
            <w:r>
              <w:t>.</w:t>
            </w:r>
          </w:p>
        </w:tc>
        <w:tc>
          <w:tcPr>
            <w:tcW w:w="3548" w:type="dxa"/>
          </w:tcPr>
          <w:p w14:paraId="2FD52959" w14:textId="77777777" w:rsidR="00A84DF2" w:rsidRDefault="00A84DF2" w:rsidP="00126ECE">
            <w:pPr>
              <w:pStyle w:val="Tabletext"/>
              <w:rPr>
                <w:lang w:val="en-US"/>
              </w:rPr>
            </w:pPr>
            <w:r>
              <w:t>We recommend that this indicator be</w:t>
            </w:r>
            <w:r w:rsidRPr="00A15EB8">
              <w:t xml:space="preserve"> revised as </w:t>
            </w:r>
            <w:r>
              <w:t>a</w:t>
            </w:r>
            <w:r w:rsidRPr="00A15EB8">
              <w:t xml:space="preserve"> mobile </w:t>
            </w:r>
            <w:r>
              <w:t>p</w:t>
            </w:r>
            <w:r w:rsidRPr="00A15EB8">
              <w:t xml:space="preserve">hone </w:t>
            </w:r>
            <w:r>
              <w:t>is expected to</w:t>
            </w:r>
            <w:r w:rsidRPr="00A15EB8">
              <w:t xml:space="preserve"> have internet capabilities </w:t>
            </w:r>
            <w:r>
              <w:t>so as</w:t>
            </w:r>
            <w:r w:rsidRPr="00A15EB8">
              <w:t xml:space="preserve"> to meet the desired target</w:t>
            </w:r>
          </w:p>
        </w:tc>
      </w:tr>
      <w:tr w:rsidR="00A84DF2" w14:paraId="71354485" w14:textId="77777777" w:rsidTr="00035050">
        <w:trPr>
          <w:cantSplit/>
          <w:jc w:val="center"/>
        </w:trPr>
        <w:tc>
          <w:tcPr>
            <w:tcW w:w="2689" w:type="dxa"/>
          </w:tcPr>
          <w:p w14:paraId="5B7E68F9" w14:textId="77777777" w:rsidR="00A84DF2" w:rsidRDefault="00A84DF2" w:rsidP="00126ECE">
            <w:pPr>
              <w:pStyle w:val="Tabletext"/>
              <w:rPr>
                <w:lang w:val="en-US"/>
              </w:rPr>
            </w:pPr>
            <w:r>
              <w:rPr>
                <w:lang w:val="en-US"/>
              </w:rPr>
              <w:t xml:space="preserve">2.1 “Universal </w:t>
            </w:r>
            <w:r w:rsidRPr="002F366E">
              <w:t>access to Internet-enabled devices</w:t>
            </w:r>
            <w:r>
              <w:t>”</w:t>
            </w:r>
          </w:p>
        </w:tc>
        <w:tc>
          <w:tcPr>
            <w:tcW w:w="3402" w:type="dxa"/>
          </w:tcPr>
          <w:p w14:paraId="1B8E0900" w14:textId="384DE007" w:rsidR="00A84DF2" w:rsidRDefault="00A84DF2" w:rsidP="00126ECE">
            <w:pPr>
              <w:pStyle w:val="Tabletext"/>
              <w:rPr>
                <w:lang w:val="en-US"/>
              </w:rPr>
            </w:pPr>
            <w:r>
              <w:rPr>
                <w:lang w:val="en-US"/>
              </w:rPr>
              <w:t>“Digital Skills for all”</w:t>
            </w:r>
          </w:p>
          <w:p w14:paraId="32FC1819" w14:textId="1E984629" w:rsidR="00A84DF2" w:rsidRDefault="00A84DF2" w:rsidP="00126ECE">
            <w:pPr>
              <w:pStyle w:val="Tabletext"/>
              <w:rPr>
                <w:lang w:val="en-US"/>
              </w:rPr>
            </w:pPr>
            <w:r>
              <w:rPr>
                <w:lang w:val="en-US"/>
              </w:rPr>
              <w:t>ITU’s proposed amendment of the text from “percentage of youth and adults with ICT skills, (by type of skill)” to read “percentage of internet users with at least basic digital skills”</w:t>
            </w:r>
            <w:r w:rsidRPr="001B3D86">
              <w:t xml:space="preserve"> </w:t>
            </w:r>
          </w:p>
        </w:tc>
        <w:tc>
          <w:tcPr>
            <w:tcW w:w="3548" w:type="dxa"/>
          </w:tcPr>
          <w:p w14:paraId="0C353B6C" w14:textId="77777777" w:rsidR="00A84DF2" w:rsidRPr="00BC5653" w:rsidRDefault="00A84DF2" w:rsidP="00126ECE">
            <w:pPr>
              <w:pStyle w:val="Tabletext"/>
              <w:rPr>
                <w:lang w:val="en-US"/>
              </w:rPr>
            </w:pPr>
            <w:r w:rsidRPr="00BC5653">
              <w:t>We support retention of the original text</w:t>
            </w:r>
            <w:r>
              <w:t xml:space="preserve">, </w:t>
            </w:r>
            <w:r w:rsidRPr="000308DB">
              <w:t>which offers a more encompassing approach to the subject matter</w:t>
            </w:r>
            <w:r>
              <w:t>.</w:t>
            </w:r>
          </w:p>
        </w:tc>
      </w:tr>
    </w:tbl>
    <w:p w14:paraId="23929B8D" w14:textId="77777777" w:rsidR="00A84DF2" w:rsidRPr="009809B1" w:rsidRDefault="00A84DF2" w:rsidP="00F800BB">
      <w:pPr>
        <w:rPr>
          <w:b/>
          <w:bCs/>
          <w:sz w:val="4"/>
          <w:szCs w:val="2"/>
        </w:rPr>
      </w:pPr>
    </w:p>
    <w:p w14:paraId="4A66462A" w14:textId="59551E9F" w:rsidR="00A84DF2" w:rsidRPr="009B2DFB" w:rsidRDefault="00A84DF2" w:rsidP="00126ECE">
      <w:pPr>
        <w:pStyle w:val="Heading1"/>
      </w:pPr>
      <w:r w:rsidRPr="009B2DFB">
        <w:t>3</w:t>
      </w:r>
      <w:r w:rsidRPr="009B2DFB">
        <w:tab/>
        <w:t xml:space="preserve">CONCLUSION </w:t>
      </w:r>
    </w:p>
    <w:p w14:paraId="1D7ED322" w14:textId="56C2CFFD" w:rsidR="0090147A" w:rsidRDefault="00A84DF2" w:rsidP="00935615">
      <w:pPr>
        <w:jc w:val="both"/>
        <w:rPr>
          <w:lang w:val="en-US"/>
        </w:rPr>
      </w:pPr>
      <w:r>
        <w:rPr>
          <w:rFonts w:asciiTheme="minorHAnsi" w:hAnsiTheme="minorHAnsi" w:cstheme="minorHAnsi"/>
        </w:rPr>
        <w:t>T</w:t>
      </w:r>
      <w:r w:rsidRPr="00736ECA">
        <w:rPr>
          <w:rFonts w:asciiTheme="minorHAnsi" w:hAnsiTheme="minorHAnsi" w:cstheme="minorHAnsi"/>
        </w:rPr>
        <w:t xml:space="preserve">he </w:t>
      </w:r>
      <w:r w:rsidRPr="009B2DFB">
        <w:rPr>
          <w:lang w:val="en-US"/>
        </w:rPr>
        <w:t xml:space="preserve">Council Working Group on </w:t>
      </w:r>
      <w:r w:rsidR="00935615" w:rsidRPr="009B2DFB">
        <w:rPr>
          <w:lang w:val="en-US"/>
        </w:rPr>
        <w:t>strategic and financial plans</w:t>
      </w:r>
      <w:r w:rsidR="00935615">
        <w:rPr>
          <w:lang w:val="en-US"/>
        </w:rPr>
        <w:t xml:space="preserve"> </w:t>
      </w:r>
      <w:r>
        <w:rPr>
          <w:lang w:val="en-US"/>
        </w:rPr>
        <w:t xml:space="preserve">is invited </w:t>
      </w:r>
      <w:r w:rsidRPr="00736ECA">
        <w:rPr>
          <w:rFonts w:asciiTheme="minorHAnsi" w:hAnsiTheme="minorHAnsi" w:cstheme="minorHAnsi"/>
        </w:rPr>
        <w:t xml:space="preserve">to consider </w:t>
      </w:r>
      <w:r>
        <w:rPr>
          <w:rFonts w:asciiTheme="minorHAnsi" w:hAnsiTheme="minorHAnsi" w:cstheme="minorHAnsi"/>
        </w:rPr>
        <w:t xml:space="preserve">the </w:t>
      </w:r>
      <w:r w:rsidRPr="009B2DFB">
        <w:rPr>
          <w:lang w:val="en-US"/>
        </w:rPr>
        <w:t xml:space="preserve">list of comments </w:t>
      </w:r>
      <w:r>
        <w:rPr>
          <w:lang w:val="en-US"/>
        </w:rPr>
        <w:t xml:space="preserve">presented above and take them into </w:t>
      </w:r>
      <w:r w:rsidRPr="009B2DFB">
        <w:rPr>
          <w:lang w:val="en-US"/>
        </w:rPr>
        <w:t>account prior to the finalization of the document to be submitted to Council 2026.</w:t>
      </w:r>
    </w:p>
    <w:p w14:paraId="0827CF9C" w14:textId="77777777" w:rsidR="00126ECE" w:rsidRDefault="00126ECE" w:rsidP="00126ECE">
      <w:pPr>
        <w:rPr>
          <w:lang w:val="en-US"/>
        </w:rPr>
      </w:pPr>
    </w:p>
    <w:p w14:paraId="6A86197C" w14:textId="57EB3B15" w:rsidR="00126ECE" w:rsidRPr="00126ECE" w:rsidRDefault="00126ECE" w:rsidP="00126ECE">
      <w:pPr>
        <w:jc w:val="center"/>
      </w:pPr>
      <w:r>
        <w:t>______________</w:t>
      </w:r>
    </w:p>
    <w:bookmarkEnd w:id="5"/>
    <w:bookmarkEnd w:id="10"/>
    <w:sectPr w:rsidR="00126ECE" w:rsidRPr="00126ECE" w:rsidSect="00AD3606">
      <w:headerReference w:type="even" r:id="rId11"/>
      <w:headerReference w:type="default" r:id="rId12"/>
      <w:footerReference w:type="even" r:id="rId13"/>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E08" w14:textId="77777777" w:rsidR="00436E55" w:rsidRDefault="00436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38780377" w:rsidR="00EE49E8" w:rsidRPr="00E06FD5" w:rsidRDefault="00EE49E8" w:rsidP="00196060">
          <w:pPr>
            <w:pStyle w:val="Header"/>
            <w:tabs>
              <w:tab w:val="left" w:pos="631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40688">
            <w:rPr>
              <w:bCs/>
            </w:rPr>
            <w:t>SFP-</w:t>
          </w:r>
          <w:r w:rsidR="00196060">
            <w:rPr>
              <w:bCs/>
            </w:rPr>
            <w:t>4</w:t>
          </w:r>
          <w:r w:rsidR="00A52C84" w:rsidRPr="00623AE3">
            <w:rPr>
              <w:bCs/>
            </w:rPr>
            <w:t>/xx-E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28E55B31" w:rsidR="00EE49E8" w:rsidRDefault="00A52C84" w:rsidP="00EE49E8">
          <w:pPr>
            <w:pStyle w:val="Header"/>
            <w:jc w:val="left"/>
            <w:rPr>
              <w:noProof/>
            </w:rPr>
          </w:pPr>
          <w:hyperlink r:id="rId1" w:history="1">
            <w:proofErr w:type="spellStart"/>
            <w:r w:rsidRPr="00196060">
              <w:rPr>
                <w:rStyle w:val="Hyperlink"/>
              </w:rPr>
              <w:t>council.itu.int</w:t>
            </w:r>
            <w:proofErr w:type="spellEnd"/>
            <w:r w:rsidRPr="00196060">
              <w:rPr>
                <w:rStyle w:val="Hyperlink"/>
              </w:rPr>
              <w:t>/working-groups</w:t>
            </w:r>
          </w:hyperlink>
        </w:p>
      </w:tc>
      <w:tc>
        <w:tcPr>
          <w:tcW w:w="6957" w:type="dxa"/>
        </w:tcPr>
        <w:p w14:paraId="3F62E0D8" w14:textId="5B685FC4" w:rsidR="00EE49E8" w:rsidRPr="00E06FD5" w:rsidRDefault="00EE49E8" w:rsidP="00196060">
          <w:pPr>
            <w:pStyle w:val="Header"/>
            <w:tabs>
              <w:tab w:val="left" w:pos="5148"/>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196060">
            <w:rPr>
              <w:bCs/>
            </w:rPr>
            <w:t>4</w:t>
          </w:r>
          <w:r w:rsidRPr="00623AE3">
            <w:rPr>
              <w:bCs/>
            </w:rPr>
            <w:t>/xx-E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2CC2" w14:textId="77777777" w:rsidR="00436E55" w:rsidRDefault="00436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E826" w14:textId="77777777" w:rsidR="00436E55" w:rsidRDefault="00436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1B36CB4"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196060">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436E55">
                            <w:rPr>
                              <w:sz w:val="20"/>
                            </w:rPr>
                            <w:t>12</w:t>
                          </w:r>
                          <w:r w:rsidR="00196060">
                            <w:rPr>
                              <w:sz w:val="20"/>
                            </w:rPr>
                            <w:t xml:space="preserve"> </w:t>
                          </w:r>
                          <w:r w:rsidR="00640688">
                            <w:rPr>
                              <w:sz w:val="20"/>
                            </w:rPr>
                            <w:t xml:space="preserve">to </w:t>
                          </w:r>
                          <w:r w:rsidR="00436E55">
                            <w:rPr>
                              <w:sz w:val="20"/>
                            </w:rPr>
                            <w:t>14</w:t>
                          </w:r>
                          <w:r w:rsidR="001F53FD">
                            <w:rPr>
                              <w:sz w:val="20"/>
                            </w:rPr>
                            <w:t xml:space="preserve"> (a.m.)</w:t>
                          </w:r>
                          <w:r w:rsidR="00436E55">
                            <w:rPr>
                              <w:sz w:val="20"/>
                            </w:rPr>
                            <w:t xml:space="preserve"> </w:t>
                          </w:r>
                          <w:r w:rsidR="00196060">
                            <w:rPr>
                              <w:sz w:val="20"/>
                            </w:rPr>
                            <w:t xml:space="preserve">January </w:t>
                          </w:r>
                          <w:r w:rsidR="00E03C3D">
                            <w:rPr>
                              <w:sz w:val="20"/>
                            </w:rPr>
                            <w:t>202</w:t>
                          </w:r>
                          <w:r w:rsidR="00196060">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1B36CB4"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196060">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436E55">
                      <w:rPr>
                        <w:sz w:val="20"/>
                      </w:rPr>
                      <w:t>12</w:t>
                    </w:r>
                    <w:r w:rsidR="00196060">
                      <w:rPr>
                        <w:sz w:val="20"/>
                      </w:rPr>
                      <w:t xml:space="preserve"> </w:t>
                    </w:r>
                    <w:r w:rsidR="00640688">
                      <w:rPr>
                        <w:sz w:val="20"/>
                      </w:rPr>
                      <w:t xml:space="preserve">to </w:t>
                    </w:r>
                    <w:r w:rsidR="00436E55">
                      <w:rPr>
                        <w:sz w:val="20"/>
                      </w:rPr>
                      <w:t>14</w:t>
                    </w:r>
                    <w:r w:rsidR="001F53FD">
                      <w:rPr>
                        <w:sz w:val="20"/>
                      </w:rPr>
                      <w:t xml:space="preserve"> (a.m.)</w:t>
                    </w:r>
                    <w:r w:rsidR="00436E55">
                      <w:rPr>
                        <w:sz w:val="20"/>
                      </w:rPr>
                      <w:t xml:space="preserve"> </w:t>
                    </w:r>
                    <w:r w:rsidR="00196060">
                      <w:rPr>
                        <w:sz w:val="20"/>
                      </w:rPr>
                      <w:t xml:space="preserve">January </w:t>
                    </w:r>
                    <w:r w:rsidR="00E03C3D">
                      <w:rPr>
                        <w:sz w:val="20"/>
                      </w:rPr>
                      <w:t>202</w:t>
                    </w:r>
                    <w:r w:rsidR="00196060">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D564F2"/>
    <w:multiLevelType w:val="hybridMultilevel"/>
    <w:tmpl w:val="D3FC0D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74816267">
    <w:abstractNumId w:val="0"/>
  </w:num>
  <w:num w:numId="2" w16cid:durableId="5793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35050"/>
    <w:rsid w:val="00063016"/>
    <w:rsid w:val="00066795"/>
    <w:rsid w:val="00076AF6"/>
    <w:rsid w:val="00085CF2"/>
    <w:rsid w:val="000B1705"/>
    <w:rsid w:val="000D75B2"/>
    <w:rsid w:val="000F6B61"/>
    <w:rsid w:val="001121F5"/>
    <w:rsid w:val="00126ECE"/>
    <w:rsid w:val="00130599"/>
    <w:rsid w:val="001400DC"/>
    <w:rsid w:val="00140CE1"/>
    <w:rsid w:val="001751FF"/>
    <w:rsid w:val="0017539C"/>
    <w:rsid w:val="00175AC2"/>
    <w:rsid w:val="0017609F"/>
    <w:rsid w:val="00196060"/>
    <w:rsid w:val="0019628A"/>
    <w:rsid w:val="001A7D1D"/>
    <w:rsid w:val="001B51DD"/>
    <w:rsid w:val="001C628E"/>
    <w:rsid w:val="001E0F7B"/>
    <w:rsid w:val="001E0FBE"/>
    <w:rsid w:val="001F53FD"/>
    <w:rsid w:val="002119FD"/>
    <w:rsid w:val="002130E0"/>
    <w:rsid w:val="00215A2C"/>
    <w:rsid w:val="002404ED"/>
    <w:rsid w:val="00244F7F"/>
    <w:rsid w:val="00260ACE"/>
    <w:rsid w:val="00264425"/>
    <w:rsid w:val="00265875"/>
    <w:rsid w:val="0027303B"/>
    <w:rsid w:val="00273D16"/>
    <w:rsid w:val="002752FB"/>
    <w:rsid w:val="0028109B"/>
    <w:rsid w:val="002A2188"/>
    <w:rsid w:val="002B1F58"/>
    <w:rsid w:val="002C1C7A"/>
    <w:rsid w:val="002C54E2"/>
    <w:rsid w:val="0030160F"/>
    <w:rsid w:val="00320223"/>
    <w:rsid w:val="00322D0D"/>
    <w:rsid w:val="00361465"/>
    <w:rsid w:val="003877F5"/>
    <w:rsid w:val="003942D4"/>
    <w:rsid w:val="003958A8"/>
    <w:rsid w:val="003C2533"/>
    <w:rsid w:val="003D55B9"/>
    <w:rsid w:val="003D5A7F"/>
    <w:rsid w:val="004016E2"/>
    <w:rsid w:val="0040435A"/>
    <w:rsid w:val="00416A24"/>
    <w:rsid w:val="00431D9E"/>
    <w:rsid w:val="00433CE8"/>
    <w:rsid w:val="00434A5C"/>
    <w:rsid w:val="00436E55"/>
    <w:rsid w:val="004517E2"/>
    <w:rsid w:val="004544D9"/>
    <w:rsid w:val="00472BAD"/>
    <w:rsid w:val="00473E44"/>
    <w:rsid w:val="00484009"/>
    <w:rsid w:val="00490E72"/>
    <w:rsid w:val="00491157"/>
    <w:rsid w:val="004921C8"/>
    <w:rsid w:val="00495B0B"/>
    <w:rsid w:val="004A1B8B"/>
    <w:rsid w:val="004D1851"/>
    <w:rsid w:val="004D599D"/>
    <w:rsid w:val="004E2037"/>
    <w:rsid w:val="004E2EA5"/>
    <w:rsid w:val="004E3AEB"/>
    <w:rsid w:val="0050223C"/>
    <w:rsid w:val="005243FF"/>
    <w:rsid w:val="00564FBC"/>
    <w:rsid w:val="005800BC"/>
    <w:rsid w:val="00582442"/>
    <w:rsid w:val="005A335D"/>
    <w:rsid w:val="005E2BD5"/>
    <w:rsid w:val="005E413D"/>
    <w:rsid w:val="005F3269"/>
    <w:rsid w:val="00623AE3"/>
    <w:rsid w:val="00634501"/>
    <w:rsid w:val="00640688"/>
    <w:rsid w:val="0064737F"/>
    <w:rsid w:val="006535F1"/>
    <w:rsid w:val="0065557D"/>
    <w:rsid w:val="00660D50"/>
    <w:rsid w:val="00662984"/>
    <w:rsid w:val="006716BB"/>
    <w:rsid w:val="00676C7D"/>
    <w:rsid w:val="006B1859"/>
    <w:rsid w:val="006B6680"/>
    <w:rsid w:val="006B6DCC"/>
    <w:rsid w:val="00702DEF"/>
    <w:rsid w:val="00706861"/>
    <w:rsid w:val="00735224"/>
    <w:rsid w:val="0075051B"/>
    <w:rsid w:val="00775655"/>
    <w:rsid w:val="00793188"/>
    <w:rsid w:val="00794D34"/>
    <w:rsid w:val="00813E5E"/>
    <w:rsid w:val="0083581B"/>
    <w:rsid w:val="00863874"/>
    <w:rsid w:val="00864AFF"/>
    <w:rsid w:val="00865925"/>
    <w:rsid w:val="00891503"/>
    <w:rsid w:val="008964B4"/>
    <w:rsid w:val="008B0991"/>
    <w:rsid w:val="008B4A6A"/>
    <w:rsid w:val="008C7E27"/>
    <w:rsid w:val="008F7448"/>
    <w:rsid w:val="0090147A"/>
    <w:rsid w:val="009173EF"/>
    <w:rsid w:val="00932906"/>
    <w:rsid w:val="00935615"/>
    <w:rsid w:val="00961B0B"/>
    <w:rsid w:val="00962D33"/>
    <w:rsid w:val="00971C28"/>
    <w:rsid w:val="009B2D4B"/>
    <w:rsid w:val="009B38C3"/>
    <w:rsid w:val="009C253A"/>
    <w:rsid w:val="009E17BD"/>
    <w:rsid w:val="009E485A"/>
    <w:rsid w:val="009F347C"/>
    <w:rsid w:val="00A04CEC"/>
    <w:rsid w:val="00A27F92"/>
    <w:rsid w:val="00A32257"/>
    <w:rsid w:val="00A34664"/>
    <w:rsid w:val="00A36D20"/>
    <w:rsid w:val="00A467DF"/>
    <w:rsid w:val="00A514A4"/>
    <w:rsid w:val="00A52C84"/>
    <w:rsid w:val="00A55622"/>
    <w:rsid w:val="00A83502"/>
    <w:rsid w:val="00A84DF2"/>
    <w:rsid w:val="00A94376"/>
    <w:rsid w:val="00AD15B3"/>
    <w:rsid w:val="00AD3606"/>
    <w:rsid w:val="00AD4A3D"/>
    <w:rsid w:val="00AF6E49"/>
    <w:rsid w:val="00B04A67"/>
    <w:rsid w:val="00B0583C"/>
    <w:rsid w:val="00B358B2"/>
    <w:rsid w:val="00B40A81"/>
    <w:rsid w:val="00B44910"/>
    <w:rsid w:val="00B72267"/>
    <w:rsid w:val="00B76EB6"/>
    <w:rsid w:val="00B7737B"/>
    <w:rsid w:val="00B824C8"/>
    <w:rsid w:val="00B84B9D"/>
    <w:rsid w:val="00BC251A"/>
    <w:rsid w:val="00BD032B"/>
    <w:rsid w:val="00BD1693"/>
    <w:rsid w:val="00BD6503"/>
    <w:rsid w:val="00BE2640"/>
    <w:rsid w:val="00C01189"/>
    <w:rsid w:val="00C374DE"/>
    <w:rsid w:val="00C47AD4"/>
    <w:rsid w:val="00C52D81"/>
    <w:rsid w:val="00C55198"/>
    <w:rsid w:val="00CA6393"/>
    <w:rsid w:val="00CA7CB8"/>
    <w:rsid w:val="00CB18FF"/>
    <w:rsid w:val="00CD0C08"/>
    <w:rsid w:val="00CE03FB"/>
    <w:rsid w:val="00CE433C"/>
    <w:rsid w:val="00CF0161"/>
    <w:rsid w:val="00CF33F3"/>
    <w:rsid w:val="00D06183"/>
    <w:rsid w:val="00D22C42"/>
    <w:rsid w:val="00D464CC"/>
    <w:rsid w:val="00D53C61"/>
    <w:rsid w:val="00D65041"/>
    <w:rsid w:val="00DB00D5"/>
    <w:rsid w:val="00DB1936"/>
    <w:rsid w:val="00DB384B"/>
    <w:rsid w:val="00DF0189"/>
    <w:rsid w:val="00E03C3D"/>
    <w:rsid w:val="00E06FD5"/>
    <w:rsid w:val="00E10E80"/>
    <w:rsid w:val="00E124F0"/>
    <w:rsid w:val="00E227F3"/>
    <w:rsid w:val="00E545C6"/>
    <w:rsid w:val="00E60F04"/>
    <w:rsid w:val="00E65B24"/>
    <w:rsid w:val="00E854E4"/>
    <w:rsid w:val="00E86DBF"/>
    <w:rsid w:val="00EB0D6F"/>
    <w:rsid w:val="00EB2232"/>
    <w:rsid w:val="00EC5337"/>
    <w:rsid w:val="00ED454D"/>
    <w:rsid w:val="00EE49E8"/>
    <w:rsid w:val="00F16BAB"/>
    <w:rsid w:val="00F17E21"/>
    <w:rsid w:val="00F2150A"/>
    <w:rsid w:val="00F231D8"/>
    <w:rsid w:val="00F264CE"/>
    <w:rsid w:val="00F44C00"/>
    <w:rsid w:val="00F45D2C"/>
    <w:rsid w:val="00F46C5F"/>
    <w:rsid w:val="00F632C0"/>
    <w:rsid w:val="00F74694"/>
    <w:rsid w:val="00F94A63"/>
    <w:rsid w:val="00FA1C28"/>
    <w:rsid w:val="00FB1279"/>
    <w:rsid w:val="00FB6B76"/>
    <w:rsid w:val="00FB7596"/>
    <w:rsid w:val="00FD7016"/>
    <w:rsid w:val="00FE0EAC"/>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0B24A680-2080-4D42-9C8D-EF07C531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2752FB"/>
    <w:rPr>
      <w:color w:val="666666"/>
    </w:rPr>
  </w:style>
  <w:style w:type="paragraph" w:styleId="ListParagraph">
    <w:name w:val="List Paragraph"/>
    <w:basedOn w:val="Normal"/>
    <w:uiPriority w:val="34"/>
    <w:qFormat/>
    <w:rsid w:val="00A84DF2"/>
    <w:pPr>
      <w:ind w:left="720"/>
      <w:contextualSpacing/>
    </w:pPr>
  </w:style>
  <w:style w:type="paragraph" w:customStyle="1" w:styleId="Reasons">
    <w:name w:val="Reasons"/>
    <w:basedOn w:val="Normal"/>
    <w:qFormat/>
    <w:rsid w:val="00126ECE"/>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SFP-2028-2031/Pages/default.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md/S26-CWGSFP4-C-0002/en" TargetMode="External"/><Relationship Id="rId4" Type="http://schemas.openxmlformats.org/officeDocument/2006/relationships/settings" Target="settings.xml"/><Relationship Id="rId9" Type="http://schemas.openxmlformats.org/officeDocument/2006/relationships/hyperlink" Target="https://www.itu.int/md/S24-CL-C-0139/en"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1138</Words>
  <Characters>6674</Characters>
  <Application>Microsoft Office Word</Application>
  <DocSecurity>0</DocSecurity>
  <Lines>444</Lines>
  <Paragraphs>300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7512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on draft Annex 1 to Resolution 71 - ITU strategic plan for 2028-2031</dc:title>
  <dc:subject>ITU Council Working Group on Financial and Human Resources</dc:subject>
  <dc:creator/>
  <cp:keywords>CWG-SFP; Council-26; C26</cp:keywords>
  <dc:description/>
  <dcterms:created xsi:type="dcterms:W3CDTF">2026-01-06T11:24:00Z</dcterms:created>
  <dcterms:modified xsi:type="dcterms:W3CDTF">2026-01-06T12:27:00Z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dcf76eb8-ec84-4b71-97bc-9e960c51973a</vt:lpwstr>
  </property>
</Properties>
</file>