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752FB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16C193E" w:rsidR="00AD3606" w:rsidRPr="002752FB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2752FB">
              <w:rPr>
                <w:b/>
                <w:lang w:val="it-IT"/>
              </w:rPr>
              <w:t>Document C</w:t>
            </w:r>
            <w:r w:rsidR="00A52C84" w:rsidRPr="002752FB">
              <w:rPr>
                <w:b/>
                <w:lang w:val="it-IT"/>
              </w:rPr>
              <w:t>WG-</w:t>
            </w:r>
            <w:r w:rsidR="00F264CE" w:rsidRPr="002752FB">
              <w:rPr>
                <w:b/>
                <w:lang w:val="it-IT"/>
              </w:rPr>
              <w:t>SFP-</w:t>
            </w:r>
            <w:r w:rsidR="00196060" w:rsidRPr="002752FB">
              <w:rPr>
                <w:b/>
                <w:lang w:val="it-IT"/>
              </w:rPr>
              <w:t>4</w:t>
            </w:r>
            <w:r w:rsidRPr="002752FB">
              <w:rPr>
                <w:b/>
                <w:lang w:val="it-IT"/>
              </w:rPr>
              <w:t>/</w:t>
            </w:r>
            <w:r w:rsidR="001F1D78">
              <w:rPr>
                <w:b/>
                <w:lang w:val="it-IT"/>
              </w:rPr>
              <w:t>10</w:t>
            </w:r>
          </w:p>
        </w:tc>
      </w:tr>
      <w:tr w:rsidR="00AD3606" w:rsidRPr="002752FB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2752F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2C9E7810" w:rsidR="00AD3606" w:rsidRPr="002752FB" w:rsidRDefault="001F1D7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29 December 2025</w:t>
            </w:r>
          </w:p>
        </w:tc>
      </w:tr>
      <w:tr w:rsidR="00AD3606" w:rsidRPr="002752FB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2752F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2752FB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752FB">
              <w:rPr>
                <w:b/>
              </w:rPr>
              <w:t>English</w:t>
            </w:r>
            <w:r w:rsidR="009B2D4B" w:rsidRPr="002752FB">
              <w:rPr>
                <w:b/>
              </w:rPr>
              <w:t xml:space="preserve"> only</w:t>
            </w:r>
          </w:p>
        </w:tc>
      </w:tr>
      <w:tr w:rsidR="00472BAD" w:rsidRPr="002752FB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2752FB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2752FB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752FB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37C5E14E" w:rsidR="00AD3606" w:rsidRPr="002752FB" w:rsidRDefault="005E413D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2752FB">
              <w:t xml:space="preserve">Contribution by </w:t>
            </w:r>
            <w:r w:rsidR="001F1D78">
              <w:t>the Russian Federation</w:t>
            </w:r>
          </w:p>
        </w:tc>
      </w:tr>
      <w:tr w:rsidR="00AD3606" w:rsidRPr="002752FB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6C0CEE5D" w:rsidR="00AD3606" w:rsidRPr="002752FB" w:rsidRDefault="00CC42A7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INTRODUCTION OF AN OUTCOME AND PERFORMANCE INDICATORS FOR ENABLERS IN THE STRATEGIC PLAN 2028-2031</w:t>
            </w:r>
          </w:p>
        </w:tc>
      </w:tr>
      <w:tr w:rsidR="00AD3606" w:rsidRPr="002752FB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2752F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0F691DA7" w:rsidR="00AD3606" w:rsidRPr="002752FB" w:rsidRDefault="001F1D78" w:rsidP="00CC42A7">
            <w:pPr>
              <w:jc w:val="both"/>
            </w:pPr>
            <w:r w:rsidRPr="001F1D78">
              <w:t xml:space="preserve">To further improve </w:t>
            </w:r>
            <w:r w:rsidRPr="001F1D78">
              <w:t>results-based managemen</w:t>
            </w:r>
            <w:r w:rsidRPr="001F1D78">
              <w:t>t by introducing an outcome as well as performance indicators for enablers in the draft Strategic Plan 2028-2031.</w:t>
            </w:r>
          </w:p>
          <w:p w14:paraId="5076D5C4" w14:textId="28F00572" w:rsidR="00AD3606" w:rsidRPr="002752F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Action required</w:t>
            </w:r>
          </w:p>
          <w:p w14:paraId="0A964A4B" w14:textId="77777777" w:rsidR="00700EB4" w:rsidRPr="002752FB" w:rsidRDefault="00700EB4" w:rsidP="00CC42A7">
            <w:pPr>
              <w:spacing w:before="160"/>
              <w:jc w:val="both"/>
            </w:pPr>
            <w:r w:rsidRPr="002752FB">
              <w:t xml:space="preserve">The Council Working Group for strategic and financial plans 2028-2031 is invited to </w:t>
            </w:r>
            <w:r w:rsidRPr="00700EB4">
              <w:rPr>
                <w:b/>
                <w:bCs/>
              </w:rPr>
              <w:t>consider</w:t>
            </w:r>
            <w:r>
              <w:t xml:space="preserve"> and </w:t>
            </w:r>
            <w:r w:rsidRPr="00700EB4">
              <w:rPr>
                <w:b/>
                <w:bCs/>
              </w:rPr>
              <w:t>approve</w:t>
            </w:r>
            <w:r w:rsidRPr="002752FB">
              <w:t xml:space="preserve"> th</w:t>
            </w:r>
            <w:r>
              <w:t>e proposal</w:t>
            </w:r>
            <w:r w:rsidRPr="002752FB">
              <w:t>.</w:t>
            </w:r>
          </w:p>
          <w:p w14:paraId="7E5DB0C5" w14:textId="77777777" w:rsidR="00196060" w:rsidRPr="002752FB" w:rsidRDefault="00196060">
            <w:r w:rsidRPr="002752FB">
              <w:t>_______________</w:t>
            </w:r>
          </w:p>
          <w:p w14:paraId="00DEE14C" w14:textId="27A1713A" w:rsidR="00AD3606" w:rsidRPr="002752FB" w:rsidRDefault="00AD3606" w:rsidP="00F16BA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2752FB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6013EF53" w:rsidR="00AD3606" w:rsidRPr="00700EB4" w:rsidRDefault="00700EB4" w:rsidP="00CC42A7">
            <w:pPr>
              <w:spacing w:after="160"/>
              <w:jc w:val="both"/>
              <w:rPr>
                <w:i/>
                <w:iCs/>
                <w:sz w:val="22"/>
                <w:szCs w:val="22"/>
              </w:rPr>
            </w:pPr>
            <w:r w:rsidRPr="00700EB4">
              <w:rPr>
                <w:i/>
                <w:iCs/>
                <w:sz w:val="22"/>
                <w:szCs w:val="22"/>
              </w:rPr>
              <w:t>Resolution</w:t>
            </w:r>
            <w:r w:rsidRPr="00700EB4">
              <w:rPr>
                <w:i/>
                <w:iCs/>
                <w:sz w:val="22"/>
                <w:szCs w:val="22"/>
              </w:rPr>
              <w:t xml:space="preserve">s </w:t>
            </w:r>
            <w:hyperlink r:id="rId8" w:history="1">
              <w:r w:rsidRPr="00700EB4">
                <w:rPr>
                  <w:rStyle w:val="Hyperlink"/>
                  <w:i/>
                  <w:iCs/>
                  <w:sz w:val="22"/>
                  <w:szCs w:val="22"/>
                </w:rPr>
                <w:t>151 (Rev. Bucharest, 2022)</w:t>
              </w:r>
            </w:hyperlink>
            <w:r w:rsidRPr="00700EB4">
              <w:rPr>
                <w:i/>
                <w:iCs/>
                <w:sz w:val="22"/>
                <w:szCs w:val="22"/>
              </w:rPr>
              <w:t xml:space="preserve"> and</w:t>
            </w:r>
            <w:r w:rsidRPr="00700EB4">
              <w:rPr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Pr="00700EB4">
                <w:rPr>
                  <w:rStyle w:val="Hyperlink"/>
                  <w:i/>
                  <w:iCs/>
                  <w:sz w:val="22"/>
                  <w:szCs w:val="22"/>
                </w:rPr>
                <w:t>Resolution 71 (Rev. Bucharest, 2022)</w:t>
              </w:r>
            </w:hyperlink>
            <w:r w:rsidRPr="00700EB4">
              <w:rPr>
                <w:i/>
                <w:iCs/>
                <w:sz w:val="22"/>
                <w:szCs w:val="22"/>
              </w:rPr>
              <w:t xml:space="preserve"> of the Plenipotentiary Conference; Document </w:t>
            </w:r>
            <w:hyperlink r:id="rId10" w:history="1">
              <w:proofErr w:type="spellStart"/>
              <w:r w:rsidRPr="00700EB4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Pr="00700EB4">
                <w:rPr>
                  <w:rStyle w:val="Hyperlink"/>
                  <w:i/>
                  <w:iCs/>
                  <w:sz w:val="22"/>
                  <w:szCs w:val="22"/>
                </w:rPr>
                <w:t>/</w:t>
              </w:r>
              <w:r w:rsidRPr="00700EB4">
                <w:rPr>
                  <w:rStyle w:val="Hyperlink"/>
                  <w:i/>
                  <w:iCs/>
                  <w:sz w:val="22"/>
                  <w:szCs w:val="22"/>
                </w:rPr>
                <w:t>5</w:t>
              </w:r>
              <w:r w:rsidRPr="00700EB4">
                <w:rPr>
                  <w:rStyle w:val="Hyperlink"/>
                  <w:i/>
                  <w:iCs/>
                  <w:sz w:val="22"/>
                  <w:szCs w:val="22"/>
                </w:rPr>
                <w:t>2</w:t>
              </w:r>
            </w:hyperlink>
          </w:p>
        </w:tc>
      </w:tr>
    </w:tbl>
    <w:p w14:paraId="4CDB8B60" w14:textId="77777777" w:rsidR="00E227F3" w:rsidRPr="00700EB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700EB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700EB4">
        <w:br w:type="page"/>
      </w:r>
    </w:p>
    <w:bookmarkEnd w:id="5"/>
    <w:bookmarkEnd w:id="10"/>
    <w:p w14:paraId="198A9D1D" w14:textId="77777777" w:rsidR="00722664" w:rsidRPr="00722664" w:rsidRDefault="00722664" w:rsidP="009A7FB3">
      <w:pPr>
        <w:pStyle w:val="Heading1"/>
      </w:pPr>
      <w:r w:rsidRPr="00722664">
        <w:lastRenderedPageBreak/>
        <w:t>1</w:t>
      </w:r>
      <w:r w:rsidRPr="00722664">
        <w:tab/>
        <w:t>Introduction</w:t>
      </w:r>
    </w:p>
    <w:p w14:paraId="75BA20B2" w14:textId="77777777" w:rsidR="00722664" w:rsidRDefault="00722664" w:rsidP="00722664">
      <w:pPr>
        <w:jc w:val="both"/>
        <w:rPr>
          <w:lang w:val="en-US"/>
        </w:rPr>
      </w:pPr>
      <w:r>
        <w:t>ITU is continuously strengthening its Results-Based Management (</w:t>
      </w:r>
      <w:proofErr w:type="spellStart"/>
      <w:r>
        <w:t>RBM</w:t>
      </w:r>
      <w:proofErr w:type="spellEnd"/>
      <w:r>
        <w:t xml:space="preserve">). The importance of further improvement of </w:t>
      </w:r>
      <w:proofErr w:type="spellStart"/>
      <w:r>
        <w:t>RBM</w:t>
      </w:r>
      <w:proofErr w:type="spellEnd"/>
      <w:r>
        <w:t xml:space="preserve"> was recognized by the Plenipotentiary Conference in its Resolution 151 (Rev. Bucharest, 2022) as well as by the Secretary-General as part of the internal transformational initiative.</w:t>
      </w:r>
    </w:p>
    <w:p w14:paraId="00855197" w14:textId="4B1050A6" w:rsidR="00722664" w:rsidRDefault="00722664" w:rsidP="00722664">
      <w:pPr>
        <w:jc w:val="both"/>
        <w:rPr>
          <w:lang w:val="en-US"/>
        </w:rPr>
      </w:pPr>
      <w:r>
        <w:rPr>
          <w:lang w:val="en-US"/>
        </w:rPr>
        <w:t xml:space="preserve">The cornerstone of </w:t>
      </w:r>
      <w:proofErr w:type="spellStart"/>
      <w:r>
        <w:rPr>
          <w:lang w:val="en-US"/>
        </w:rPr>
        <w:t>RBM</w:t>
      </w:r>
      <w:proofErr w:type="spellEnd"/>
      <w:r>
        <w:rPr>
          <w:lang w:val="en-US"/>
        </w:rPr>
        <w:t xml:space="preserve"> is the Strategic Plan. One of its key elements is the enablers, which are defined in </w:t>
      </w:r>
      <w:r>
        <w:t>Resolution 71 (Rev. Bucharest, 2022)</w:t>
      </w:r>
      <w:r>
        <w:rPr>
          <w:lang w:val="en-US"/>
        </w:rPr>
        <w:t xml:space="preserve"> as </w:t>
      </w:r>
      <w:r w:rsidRPr="00A43066">
        <w:rPr>
          <w:lang w:val="en-US"/>
        </w:rPr>
        <w:t>“ways of working that allow the Union to deliver on its goals and priorities more effectively and efficiently”</w:t>
      </w:r>
      <w:r>
        <w:rPr>
          <w:lang w:val="en-US"/>
        </w:rPr>
        <w:t xml:space="preserve">. Unlike other components of the Strategic Plan for the Union for 2024-2027, enablers lack a corresponding outcome and performance indicators, </w:t>
      </w:r>
      <w:r w:rsidRPr="00AF2121">
        <w:rPr>
          <w:lang w:val="en-US"/>
        </w:rPr>
        <w:t xml:space="preserve">which implies that </w:t>
      </w:r>
      <w:r>
        <w:rPr>
          <w:lang w:val="en-US"/>
        </w:rPr>
        <w:t>e</w:t>
      </w:r>
      <w:r w:rsidRPr="00AF2121">
        <w:rPr>
          <w:lang w:val="en-US"/>
        </w:rPr>
        <w:t>nablers are not a genuine part of the results-based management framework.</w:t>
      </w:r>
      <w:r>
        <w:rPr>
          <w:lang w:val="en-US"/>
        </w:rPr>
        <w:t xml:space="preserve"> This </w:t>
      </w:r>
      <w:r w:rsidRPr="00AF2121">
        <w:rPr>
          <w:lang w:val="en-US"/>
        </w:rPr>
        <w:t>affects the quality of ITU accountability and transparency</w:t>
      </w:r>
      <w:r w:rsidR="009A7FB3">
        <w:rPr>
          <w:lang w:val="en-US"/>
        </w:rPr>
        <w:t>,</w:t>
      </w:r>
      <w:r w:rsidRPr="00AF2121">
        <w:rPr>
          <w:lang w:val="en-US"/>
        </w:rPr>
        <w:t xml:space="preserve"> as well as hinders meaningful implementation and monitoring of the Strategic Plan.</w:t>
      </w:r>
    </w:p>
    <w:p w14:paraId="1597CA53" w14:textId="77777777" w:rsidR="00722664" w:rsidRPr="00722664" w:rsidRDefault="00722664" w:rsidP="009A7FB3">
      <w:pPr>
        <w:pStyle w:val="Heading1"/>
      </w:pPr>
      <w:r w:rsidRPr="00722664">
        <w:t>2</w:t>
      </w:r>
      <w:r w:rsidRPr="00722664">
        <w:tab/>
        <w:t>Experience of the UN system</w:t>
      </w:r>
    </w:p>
    <w:p w14:paraId="7B399C08" w14:textId="1FC5327E" w:rsidR="00722664" w:rsidRDefault="00722664" w:rsidP="00722664">
      <w:pPr>
        <w:jc w:val="both"/>
      </w:pPr>
      <w:r w:rsidRPr="003467F0">
        <w:t xml:space="preserve">The need for a comprehensive and holistic </w:t>
      </w:r>
      <w:r>
        <w:t>R</w:t>
      </w:r>
      <w:r w:rsidRPr="003467F0">
        <w:t>esults-</w:t>
      </w:r>
      <w:r>
        <w:t>B</w:t>
      </w:r>
      <w:r w:rsidRPr="003467F0">
        <w:t xml:space="preserve">ased </w:t>
      </w:r>
      <w:r>
        <w:t>M</w:t>
      </w:r>
      <w:r w:rsidRPr="003467F0">
        <w:t xml:space="preserve">anagement strategy was underscored by the Joint Inspection Unit in its note </w:t>
      </w:r>
      <w:r>
        <w:t>“</w:t>
      </w:r>
      <w:r w:rsidRPr="003467F0">
        <w:t>Results-based management in the United</w:t>
      </w:r>
      <w:r w:rsidR="009A7FB3">
        <w:t> </w:t>
      </w:r>
      <w:r w:rsidRPr="003467F0">
        <w:t>Nations system: description of a high-impact model for managing for achieving results</w:t>
      </w:r>
      <w:r>
        <w:t>”</w:t>
      </w:r>
      <w:r w:rsidR="009A7FB3">
        <w:t> </w:t>
      </w:r>
      <w:r w:rsidRPr="003467F0">
        <w:t>(2017/1).</w:t>
      </w:r>
    </w:p>
    <w:p w14:paraId="6C23C7FE" w14:textId="77777777" w:rsidR="00722664" w:rsidRPr="00C645BD" w:rsidRDefault="00722664" w:rsidP="00722664">
      <w:pPr>
        <w:jc w:val="both"/>
      </w:pPr>
      <w:r>
        <w:t>O</w:t>
      </w:r>
      <w:r w:rsidRPr="00C645BD">
        <w:t xml:space="preserve">ther UN agencies, such as UNESCO, WHO and WIPO, provide specific outcomes and indicators for </w:t>
      </w:r>
      <w:r>
        <w:t>their</w:t>
      </w:r>
      <w:r w:rsidRPr="00C645BD">
        <w:t xml:space="preserve"> enabling functions as part of </w:t>
      </w:r>
      <w:proofErr w:type="spellStart"/>
      <w:r>
        <w:t>RBM</w:t>
      </w:r>
      <w:proofErr w:type="spellEnd"/>
      <w:r w:rsidRPr="00C645BD">
        <w:t>.</w:t>
      </w:r>
    </w:p>
    <w:p w14:paraId="33BC3EDB" w14:textId="77777777" w:rsidR="00722664" w:rsidRPr="00722664" w:rsidRDefault="00722664" w:rsidP="009A7FB3">
      <w:pPr>
        <w:pStyle w:val="Heading1"/>
      </w:pPr>
      <w:r w:rsidRPr="00722664">
        <w:t>3</w:t>
      </w:r>
      <w:r w:rsidRPr="00722664">
        <w:tab/>
        <w:t>Proposal</w:t>
      </w:r>
    </w:p>
    <w:p w14:paraId="57C41A78" w14:textId="63813BB4" w:rsidR="00722664" w:rsidRDefault="00722664" w:rsidP="009A7FB3">
      <w:pPr>
        <w:jc w:val="both"/>
      </w:pPr>
      <w:r>
        <w:t>To further improve results-based management at ITU in line with Resolution 151 (Rev.</w:t>
      </w:r>
      <w:r w:rsidR="009A7FB3">
        <w:t> </w:t>
      </w:r>
      <w:r>
        <w:t>Bucharest, 2022)</w:t>
      </w:r>
      <w:r w:rsidR="009A7FB3">
        <w:t>,</w:t>
      </w:r>
      <w:r>
        <w:t xml:space="preserve"> it is suggested to introduce in the Strategic Plan for the Union for 2028</w:t>
      </w:r>
      <w:r w:rsidR="00CC42A7">
        <w:noBreakHyphen/>
      </w:r>
      <w:r>
        <w:t>2031 an enabler-level outcome and corresponding performance indicators. The outcome could read as follows:</w:t>
      </w:r>
    </w:p>
    <w:p w14:paraId="19384F4E" w14:textId="7E7920BD" w:rsidR="00722664" w:rsidRPr="009A7FB3" w:rsidRDefault="009A7FB3" w:rsidP="00CC42A7">
      <w:pPr>
        <w:pStyle w:val="enumlev1"/>
      </w:pPr>
      <w:r>
        <w:tab/>
      </w:r>
      <w:r w:rsidR="00722664" w:rsidRPr="009A7FB3">
        <w:t>An efficiently managed ITU with strong and transparent oversight and accountability to deliver the Strategic Plan.</w:t>
      </w:r>
    </w:p>
    <w:p w14:paraId="2047116B" w14:textId="77777777" w:rsidR="00722664" w:rsidRDefault="00722664" w:rsidP="009A7FB3">
      <w:pPr>
        <w:jc w:val="both"/>
      </w:pPr>
      <w:r>
        <w:t>The following could comprise the relevant performance indicators:</w:t>
      </w:r>
    </w:p>
    <w:p w14:paraId="6174048B" w14:textId="2EEB3499" w:rsidR="00722664" w:rsidRDefault="009A7FB3" w:rsidP="00CC42A7">
      <w:pPr>
        <w:pStyle w:val="enumlev1"/>
      </w:pPr>
      <w:r>
        <w:t>–</w:t>
      </w:r>
      <w:r w:rsidR="00722664">
        <w:tab/>
      </w:r>
      <w:r>
        <w:t xml:space="preserve">average </w:t>
      </w:r>
      <w:r w:rsidR="00722664" w:rsidRPr="00CC42A7">
        <w:t>recruitment</w:t>
      </w:r>
      <w:r w:rsidR="00722664">
        <w:t xml:space="preserve"> timelines;</w:t>
      </w:r>
    </w:p>
    <w:p w14:paraId="3ADF3E0F" w14:textId="0E069AC7" w:rsidR="00722664" w:rsidRDefault="009A7FB3" w:rsidP="00CC42A7">
      <w:pPr>
        <w:pStyle w:val="enumlev1"/>
      </w:pPr>
      <w:r>
        <w:t>–</w:t>
      </w:r>
      <w:r w:rsidR="00722664">
        <w:tab/>
      </w:r>
      <w:r>
        <w:t xml:space="preserve">percentage </w:t>
      </w:r>
      <w:r w:rsidR="00722664">
        <w:t>of ITU staff who have completed mandatory training;</w:t>
      </w:r>
    </w:p>
    <w:p w14:paraId="215C9F11" w14:textId="4C357808" w:rsidR="00722664" w:rsidRDefault="009A7FB3" w:rsidP="00CC42A7">
      <w:pPr>
        <w:pStyle w:val="enumlev1"/>
      </w:pPr>
      <w:r>
        <w:t>–</w:t>
      </w:r>
      <w:r w:rsidR="00722664">
        <w:tab/>
      </w:r>
      <w:r>
        <w:t xml:space="preserve">percentage </w:t>
      </w:r>
      <w:r w:rsidR="00722664">
        <w:t>of geographical and gender proportions in the workforce, by duty station, sector, grade;</w:t>
      </w:r>
    </w:p>
    <w:p w14:paraId="794F0BF1" w14:textId="39B25D9E" w:rsidR="00722664" w:rsidRDefault="009A7FB3" w:rsidP="00CC42A7">
      <w:pPr>
        <w:pStyle w:val="enumlev1"/>
      </w:pPr>
      <w:r>
        <w:t>–</w:t>
      </w:r>
      <w:r w:rsidR="00722664">
        <w:tab/>
      </w:r>
      <w:r>
        <w:t xml:space="preserve">number </w:t>
      </w:r>
      <w:r w:rsidR="00722664">
        <w:t>of unqualified external audit opinions;</w:t>
      </w:r>
    </w:p>
    <w:p w14:paraId="688A024D" w14:textId="58962701" w:rsidR="00722664" w:rsidRDefault="009A7FB3" w:rsidP="00CC42A7">
      <w:pPr>
        <w:pStyle w:val="enumlev1"/>
      </w:pPr>
      <w:r>
        <w:t>–</w:t>
      </w:r>
      <w:r w:rsidR="00722664">
        <w:tab/>
      </w:r>
      <w:r>
        <w:t xml:space="preserve">amount </w:t>
      </w:r>
      <w:r w:rsidR="00722664">
        <w:t>of cost savings for goods and services procured by ITU;</w:t>
      </w:r>
    </w:p>
    <w:p w14:paraId="11873797" w14:textId="69A5A6A3" w:rsidR="00722664" w:rsidRDefault="009A7FB3" w:rsidP="00CC42A7">
      <w:pPr>
        <w:pStyle w:val="enumlev1"/>
      </w:pPr>
      <w:r>
        <w:t>–</w:t>
      </w:r>
      <w:r w:rsidR="00722664">
        <w:tab/>
      </w:r>
      <w:r>
        <w:t xml:space="preserve">number </w:t>
      </w:r>
      <w:r w:rsidR="00722664">
        <w:t xml:space="preserve">of oversight recommendations </w:t>
      </w:r>
      <w:r w:rsidR="00722664">
        <w:rPr>
          <w:rStyle w:val="ypks7kbdpwfgdykd3qb9"/>
        </w:rPr>
        <w:t xml:space="preserve">received and </w:t>
      </w:r>
      <w:r w:rsidR="00722664">
        <w:t>accepted;</w:t>
      </w:r>
    </w:p>
    <w:p w14:paraId="257674B4" w14:textId="357C8998" w:rsidR="00A514A4" w:rsidRDefault="009A7FB3" w:rsidP="00CC42A7">
      <w:pPr>
        <w:pStyle w:val="enumlev1"/>
      </w:pPr>
      <w:r>
        <w:t>–</w:t>
      </w:r>
      <w:r w:rsidR="00722664">
        <w:tab/>
      </w:r>
      <w:r>
        <w:t xml:space="preserve">average </w:t>
      </w:r>
      <w:r w:rsidR="00722664">
        <w:t>timeline for completing internal audit, investigations and evaluation engagements.</w:t>
      </w:r>
    </w:p>
    <w:p w14:paraId="667A2EA3" w14:textId="77777777" w:rsidR="009A7FB3" w:rsidRDefault="009A7FB3" w:rsidP="00CC42A7">
      <w:pPr>
        <w:pStyle w:val="enumlev1"/>
      </w:pPr>
    </w:p>
    <w:p w14:paraId="145B181F" w14:textId="77777777" w:rsidR="009A7FB3" w:rsidRDefault="009A7FB3">
      <w:pPr>
        <w:jc w:val="center"/>
      </w:pPr>
      <w:r>
        <w:t>______________</w:t>
      </w:r>
    </w:p>
    <w:sectPr w:rsidR="009A7FB3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044CBA8" w:rsidR="00EE49E8" w:rsidRPr="00E06FD5" w:rsidRDefault="00EE49E8" w:rsidP="00196060">
          <w:pPr>
            <w:pStyle w:val="Header"/>
            <w:tabs>
              <w:tab w:val="left" w:pos="631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196060">
            <w:rPr>
              <w:bCs/>
            </w:rPr>
            <w:t>4</w:t>
          </w:r>
          <w:r w:rsidR="00A52C84" w:rsidRPr="00623AE3">
            <w:rPr>
              <w:bCs/>
            </w:rPr>
            <w:t>/</w:t>
          </w:r>
          <w:r w:rsidR="00A958CC">
            <w:rPr>
              <w:bCs/>
            </w:rPr>
            <w:t>10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28E55B3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196060">
              <w:rPr>
                <w:rStyle w:val="Hyperlink"/>
              </w:rPr>
              <w:t>council.itu.int</w:t>
            </w:r>
            <w:proofErr w:type="spellEnd"/>
            <w:r w:rsidRPr="0019606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54C3CE2F" w:rsidR="00EE49E8" w:rsidRPr="00E06FD5" w:rsidRDefault="00EE49E8" w:rsidP="00196060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196060">
            <w:rPr>
              <w:bCs/>
            </w:rPr>
            <w:t>4</w:t>
          </w:r>
          <w:r w:rsidRPr="00623AE3">
            <w:rPr>
              <w:bCs/>
            </w:rPr>
            <w:t>/</w:t>
          </w:r>
          <w:r w:rsidR="00A958CC">
            <w:rPr>
              <w:bCs/>
            </w:rPr>
            <w:t>10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1B36CB4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196060">
                            <w:rPr>
                              <w:sz w:val="20"/>
                            </w:rPr>
                            <w:t>Fourth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436E55">
                            <w:rPr>
                              <w:sz w:val="20"/>
                            </w:rPr>
                            <w:t>12</w:t>
                          </w:r>
                          <w:r w:rsidR="00196060">
                            <w:rPr>
                              <w:sz w:val="20"/>
                            </w:rPr>
                            <w:t xml:space="preserve"> </w:t>
                          </w:r>
                          <w:r w:rsidR="00640688">
                            <w:rPr>
                              <w:sz w:val="20"/>
                            </w:rPr>
                            <w:t xml:space="preserve">to </w:t>
                          </w:r>
                          <w:r w:rsidR="00436E55">
                            <w:rPr>
                              <w:sz w:val="20"/>
                            </w:rPr>
                            <w:t>14</w:t>
                          </w:r>
                          <w:r w:rsidR="001F53FD">
                            <w:rPr>
                              <w:sz w:val="20"/>
                            </w:rPr>
                            <w:t xml:space="preserve"> (a.m.)</w:t>
                          </w:r>
                          <w:r w:rsidR="00436E55">
                            <w:rPr>
                              <w:sz w:val="20"/>
                            </w:rPr>
                            <w:t xml:space="preserve"> </w:t>
                          </w:r>
                          <w:r w:rsidR="0019606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196060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51B36CB4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196060">
                      <w:rPr>
                        <w:sz w:val="20"/>
                      </w:rPr>
                      <w:t>Fourth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436E55">
                      <w:rPr>
                        <w:sz w:val="20"/>
                      </w:rPr>
                      <w:t>12</w:t>
                    </w:r>
                    <w:r w:rsidR="00196060">
                      <w:rPr>
                        <w:sz w:val="20"/>
                      </w:rPr>
                      <w:t xml:space="preserve"> </w:t>
                    </w:r>
                    <w:r w:rsidR="00640688">
                      <w:rPr>
                        <w:sz w:val="20"/>
                      </w:rPr>
                      <w:t xml:space="preserve">to </w:t>
                    </w:r>
                    <w:r w:rsidR="00436E55">
                      <w:rPr>
                        <w:sz w:val="20"/>
                      </w:rPr>
                      <w:t>14</w:t>
                    </w:r>
                    <w:r w:rsidR="001F53FD">
                      <w:rPr>
                        <w:sz w:val="20"/>
                      </w:rPr>
                      <w:t xml:space="preserve"> (a.m.)</w:t>
                    </w:r>
                    <w:r w:rsidR="00436E55">
                      <w:rPr>
                        <w:sz w:val="20"/>
                      </w:rPr>
                      <w:t xml:space="preserve"> </w:t>
                    </w:r>
                    <w:r w:rsidR="0019606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196060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060"/>
    <w:rsid w:val="0019628A"/>
    <w:rsid w:val="001A7D1D"/>
    <w:rsid w:val="001B51DD"/>
    <w:rsid w:val="001C628E"/>
    <w:rsid w:val="001E0F7B"/>
    <w:rsid w:val="001E0FBE"/>
    <w:rsid w:val="001F1D78"/>
    <w:rsid w:val="001F53FD"/>
    <w:rsid w:val="002119FD"/>
    <w:rsid w:val="002130E0"/>
    <w:rsid w:val="00215A2C"/>
    <w:rsid w:val="002404ED"/>
    <w:rsid w:val="00244F7F"/>
    <w:rsid w:val="00260ACE"/>
    <w:rsid w:val="00264425"/>
    <w:rsid w:val="00265875"/>
    <w:rsid w:val="0027303B"/>
    <w:rsid w:val="00273D16"/>
    <w:rsid w:val="002752F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5B9"/>
    <w:rsid w:val="003D5A7F"/>
    <w:rsid w:val="004016E2"/>
    <w:rsid w:val="0040435A"/>
    <w:rsid w:val="00416A24"/>
    <w:rsid w:val="00431D9E"/>
    <w:rsid w:val="00433CE8"/>
    <w:rsid w:val="00434A5C"/>
    <w:rsid w:val="00436E55"/>
    <w:rsid w:val="004544D9"/>
    <w:rsid w:val="00472BAD"/>
    <w:rsid w:val="00473E44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50223C"/>
    <w:rsid w:val="005243FF"/>
    <w:rsid w:val="00564FBC"/>
    <w:rsid w:val="005800BC"/>
    <w:rsid w:val="00582442"/>
    <w:rsid w:val="005A335D"/>
    <w:rsid w:val="005E2BD5"/>
    <w:rsid w:val="005E413D"/>
    <w:rsid w:val="005F3269"/>
    <w:rsid w:val="00623AE3"/>
    <w:rsid w:val="00634501"/>
    <w:rsid w:val="00640688"/>
    <w:rsid w:val="0064737F"/>
    <w:rsid w:val="006535F1"/>
    <w:rsid w:val="0065557D"/>
    <w:rsid w:val="00660D50"/>
    <w:rsid w:val="00662984"/>
    <w:rsid w:val="006716BB"/>
    <w:rsid w:val="00676C7D"/>
    <w:rsid w:val="0068269B"/>
    <w:rsid w:val="006B1859"/>
    <w:rsid w:val="006B6680"/>
    <w:rsid w:val="006B6DCC"/>
    <w:rsid w:val="00700EB4"/>
    <w:rsid w:val="00702DEF"/>
    <w:rsid w:val="00706861"/>
    <w:rsid w:val="00722664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964B4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A7FB3"/>
    <w:rsid w:val="009B2D4B"/>
    <w:rsid w:val="009B38C3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467DF"/>
    <w:rsid w:val="00A514A4"/>
    <w:rsid w:val="00A52C84"/>
    <w:rsid w:val="00A53D15"/>
    <w:rsid w:val="00A55622"/>
    <w:rsid w:val="00A83502"/>
    <w:rsid w:val="00A94376"/>
    <w:rsid w:val="00A958CC"/>
    <w:rsid w:val="00AD15B3"/>
    <w:rsid w:val="00AD3606"/>
    <w:rsid w:val="00AD4A3D"/>
    <w:rsid w:val="00AF6E49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D6503"/>
    <w:rsid w:val="00BE2640"/>
    <w:rsid w:val="00C01189"/>
    <w:rsid w:val="00C374DE"/>
    <w:rsid w:val="00C47AD4"/>
    <w:rsid w:val="00C52D81"/>
    <w:rsid w:val="00C55198"/>
    <w:rsid w:val="00CA6393"/>
    <w:rsid w:val="00CA7CB8"/>
    <w:rsid w:val="00CB18FF"/>
    <w:rsid w:val="00CC42A7"/>
    <w:rsid w:val="00CD0C08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B00D5"/>
    <w:rsid w:val="00DB1936"/>
    <w:rsid w:val="00DB384B"/>
    <w:rsid w:val="00DF0189"/>
    <w:rsid w:val="00E03C3D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D454D"/>
    <w:rsid w:val="00EE49E8"/>
    <w:rsid w:val="00F16BAB"/>
    <w:rsid w:val="00F2150A"/>
    <w:rsid w:val="00F231D8"/>
    <w:rsid w:val="00F264CE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FE09A121-CE23-41AE-80B7-06BCD5F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A7FB3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CC42A7"/>
    <w:pPr>
      <w:spacing w:before="80"/>
      <w:ind w:left="567" w:hanging="567"/>
      <w:jc w:val="both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52FB"/>
    <w:rPr>
      <w:color w:val="666666"/>
    </w:rPr>
  </w:style>
  <w:style w:type="character" w:customStyle="1" w:styleId="ypks7kbdpwfgdykd3qb9">
    <w:name w:val="ypks7kbdpwfgdykd3qb9"/>
    <w:basedOn w:val="DefaultParagraphFont"/>
    <w:rsid w:val="00722664"/>
  </w:style>
  <w:style w:type="paragraph" w:customStyle="1" w:styleId="Reasons">
    <w:name w:val="Reasons"/>
    <w:basedOn w:val="Normal"/>
    <w:qFormat/>
    <w:rsid w:val="009A7FB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51-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3-CL-C-005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71-E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425</Words>
  <Characters>2818</Characters>
  <Application>Microsoft Office Word</Application>
  <DocSecurity>0</DocSecurity>
  <Lines>187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of an outcome and performance indicators for enablers in the strategic plan 2028-2031</vt:lpstr>
    </vt:vector>
  </TitlesOfParts>
  <Manager/>
  <Company/>
  <LinksUpToDate>false</LinksUpToDate>
  <CharactersWithSpaces>3119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of an outcome and performance indicators for enablers in the strategic plan 2028-2031</dc:title>
  <dc:subject>ITU Council Working Group on Financial and Human Resources</dc:subject>
  <dc:creator/>
  <cp:keywords>CWG-SFP; Council-26; C26</cp:keywords>
  <dc:description/>
  <dcterms:created xsi:type="dcterms:W3CDTF">2026-01-05T11:21:00Z</dcterms:created>
  <dcterms:modified xsi:type="dcterms:W3CDTF">2026-01-05T13:24:00Z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dcf76eb8-ec84-4b71-97bc-9e960c51973a</vt:lpwstr>
  </property>
</Properties>
</file>