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page" w:tblpX="1821" w:tblpY="2317"/>
        <w:tblW w:w="9214" w:type="dxa"/>
        <w:tblLayout w:type="fixed"/>
        <w:tblLook w:val="0000" w:firstRow="0" w:lastRow="0" w:firstColumn="0" w:lastColumn="0" w:noHBand="0" w:noVBand="0"/>
      </w:tblPr>
      <w:tblGrid>
        <w:gridCol w:w="3969"/>
        <w:gridCol w:w="5245"/>
      </w:tblGrid>
      <w:tr w:rsidR="00AD3606" w:rsidRPr="000908F5" w14:paraId="0043AC80" w14:textId="77777777" w:rsidTr="47D56860">
        <w:trPr>
          <w:cantSplit/>
          <w:trHeight w:val="300"/>
        </w:trPr>
        <w:tc>
          <w:tcPr>
            <w:tcW w:w="3969" w:type="dxa"/>
            <w:vMerge w:val="restart"/>
            <w:tcMar>
              <w:left w:w="0" w:type="dxa"/>
            </w:tcMar>
          </w:tcPr>
          <w:p w14:paraId="60A806D3" w14:textId="6316C87D" w:rsidR="00AD3606" w:rsidRPr="000908F5" w:rsidRDefault="00AD3606" w:rsidP="00472BAD">
            <w:pPr>
              <w:tabs>
                <w:tab w:val="left" w:pos="851"/>
              </w:tabs>
              <w:spacing w:before="0" w:line="240" w:lineRule="atLeast"/>
              <w:rPr>
                <w:b/>
              </w:rPr>
            </w:pPr>
            <w:bookmarkStart w:id="0" w:name="dmeeting" w:colFirst="0" w:colLast="0"/>
            <w:bookmarkStart w:id="1" w:name="dnum" w:colFirst="1" w:colLast="1"/>
            <w:bookmarkStart w:id="2" w:name="_Hlk133421839"/>
            <w:bookmarkStart w:id="3" w:name="_Hlk133421856"/>
            <w:bookmarkStart w:id="4" w:name="_Hlk133422370"/>
            <w:bookmarkStart w:id="5" w:name="_Hlk133586559"/>
          </w:p>
        </w:tc>
        <w:tc>
          <w:tcPr>
            <w:tcW w:w="5245" w:type="dxa"/>
          </w:tcPr>
          <w:p w14:paraId="291AB2A2" w14:textId="0723D9F2" w:rsidR="00AD3606" w:rsidRPr="000908F5" w:rsidRDefault="00AD3606" w:rsidP="00472BAD">
            <w:pPr>
              <w:tabs>
                <w:tab w:val="left" w:pos="851"/>
              </w:tabs>
              <w:spacing w:before="0" w:line="240" w:lineRule="atLeast"/>
              <w:jc w:val="right"/>
              <w:rPr>
                <w:b/>
              </w:rPr>
            </w:pPr>
            <w:r w:rsidRPr="000908F5">
              <w:rPr>
                <w:b/>
              </w:rPr>
              <w:t>Document C</w:t>
            </w:r>
            <w:r w:rsidR="00A52C84" w:rsidRPr="000908F5">
              <w:rPr>
                <w:b/>
              </w:rPr>
              <w:t>WG-</w:t>
            </w:r>
            <w:r w:rsidR="00F264CE" w:rsidRPr="000908F5">
              <w:rPr>
                <w:b/>
              </w:rPr>
              <w:t>SFP-</w:t>
            </w:r>
            <w:r w:rsidR="00630B6A" w:rsidRPr="000908F5">
              <w:rPr>
                <w:b/>
              </w:rPr>
              <w:t>4</w:t>
            </w:r>
            <w:r w:rsidRPr="000908F5">
              <w:rPr>
                <w:b/>
              </w:rPr>
              <w:t>/</w:t>
            </w:r>
            <w:r w:rsidR="00C4505A">
              <w:rPr>
                <w:b/>
              </w:rPr>
              <w:t>7</w:t>
            </w:r>
          </w:p>
        </w:tc>
      </w:tr>
      <w:tr w:rsidR="00AD3606" w:rsidRPr="000908F5" w14:paraId="789B45BA" w14:textId="77777777" w:rsidTr="00AD3606">
        <w:trPr>
          <w:cantSplit/>
        </w:trPr>
        <w:tc>
          <w:tcPr>
            <w:tcW w:w="3969" w:type="dxa"/>
            <w:vMerge/>
          </w:tcPr>
          <w:p w14:paraId="3F3D4E17" w14:textId="77777777" w:rsidR="00AD3606" w:rsidRPr="000908F5" w:rsidRDefault="00AD3606" w:rsidP="00AD3606">
            <w:pPr>
              <w:tabs>
                <w:tab w:val="left" w:pos="851"/>
              </w:tabs>
              <w:spacing w:line="240" w:lineRule="atLeast"/>
              <w:rPr>
                <w:b/>
              </w:rPr>
            </w:pPr>
            <w:bookmarkStart w:id="6" w:name="ddate" w:colFirst="1" w:colLast="1"/>
            <w:bookmarkEnd w:id="0"/>
            <w:bookmarkEnd w:id="1"/>
          </w:p>
        </w:tc>
        <w:tc>
          <w:tcPr>
            <w:tcW w:w="5245" w:type="dxa"/>
          </w:tcPr>
          <w:p w14:paraId="2DE9ACEA" w14:textId="541EED9C" w:rsidR="00AD3606" w:rsidRPr="000908F5" w:rsidRDefault="00C4505A" w:rsidP="00AD3606">
            <w:pPr>
              <w:tabs>
                <w:tab w:val="left" w:pos="851"/>
              </w:tabs>
              <w:spacing w:before="0"/>
              <w:jc w:val="right"/>
              <w:rPr>
                <w:b/>
              </w:rPr>
            </w:pPr>
            <w:r>
              <w:rPr>
                <w:b/>
              </w:rPr>
              <w:t>15 December 2025</w:t>
            </w:r>
          </w:p>
        </w:tc>
      </w:tr>
      <w:tr w:rsidR="00AD3606" w:rsidRPr="000908F5" w14:paraId="58A84C4A" w14:textId="77777777" w:rsidTr="00AD3606">
        <w:trPr>
          <w:cantSplit/>
          <w:trHeight w:val="23"/>
        </w:trPr>
        <w:tc>
          <w:tcPr>
            <w:tcW w:w="3969" w:type="dxa"/>
            <w:vMerge/>
          </w:tcPr>
          <w:p w14:paraId="77CEDDAA" w14:textId="77777777" w:rsidR="00AD3606" w:rsidRPr="000908F5" w:rsidRDefault="00AD3606" w:rsidP="00AD3606">
            <w:pPr>
              <w:tabs>
                <w:tab w:val="left" w:pos="851"/>
              </w:tabs>
              <w:spacing w:line="240" w:lineRule="atLeast"/>
              <w:rPr>
                <w:b/>
              </w:rPr>
            </w:pPr>
            <w:bookmarkStart w:id="7" w:name="dorlang" w:colFirst="1" w:colLast="1"/>
            <w:bookmarkEnd w:id="6"/>
          </w:p>
        </w:tc>
        <w:tc>
          <w:tcPr>
            <w:tcW w:w="5245" w:type="dxa"/>
          </w:tcPr>
          <w:p w14:paraId="561AAE94" w14:textId="21480245" w:rsidR="00AD3606" w:rsidRPr="000908F5" w:rsidRDefault="00891503" w:rsidP="00AD3606">
            <w:pPr>
              <w:tabs>
                <w:tab w:val="left" w:pos="851"/>
              </w:tabs>
              <w:spacing w:before="0" w:line="240" w:lineRule="atLeast"/>
              <w:jc w:val="right"/>
              <w:rPr>
                <w:b/>
              </w:rPr>
            </w:pPr>
            <w:r w:rsidRPr="000908F5">
              <w:rPr>
                <w:b/>
              </w:rPr>
              <w:t>English</w:t>
            </w:r>
            <w:r w:rsidR="009B2D4B" w:rsidRPr="000908F5">
              <w:rPr>
                <w:b/>
              </w:rPr>
              <w:t xml:space="preserve"> only</w:t>
            </w:r>
          </w:p>
        </w:tc>
      </w:tr>
      <w:tr w:rsidR="00472BAD" w:rsidRPr="000908F5" w14:paraId="12C5EF5F" w14:textId="77777777" w:rsidTr="00AD3606">
        <w:trPr>
          <w:cantSplit/>
          <w:trHeight w:val="23"/>
        </w:trPr>
        <w:tc>
          <w:tcPr>
            <w:tcW w:w="3969" w:type="dxa"/>
          </w:tcPr>
          <w:p w14:paraId="4B839BA2" w14:textId="77777777" w:rsidR="00472BAD" w:rsidRPr="000908F5" w:rsidRDefault="00472BAD" w:rsidP="00AD3606">
            <w:pPr>
              <w:tabs>
                <w:tab w:val="left" w:pos="851"/>
              </w:tabs>
              <w:spacing w:line="240" w:lineRule="atLeast"/>
              <w:rPr>
                <w:b/>
              </w:rPr>
            </w:pPr>
          </w:p>
        </w:tc>
        <w:tc>
          <w:tcPr>
            <w:tcW w:w="5245" w:type="dxa"/>
          </w:tcPr>
          <w:p w14:paraId="12F66D25" w14:textId="77777777" w:rsidR="00472BAD" w:rsidRPr="000908F5" w:rsidRDefault="00472BAD" w:rsidP="00AD3606">
            <w:pPr>
              <w:tabs>
                <w:tab w:val="left" w:pos="851"/>
              </w:tabs>
              <w:spacing w:before="0" w:line="240" w:lineRule="atLeast"/>
              <w:jc w:val="right"/>
              <w:rPr>
                <w:b/>
              </w:rPr>
            </w:pPr>
          </w:p>
        </w:tc>
      </w:tr>
      <w:tr w:rsidR="00AD3606" w:rsidRPr="000908F5" w14:paraId="27000B2A" w14:textId="77777777" w:rsidTr="00AD3606">
        <w:trPr>
          <w:cantSplit/>
        </w:trPr>
        <w:tc>
          <w:tcPr>
            <w:tcW w:w="9214" w:type="dxa"/>
            <w:gridSpan w:val="2"/>
            <w:tcMar>
              <w:left w:w="0" w:type="dxa"/>
            </w:tcMar>
          </w:tcPr>
          <w:p w14:paraId="4E7CDB90" w14:textId="3E40E06F" w:rsidR="00AD3606" w:rsidRPr="000908F5" w:rsidRDefault="00391978" w:rsidP="00676C7D">
            <w:pPr>
              <w:pStyle w:val="Source"/>
              <w:framePr w:hSpace="0" w:wrap="auto" w:vAnchor="margin" w:hAnchor="text" w:xAlign="left" w:yAlign="inline"/>
            </w:pPr>
            <w:bookmarkStart w:id="8" w:name="dsource" w:colFirst="0" w:colLast="0"/>
            <w:bookmarkEnd w:id="7"/>
            <w:r>
              <w:t>Report</w:t>
            </w:r>
            <w:r w:rsidR="00E97C3E">
              <w:t xml:space="preserve"> by the </w:t>
            </w:r>
            <w:r w:rsidR="0955412D">
              <w:t>Secretary-General</w:t>
            </w:r>
          </w:p>
        </w:tc>
      </w:tr>
      <w:tr w:rsidR="00AD3606" w:rsidRPr="000908F5" w14:paraId="2340750D" w14:textId="77777777" w:rsidTr="00AD3606">
        <w:trPr>
          <w:cantSplit/>
        </w:trPr>
        <w:tc>
          <w:tcPr>
            <w:tcW w:w="9214" w:type="dxa"/>
            <w:gridSpan w:val="2"/>
            <w:tcMar>
              <w:left w:w="0" w:type="dxa"/>
            </w:tcMar>
          </w:tcPr>
          <w:p w14:paraId="47B91AA8" w14:textId="4CB4C8E2" w:rsidR="00AD3606" w:rsidRPr="000908F5" w:rsidRDefault="00C4505A" w:rsidP="00676C7D">
            <w:pPr>
              <w:pStyle w:val="Subtitle"/>
              <w:framePr w:hSpace="0" w:wrap="auto" w:xAlign="left" w:yAlign="inline"/>
            </w:pPr>
            <w:bookmarkStart w:id="9" w:name="dtitle1" w:colFirst="0" w:colLast="0"/>
            <w:bookmarkEnd w:id="8"/>
            <w:r>
              <w:t>ITU-D CONTRIBUTION TO THE DRAFT STRATEGIC PLAN 2028-2031</w:t>
            </w:r>
          </w:p>
        </w:tc>
      </w:tr>
      <w:tr w:rsidR="00AD3606" w:rsidRPr="000908F5" w14:paraId="1F564D2D" w14:textId="77777777" w:rsidTr="00AD3606">
        <w:trPr>
          <w:cantSplit/>
        </w:trPr>
        <w:tc>
          <w:tcPr>
            <w:tcW w:w="9214" w:type="dxa"/>
            <w:gridSpan w:val="2"/>
            <w:tcBorders>
              <w:top w:val="single" w:sz="4" w:space="0" w:color="auto"/>
              <w:bottom w:val="single" w:sz="4" w:space="0" w:color="auto"/>
            </w:tcBorders>
            <w:tcMar>
              <w:left w:w="0" w:type="dxa"/>
            </w:tcMar>
          </w:tcPr>
          <w:p w14:paraId="7AD73B47" w14:textId="3A59D05A" w:rsidR="00AD3606" w:rsidRPr="000908F5" w:rsidRDefault="00F16BAB" w:rsidP="00F16BAB">
            <w:pPr>
              <w:spacing w:before="160"/>
              <w:rPr>
                <w:b/>
                <w:bCs/>
                <w:sz w:val="26"/>
                <w:szCs w:val="26"/>
              </w:rPr>
            </w:pPr>
            <w:r w:rsidRPr="000908F5">
              <w:rPr>
                <w:b/>
                <w:bCs/>
                <w:sz w:val="26"/>
                <w:szCs w:val="26"/>
              </w:rPr>
              <w:t>Purpose</w:t>
            </w:r>
          </w:p>
          <w:p w14:paraId="715AF7C1" w14:textId="7C21FEF4" w:rsidR="004819F7" w:rsidRPr="000908F5" w:rsidRDefault="004819F7" w:rsidP="004819F7">
            <w:pPr>
              <w:jc w:val="both"/>
            </w:pPr>
            <w:r w:rsidRPr="003E212F">
              <w:t>The ITU World Telecommunication Development Conference</w:t>
            </w:r>
            <w:r>
              <w:t>,</w:t>
            </w:r>
            <w:r w:rsidRPr="003E212F">
              <w:t xml:space="preserve"> </w:t>
            </w:r>
            <w:r>
              <w:t xml:space="preserve">held from 17 to 28 November 2025 in Baku, Azerbaijan, successfully concluded with the adoption of the </w:t>
            </w:r>
            <w:r w:rsidRPr="003E212F">
              <w:t>Baku Action Plan</w:t>
            </w:r>
            <w:r>
              <w:t xml:space="preserve"> which </w:t>
            </w:r>
            <w:r w:rsidRPr="007B57E9">
              <w:t xml:space="preserve">sets the agenda for human-centred digital development driven by telecommunications and information and communication technologies </w:t>
            </w:r>
            <w:r>
              <w:t xml:space="preserve">(ICTs) </w:t>
            </w:r>
            <w:r w:rsidRPr="007B57E9">
              <w:t>with focus on the needs of developing countries, underserved communities and vulnerable populations.</w:t>
            </w:r>
            <w:r>
              <w:t xml:space="preserve"> This </w:t>
            </w:r>
            <w:r w:rsidRPr="003E212F">
              <w:t xml:space="preserve">principal outcome document of </w:t>
            </w:r>
            <w:proofErr w:type="spellStart"/>
            <w:r w:rsidRPr="003E212F">
              <w:t>WTDC</w:t>
            </w:r>
            <w:proofErr w:type="spellEnd"/>
            <w:r w:rsidRPr="003E212F">
              <w:t>-25</w:t>
            </w:r>
            <w:r>
              <w:t xml:space="preserve"> includes </w:t>
            </w:r>
            <w:r w:rsidRPr="003E212F">
              <w:t>new</w:t>
            </w:r>
            <w:r w:rsidR="00F61262">
              <w:t xml:space="preserve"> </w:t>
            </w:r>
            <w:r w:rsidRPr="003E212F">
              <w:t>and</w:t>
            </w:r>
            <w:r w:rsidR="00F61262">
              <w:t xml:space="preserve"> </w:t>
            </w:r>
            <w:r w:rsidRPr="003E212F">
              <w:t xml:space="preserve">revised </w:t>
            </w:r>
            <w:r>
              <w:t>R</w:t>
            </w:r>
            <w:r w:rsidRPr="003E212F">
              <w:t>esolutions</w:t>
            </w:r>
            <w:r>
              <w:t xml:space="preserve"> and R</w:t>
            </w:r>
            <w:r w:rsidRPr="003E212F">
              <w:t xml:space="preserve">ecommendations for </w:t>
            </w:r>
            <w:r>
              <w:t xml:space="preserve">the </w:t>
            </w:r>
            <w:r w:rsidRPr="003E212F">
              <w:t xml:space="preserve">ITU Telecommunication Development Sector (ITU-D), and new initiatives addressing key digital development priorities in ITU-D regions. The plan also sets out new and revised </w:t>
            </w:r>
            <w:r>
              <w:t>Q</w:t>
            </w:r>
            <w:r w:rsidRPr="003E212F">
              <w:t xml:space="preserve">uestions on issues to be addressed by expert ITU-D </w:t>
            </w:r>
            <w:r>
              <w:t>S</w:t>
            </w:r>
            <w:r w:rsidRPr="003E212F">
              <w:t xml:space="preserve">tudy </w:t>
            </w:r>
            <w:r>
              <w:t>G</w:t>
            </w:r>
            <w:r w:rsidRPr="003E212F">
              <w:t>roups.</w:t>
            </w:r>
            <w:r>
              <w:t xml:space="preserve"> It also includes the ITU-D contribution to the Draft Strategic Plan 2028-2031, which is submitted to the </w:t>
            </w:r>
            <w:r w:rsidRPr="00B15C77">
              <w:t xml:space="preserve">Council Working Group for strategic and financial plans </w:t>
            </w:r>
            <w:r>
              <w:t xml:space="preserve">for its consideration. </w:t>
            </w:r>
          </w:p>
          <w:p w14:paraId="5076D5C4" w14:textId="28F00572" w:rsidR="00AD3606" w:rsidRPr="000908F5" w:rsidRDefault="00AD3606" w:rsidP="00F16BAB">
            <w:pPr>
              <w:spacing w:before="160"/>
              <w:rPr>
                <w:b/>
                <w:bCs/>
                <w:sz w:val="26"/>
                <w:szCs w:val="26"/>
              </w:rPr>
            </w:pPr>
            <w:r w:rsidRPr="000908F5">
              <w:rPr>
                <w:b/>
                <w:bCs/>
                <w:sz w:val="26"/>
                <w:szCs w:val="26"/>
              </w:rPr>
              <w:t>Action required</w:t>
            </w:r>
          </w:p>
          <w:p w14:paraId="16E4669B" w14:textId="77777777" w:rsidR="009D42C1" w:rsidRPr="000908F5" w:rsidRDefault="009D42C1" w:rsidP="00F61262">
            <w:pPr>
              <w:spacing w:before="160"/>
              <w:jc w:val="both"/>
            </w:pPr>
            <w:r w:rsidRPr="000908F5">
              <w:t xml:space="preserve">The Council Working Group for strategic and financial plans 2028-2031 is invited to </w:t>
            </w:r>
            <w:r w:rsidRPr="000908F5">
              <w:rPr>
                <w:b/>
                <w:bCs/>
              </w:rPr>
              <w:t>consider</w:t>
            </w:r>
            <w:r w:rsidRPr="000908F5">
              <w:t xml:space="preserve"> this document.</w:t>
            </w:r>
          </w:p>
          <w:p w14:paraId="73F1E18A" w14:textId="77777777" w:rsidR="00630B6A" w:rsidRPr="000908F5" w:rsidRDefault="00630B6A">
            <w:r w:rsidRPr="000908F5">
              <w:t>_______________</w:t>
            </w:r>
          </w:p>
          <w:p w14:paraId="00DEE14C" w14:textId="77777777" w:rsidR="00AD3606" w:rsidRPr="000908F5" w:rsidRDefault="00AD3606" w:rsidP="00F16BAB">
            <w:pPr>
              <w:spacing w:before="160"/>
              <w:rPr>
                <w:b/>
                <w:bCs/>
                <w:sz w:val="26"/>
                <w:szCs w:val="26"/>
              </w:rPr>
            </w:pPr>
            <w:r w:rsidRPr="000908F5">
              <w:rPr>
                <w:b/>
                <w:bCs/>
                <w:sz w:val="26"/>
                <w:szCs w:val="26"/>
              </w:rPr>
              <w:t>References</w:t>
            </w:r>
          </w:p>
          <w:p w14:paraId="0175CD6C" w14:textId="5F2D6A6F" w:rsidR="00AD3606" w:rsidRPr="00F16F10" w:rsidRDefault="00FD7016" w:rsidP="00F16BAB">
            <w:pPr>
              <w:spacing w:after="160"/>
              <w:rPr>
                <w:i/>
                <w:iCs/>
                <w:sz w:val="22"/>
                <w:szCs w:val="22"/>
              </w:rPr>
            </w:pPr>
            <w:hyperlink r:id="rId11" w:history="1">
              <w:r w:rsidRPr="00F16F10">
                <w:rPr>
                  <w:rStyle w:val="Hyperlink"/>
                  <w:i/>
                  <w:iCs/>
                  <w:sz w:val="22"/>
                  <w:szCs w:val="22"/>
                </w:rPr>
                <w:t>CWG-</w:t>
              </w:r>
              <w:r w:rsidR="00F264CE" w:rsidRPr="00F16F10">
                <w:rPr>
                  <w:rStyle w:val="Hyperlink"/>
                  <w:i/>
                  <w:iCs/>
                  <w:sz w:val="22"/>
                  <w:szCs w:val="22"/>
                </w:rPr>
                <w:t>SFP</w:t>
              </w:r>
              <w:r w:rsidRPr="00F16F10">
                <w:rPr>
                  <w:rStyle w:val="Hyperlink"/>
                  <w:i/>
                  <w:iCs/>
                  <w:sz w:val="22"/>
                  <w:szCs w:val="22"/>
                </w:rPr>
                <w:t xml:space="preserve"> website</w:t>
              </w:r>
            </w:hyperlink>
            <w:r w:rsidRPr="00F16F10">
              <w:rPr>
                <w:i/>
                <w:iCs/>
                <w:sz w:val="22"/>
                <w:szCs w:val="22"/>
              </w:rPr>
              <w:t xml:space="preserve">; </w:t>
            </w:r>
            <w:hyperlink r:id="rId12" w:history="1">
              <w:proofErr w:type="spellStart"/>
              <w:r w:rsidR="00F16F10" w:rsidRPr="00F16F10">
                <w:rPr>
                  <w:rStyle w:val="Hyperlink"/>
                  <w:i/>
                  <w:iCs/>
                  <w:sz w:val="22"/>
                  <w:szCs w:val="22"/>
                </w:rPr>
                <w:t>WTDC</w:t>
              </w:r>
              <w:proofErr w:type="spellEnd"/>
              <w:r w:rsidR="00F16F10" w:rsidRPr="00F16F10">
                <w:rPr>
                  <w:rStyle w:val="Hyperlink"/>
                  <w:i/>
                  <w:iCs/>
                  <w:sz w:val="22"/>
                  <w:szCs w:val="22"/>
                </w:rPr>
                <w:t>-25 Provisional Final Report</w:t>
              </w:r>
            </w:hyperlink>
            <w:r w:rsidR="00F16F10" w:rsidRPr="00F16F10">
              <w:rPr>
                <w:sz w:val="22"/>
                <w:szCs w:val="22"/>
              </w:rPr>
              <w:t xml:space="preserve">; </w:t>
            </w:r>
            <w:hyperlink r:id="rId13" w:tgtFrame="_blank" w:history="1">
              <w:r w:rsidR="00F16F10" w:rsidRPr="00F16F10">
                <w:rPr>
                  <w:rStyle w:val="normaltextrun"/>
                  <w:rFonts w:cs="Calibri"/>
                  <w:i/>
                  <w:iCs/>
                  <w:color w:val="0563C1"/>
                  <w:sz w:val="22"/>
                  <w:szCs w:val="22"/>
                  <w:u w:val="single"/>
                  <w:shd w:val="clear" w:color="auto" w:fill="FFFFFF"/>
                </w:rPr>
                <w:t>Resolution 1428 (</w:t>
              </w:r>
              <w:proofErr w:type="spellStart"/>
              <w:r w:rsidR="00F16F10" w:rsidRPr="00F16F10">
                <w:rPr>
                  <w:rStyle w:val="normaltextrun"/>
                  <w:rFonts w:cs="Calibri"/>
                  <w:i/>
                  <w:iCs/>
                  <w:color w:val="0563C1"/>
                  <w:sz w:val="22"/>
                  <w:szCs w:val="22"/>
                  <w:u w:val="single"/>
                  <w:shd w:val="clear" w:color="auto" w:fill="FFFFFF"/>
                </w:rPr>
                <w:t>C24</w:t>
              </w:r>
              <w:proofErr w:type="spellEnd"/>
              <w:r w:rsidR="00F16F10" w:rsidRPr="00F16F10">
                <w:rPr>
                  <w:rStyle w:val="normaltextrun"/>
                  <w:rFonts w:cs="Calibri"/>
                  <w:i/>
                  <w:iCs/>
                  <w:color w:val="0563C1"/>
                  <w:sz w:val="22"/>
                  <w:szCs w:val="22"/>
                  <w:u w:val="single"/>
                  <w:shd w:val="clear" w:color="auto" w:fill="FFFFFF"/>
                </w:rPr>
                <w:t>)</w:t>
              </w:r>
            </w:hyperlink>
          </w:p>
        </w:tc>
      </w:tr>
    </w:tbl>
    <w:p w14:paraId="4CDB8B60" w14:textId="77777777" w:rsidR="00E227F3" w:rsidRPr="000908F5" w:rsidRDefault="00E227F3">
      <w:pPr>
        <w:tabs>
          <w:tab w:val="clear" w:pos="567"/>
          <w:tab w:val="clear" w:pos="1134"/>
          <w:tab w:val="clear" w:pos="1701"/>
          <w:tab w:val="clear" w:pos="2268"/>
          <w:tab w:val="clear" w:pos="2835"/>
        </w:tabs>
        <w:overflowPunct/>
        <w:autoSpaceDE/>
        <w:autoSpaceDN/>
        <w:adjustRightInd/>
        <w:spacing w:before="0"/>
        <w:textAlignment w:val="auto"/>
      </w:pPr>
      <w:bookmarkStart w:id="10" w:name="_Hlk133421428"/>
      <w:bookmarkEnd w:id="2"/>
      <w:bookmarkEnd w:id="9"/>
    </w:p>
    <w:bookmarkEnd w:id="3"/>
    <w:bookmarkEnd w:id="4"/>
    <w:p w14:paraId="1D7ED322" w14:textId="77777777" w:rsidR="0090147A" w:rsidRPr="000908F5" w:rsidRDefault="0090147A">
      <w:pPr>
        <w:tabs>
          <w:tab w:val="clear" w:pos="567"/>
          <w:tab w:val="clear" w:pos="1134"/>
          <w:tab w:val="clear" w:pos="1701"/>
          <w:tab w:val="clear" w:pos="2268"/>
          <w:tab w:val="clear" w:pos="2835"/>
        </w:tabs>
        <w:overflowPunct/>
        <w:autoSpaceDE/>
        <w:autoSpaceDN/>
        <w:adjustRightInd/>
        <w:spacing w:before="0"/>
        <w:textAlignment w:val="auto"/>
        <w:rPr>
          <w:b/>
        </w:rPr>
      </w:pPr>
      <w:r w:rsidRPr="000908F5">
        <w:br w:type="page"/>
      </w:r>
    </w:p>
    <w:bookmarkEnd w:id="5"/>
    <w:bookmarkEnd w:id="10"/>
    <w:p w14:paraId="7EC450D7" w14:textId="5C0C5C2C" w:rsidR="00AF376E" w:rsidRPr="00524DF2" w:rsidRDefault="00AF376E" w:rsidP="000468B1">
      <w:pPr>
        <w:pStyle w:val="Annextitle"/>
        <w:rPr>
          <w:rFonts w:eastAsia="Calibri"/>
        </w:rPr>
      </w:pPr>
      <w:r w:rsidRPr="00524DF2">
        <w:rPr>
          <w:rFonts w:eastAsia="Calibri"/>
        </w:rPr>
        <w:lastRenderedPageBreak/>
        <w:t xml:space="preserve">ITU-D </w:t>
      </w:r>
      <w:r w:rsidRPr="000468B1">
        <w:rPr>
          <w:rFonts w:eastAsia="Calibri"/>
        </w:rPr>
        <w:t>contribution</w:t>
      </w:r>
      <w:r w:rsidRPr="00524DF2">
        <w:rPr>
          <w:rFonts w:eastAsia="Calibri"/>
        </w:rPr>
        <w:t xml:space="preserve"> to the ITU Strategic and Financial Plan</w:t>
      </w:r>
      <w:r w:rsidR="009004A2">
        <w:rPr>
          <w:rFonts w:eastAsia="Calibri"/>
        </w:rPr>
        <w:t>s</w:t>
      </w:r>
      <w:r w:rsidRPr="00524DF2">
        <w:rPr>
          <w:rFonts w:eastAsia="Calibri"/>
        </w:rPr>
        <w:t xml:space="preserve"> for 2028</w:t>
      </w:r>
      <w:r w:rsidR="009004A2">
        <w:rPr>
          <w:rFonts w:eastAsia="Calibri"/>
        </w:rPr>
        <w:t>-</w:t>
      </w:r>
      <w:r w:rsidRPr="00524DF2">
        <w:rPr>
          <w:rFonts w:eastAsia="Calibri"/>
        </w:rPr>
        <w:t>2031</w:t>
      </w:r>
    </w:p>
    <w:p w14:paraId="4C5E4C5A" w14:textId="5B3F7FAE" w:rsidR="00AF376E" w:rsidRPr="00524DF2" w:rsidRDefault="00AF376E" w:rsidP="000468B1">
      <w:pPr>
        <w:pStyle w:val="Headingb"/>
        <w:rPr>
          <w:rFonts w:eastAsia="Calibri"/>
        </w:rPr>
      </w:pPr>
      <w:r w:rsidRPr="00524DF2">
        <w:rPr>
          <w:rFonts w:eastAsia="Calibri"/>
        </w:rPr>
        <w:t xml:space="preserve">ITU-D </w:t>
      </w:r>
      <w:r w:rsidR="000468B1" w:rsidRPr="00524DF2">
        <w:rPr>
          <w:rFonts w:eastAsia="Calibri"/>
        </w:rPr>
        <w:t>priorities</w:t>
      </w:r>
    </w:p>
    <w:p w14:paraId="58A40976" w14:textId="77777777" w:rsidR="00AF376E" w:rsidRPr="00524DF2" w:rsidRDefault="00AF376E" w:rsidP="000468B1">
      <w:pPr>
        <w:pStyle w:val="enumlev1"/>
        <w:jc w:val="both"/>
        <w:rPr>
          <w:rFonts w:eastAsia="Calibri"/>
        </w:rPr>
      </w:pPr>
      <w:r w:rsidRPr="00524DF2">
        <w:rPr>
          <w:rFonts w:eastAsia="Calibri"/>
        </w:rPr>
        <w:t>–</w:t>
      </w:r>
      <w:r w:rsidRPr="00524DF2">
        <w:rPr>
          <w:rFonts w:eastAsia="Calibri"/>
          <w:b/>
          <w:bCs/>
        </w:rPr>
        <w:tab/>
        <w:t>Affordable connectivity:</w:t>
      </w:r>
      <w:r w:rsidRPr="00524DF2">
        <w:rPr>
          <w:rFonts w:eastAsia="Calibri"/>
        </w:rPr>
        <w:t xml:space="preserve"> This priority seeks to foster access to telecommunications/ICTs for all, including the Internet, digital communication services, </w:t>
      </w:r>
      <w:r w:rsidRPr="000468B1">
        <w:rPr>
          <w:rFonts w:eastAsia="Calibri"/>
        </w:rPr>
        <w:t>space</w:t>
      </w:r>
      <w:r w:rsidRPr="00524DF2">
        <w:rPr>
          <w:rFonts w:eastAsia="Calibri"/>
        </w:rPr>
        <w:t>-based radiocommunication services, broadband, voice services and devices, at a cost that is reasonable and affordable for individuals or households, relative to their income, without causing financial hardship. Under this priority, the Telecommunication Development Bureau (BDT) will continue providing assistance to Member States in the development of telecommunication/ICT infrastructure and services, expanding broadband access and coverage, and ensuring emergency telecommunications and disaster risk resilience. Particular focus shall be given to addressing barriers to rural connectivity in developing countries</w:t>
      </w:r>
      <w:r w:rsidRPr="00524DF2">
        <w:rPr>
          <w:rStyle w:val="FootnoteReference"/>
          <w:rFonts w:eastAsia="Calibri"/>
        </w:rPr>
        <w:footnoteReference w:customMarkFollows="1" w:id="1"/>
        <w:t>1</w:t>
      </w:r>
      <w:r w:rsidRPr="00524DF2">
        <w:rPr>
          <w:rFonts w:eastAsia="Calibri"/>
        </w:rPr>
        <w:t>.</w:t>
      </w:r>
    </w:p>
    <w:p w14:paraId="280BDBDF" w14:textId="77777777" w:rsidR="00AF376E" w:rsidRPr="00524DF2" w:rsidRDefault="00AF376E" w:rsidP="000468B1">
      <w:pPr>
        <w:pStyle w:val="enumlev1"/>
        <w:jc w:val="both"/>
      </w:pPr>
      <w:r w:rsidRPr="00524DF2">
        <w:rPr>
          <w:rFonts w:eastAsia="Calibri"/>
        </w:rPr>
        <w:t>–</w:t>
      </w:r>
      <w:r w:rsidRPr="00524DF2">
        <w:rPr>
          <w:rFonts w:eastAsia="Calibri"/>
          <w:b/>
          <w:bCs/>
        </w:rPr>
        <w:tab/>
        <w:t>Digital transformation:</w:t>
      </w:r>
      <w:r w:rsidRPr="00524DF2">
        <w:rPr>
          <w:rFonts w:eastAsia="Calibri"/>
        </w:rPr>
        <w:t xml:space="preserve"> </w:t>
      </w:r>
      <w:r w:rsidRPr="00524DF2">
        <w:t>The focus of this priority is to foster the development and use of telecommunications/ICTs, as well as applications and services, to close the digital divide and empower people and societies for sustainable development.</w:t>
      </w:r>
    </w:p>
    <w:p w14:paraId="69FEB1FB" w14:textId="77777777" w:rsidR="00AF376E" w:rsidRPr="00524DF2" w:rsidRDefault="00AF376E" w:rsidP="000468B1">
      <w:pPr>
        <w:pStyle w:val="enumlev1"/>
        <w:jc w:val="both"/>
        <w:rPr>
          <w:rFonts w:eastAsia="Calibri"/>
        </w:rPr>
      </w:pPr>
      <w:r w:rsidRPr="00524DF2">
        <w:tab/>
        <w:t xml:space="preserve">The priority will identify new approaches that engage Member States and other stakeholders in digital transformation, including start-ups, small and medium enterprises (SMEs), entrepreneurships, public-private partnerships (PPPs), and the public and private sectors, to support integration of ICT innovation and national development agendas while identifying needs and delivering initiatives at a national level to develop local telecommunication/ICT innovation and entrepreneurship ecosystems in developing countries. </w:t>
      </w:r>
    </w:p>
    <w:p w14:paraId="6AFEDE52" w14:textId="77777777" w:rsidR="00AF376E" w:rsidRDefault="00AF376E" w:rsidP="000468B1">
      <w:pPr>
        <w:pStyle w:val="enumlev1"/>
        <w:jc w:val="both"/>
      </w:pPr>
      <w:r w:rsidRPr="00524DF2">
        <w:rPr>
          <w:rFonts w:eastAsia="Calibri"/>
          <w:b/>
          <w:bCs/>
        </w:rPr>
        <w:tab/>
      </w:r>
      <w:r w:rsidRPr="00524DF2">
        <w:t>Recognising that telecommunications/ICTs come with risks, challenges and opportunities, ITU will continue to support the use of telecommunications/ICTs for monitoring, mitigating and adapting to climate change, facilitating digital solutions for energy efficiency and reduced carbon emissions and protecting human health and the environment from e-waste. The environmental lens addressing climate change and integrating environmental sustainability considerations is instrumental to promote sustainable digital transformation, also in line with the Strategy for Sustainability Management in the United Nations System 2020-2030.</w:t>
      </w:r>
    </w:p>
    <w:p w14:paraId="4EA3DE75" w14:textId="77777777" w:rsidR="00AF376E" w:rsidRPr="00524DF2" w:rsidRDefault="00AF376E" w:rsidP="000468B1">
      <w:pPr>
        <w:pStyle w:val="enumlev1"/>
        <w:jc w:val="both"/>
      </w:pPr>
      <w:r w:rsidRPr="00524DF2">
        <w:rPr>
          <w:rFonts w:eastAsia="Calibri"/>
        </w:rPr>
        <w:t>–</w:t>
      </w:r>
      <w:r w:rsidRPr="00524DF2">
        <w:rPr>
          <w:rFonts w:eastAsia="Calibri"/>
          <w:b/>
          <w:bCs/>
        </w:rPr>
        <w:tab/>
      </w:r>
      <w:r w:rsidRPr="00524DF2">
        <w:rPr>
          <w:b/>
          <w:bCs/>
        </w:rPr>
        <w:t>Enabling</w:t>
      </w:r>
      <w:r w:rsidRPr="00524DF2">
        <w:rPr>
          <w:rFonts w:eastAsia="Calibri"/>
          <w:b/>
          <w:bCs/>
        </w:rPr>
        <w:t xml:space="preserve"> policy and regulatory environments:</w:t>
      </w:r>
      <w:r w:rsidRPr="00524DF2">
        <w:rPr>
          <w:rFonts w:eastAsia="Calibri"/>
        </w:rPr>
        <w:t xml:space="preserve"> </w:t>
      </w:r>
      <w:r w:rsidRPr="00524DF2">
        <w:t>The focus of this priority is to foster an enabling policy and regulatory environment that responds to technological and market innovations and leverages wide collaboration and data-driven decision making in order to encourage sustainable and viable investment in infrastructure and innovative economic models, promoting sustainable digital growth and increased adoption of telecommunications/ICTs, including support for spectrum management in line with Resolution 9 (Rev. [Baku, 2025]) of the World Telecommunication Development Conference.</w:t>
      </w:r>
    </w:p>
    <w:p w14:paraId="7F9A1347" w14:textId="77777777" w:rsidR="00AF376E" w:rsidRPr="00524DF2" w:rsidRDefault="00AF376E" w:rsidP="000468B1">
      <w:pPr>
        <w:pStyle w:val="enumlev1"/>
        <w:jc w:val="both"/>
        <w:rPr>
          <w:rFonts w:eastAsia="Calibri"/>
        </w:rPr>
      </w:pPr>
      <w:r w:rsidRPr="00524DF2">
        <w:tab/>
        <w:t xml:space="preserve">The resilience of this environment relies on agile and capable administrations and regulators, empowered in their autonomy to take evidence-based decisions that enable a variety of business models and to defend consumers’ interests in the market and </w:t>
      </w:r>
      <w:r w:rsidRPr="00524DF2">
        <w:lastRenderedPageBreak/>
        <w:t>empower all consumers within it, taking into account their economic analysis of consumer choice in the telecommunication/ICT market. In addition, this work will support principles of transparency and accountability within policy and regulation that includes the perspectives of all stakeholders in their development and will explore models of collaborative regulation, where appropriate.</w:t>
      </w:r>
    </w:p>
    <w:p w14:paraId="54E296C2" w14:textId="77777777" w:rsidR="00AF376E" w:rsidRPr="00524DF2" w:rsidRDefault="00AF376E" w:rsidP="000468B1">
      <w:pPr>
        <w:pStyle w:val="enumlev1"/>
        <w:jc w:val="both"/>
        <w:rPr>
          <w:rFonts w:eastAsia="Calibri" w:cs="Calibri"/>
        </w:rPr>
      </w:pPr>
      <w:r w:rsidRPr="00524DF2">
        <w:rPr>
          <w:rFonts w:eastAsia="Calibri"/>
        </w:rPr>
        <w:t>–</w:t>
      </w:r>
      <w:r w:rsidRPr="00524DF2">
        <w:rPr>
          <w:rFonts w:eastAsia="Calibri"/>
          <w:b/>
          <w:bCs/>
        </w:rPr>
        <w:tab/>
      </w:r>
      <w:r w:rsidRPr="00524DF2">
        <w:rPr>
          <w:rFonts w:eastAsia="Calibri" w:cs="Calibri"/>
          <w:b/>
          <w:bCs/>
        </w:rPr>
        <w:t>Resource mobilization and international cooperation:</w:t>
      </w:r>
      <w:r w:rsidRPr="00524DF2">
        <w:rPr>
          <w:rFonts w:eastAsia="Calibri" w:cs="Calibri"/>
        </w:rPr>
        <w:t xml:space="preserve"> </w:t>
      </w:r>
      <w:r w:rsidRPr="00524DF2">
        <w:t>The focus of this priority is on mobilizing and attracting resources for developing countries in responding to their respective needs with localized solutions and fostering international cooperation on telecommunication/ICT development issues. In this process, the varying and specific needs of developing countries, as well as underserved areas, should be prioritized and given due attention.</w:t>
      </w:r>
    </w:p>
    <w:p w14:paraId="13BE7602" w14:textId="77777777" w:rsidR="00AF376E" w:rsidRDefault="00AF376E" w:rsidP="000468B1">
      <w:pPr>
        <w:pStyle w:val="enumlev1"/>
        <w:jc w:val="both"/>
      </w:pPr>
      <w:r w:rsidRPr="00524DF2">
        <w:tab/>
        <w:t xml:space="preserve">Additionally, funding requirements do not always account for the specific economic realities and development priorities of these countries, limiting their ability to participate in/undertake critical digital development projects. Additionally, challenges such as limited access to technical expertise, insufficient local data for project assessments, and heavy reliance on external parties further complicate efforts to qualify for funding. </w:t>
      </w:r>
    </w:p>
    <w:p w14:paraId="0CC1E2ED" w14:textId="77777777" w:rsidR="00AF376E" w:rsidRPr="00694A61" w:rsidRDefault="00AF376E" w:rsidP="000468B1">
      <w:pPr>
        <w:pStyle w:val="enumlev1"/>
        <w:jc w:val="both"/>
      </w:pPr>
      <w:r w:rsidRPr="00524DF2">
        <w:tab/>
        <w:t>To address these gaps so that there is broad access and so developing countries have equal opportunities to participate in/benefit from resource mobilization efforts, it is crucial to explore innovative partnerships, adopt practical and adaptable requirements, and ensure transparency regarding the factors considered by different funding mechanisms. Targeted capacity-building initiatives should also be pursued to strengthen the ability of these countries to identify, understand and meet funding requirements, effectively manage allocated resources, navigate funding processes, and independently maintain and scale initiatives after initial implementation. ITU also recognizes the importance of cultivating strategic partnerships with United Nations agencies and other organizations, including standardization bodies, to enhance cooperation for addressing challenges across the telecommunication/ICT sector towards the delivery of the WSIS action lines and achievement of the 2030 Sustainable Development Goals. These partnerships enable the sustainability of the ITU’s work and expand its potential impact by focusing on its mandate as the UN’s specialized agency for telecommunications/ICTs while respecting the work and competencies of other agencies. In addition, such partnerships assist in mobilizing resources and fostering cooperation for capacity building on space-based telecommunications/ICTs, underpinning sustainable space-based ICT services.</w:t>
      </w:r>
    </w:p>
    <w:p w14:paraId="257674B4" w14:textId="052B5A6B" w:rsidR="00A514A4" w:rsidRDefault="00AF376E" w:rsidP="000468B1">
      <w:pPr>
        <w:pStyle w:val="enumlev1"/>
        <w:jc w:val="both"/>
      </w:pPr>
      <w:r w:rsidRPr="00524DF2">
        <w:rPr>
          <w:rFonts w:eastAsia="Calibri"/>
        </w:rPr>
        <w:t>–</w:t>
      </w:r>
      <w:r w:rsidRPr="00524DF2">
        <w:rPr>
          <w:rFonts w:eastAsia="Calibri"/>
          <w:b/>
          <w:bCs/>
        </w:rPr>
        <w:tab/>
      </w:r>
      <w:r w:rsidRPr="00524DF2">
        <w:rPr>
          <w:rFonts w:eastAsia="Calibri" w:cs="Calibri"/>
          <w:b/>
          <w:bCs/>
        </w:rPr>
        <w:t>Inclusive, secure telecommunications/ICTs for sustainable development:</w:t>
      </w:r>
      <w:r w:rsidRPr="00524DF2">
        <w:rPr>
          <w:rFonts w:eastAsia="Calibri" w:cs="Calibri"/>
        </w:rPr>
        <w:t xml:space="preserve"> </w:t>
      </w:r>
      <w:r w:rsidRPr="00524DF2">
        <w:t>The focus of this priority is on providing support for Member States to achieve secure telecommunications/ICTs for digital development, ensuring safe and meaningful telecommunications/ICTs access for all. Specifically, the priority tackles and addresses challenges related to building confidence and security in the use of ICTs, while fostering inclusion on its use, specifically in relation to women, youth, persons with disabilities and persons with specific needs, as well as providing tailored support to least developed countries (</w:t>
      </w:r>
      <w:proofErr w:type="spellStart"/>
      <w:r w:rsidRPr="00524DF2">
        <w:t>LDCs</w:t>
      </w:r>
      <w:proofErr w:type="spellEnd"/>
      <w:r w:rsidRPr="00524DF2">
        <w:t>), landlocked developing countries (</w:t>
      </w:r>
      <w:proofErr w:type="spellStart"/>
      <w:r w:rsidRPr="00524DF2">
        <w:t>LLDCs</w:t>
      </w:r>
      <w:proofErr w:type="spellEnd"/>
      <w:r w:rsidRPr="00524DF2">
        <w:t>), and small island developing states (SIDS).</w:t>
      </w:r>
    </w:p>
    <w:p w14:paraId="63C6E96B" w14:textId="77777777" w:rsidR="00AF376E" w:rsidRDefault="00AF376E" w:rsidP="00AF376E">
      <w:pPr>
        <w:tabs>
          <w:tab w:val="clear" w:pos="567"/>
          <w:tab w:val="clear" w:pos="1134"/>
          <w:tab w:val="clear" w:pos="1701"/>
          <w:tab w:val="clear" w:pos="2268"/>
          <w:tab w:val="clear" w:pos="2835"/>
        </w:tabs>
        <w:overflowPunct/>
        <w:autoSpaceDE/>
        <w:autoSpaceDN/>
        <w:adjustRightInd/>
        <w:spacing w:before="0"/>
        <w:textAlignment w:val="auto"/>
        <w:rPr>
          <w:i/>
          <w:iCs/>
        </w:rPr>
        <w:sectPr w:rsidR="00AF376E" w:rsidSect="00AD3606">
          <w:headerReference w:type="even" r:id="rId14"/>
          <w:headerReference w:type="default" r:id="rId15"/>
          <w:footerReference w:type="even" r:id="rId16"/>
          <w:footerReference w:type="default" r:id="rId17"/>
          <w:headerReference w:type="first" r:id="rId18"/>
          <w:footerReference w:type="first" r:id="rId19"/>
          <w:pgSz w:w="11907" w:h="16834"/>
          <w:pgMar w:top="1418" w:right="1418" w:bottom="1418" w:left="1418" w:header="720" w:footer="720" w:gutter="0"/>
          <w:paperSrc w:first="286" w:other="286"/>
          <w:cols w:space="720"/>
          <w:titlePg/>
        </w:sectPr>
      </w:pPr>
    </w:p>
    <w:tbl>
      <w:tblPr>
        <w:tblStyle w:val="GridTable4-Accent12"/>
        <w:tblW w:w="5521" w:type="pct"/>
        <w:jc w:val="center"/>
        <w:tblLook w:val="06A0" w:firstRow="1" w:lastRow="0" w:firstColumn="1" w:lastColumn="0" w:noHBand="1" w:noVBand="1"/>
      </w:tblPr>
      <w:tblGrid>
        <w:gridCol w:w="796"/>
        <w:gridCol w:w="2928"/>
        <w:gridCol w:w="2929"/>
        <w:gridCol w:w="2929"/>
        <w:gridCol w:w="2929"/>
        <w:gridCol w:w="2935"/>
      </w:tblGrid>
      <w:tr w:rsidR="00C26978" w:rsidRPr="00C1771F" w14:paraId="5538E34A" w14:textId="77777777" w:rsidTr="00C26978">
        <w:trPr>
          <w:cnfStyle w:val="100000000000" w:firstRow="1" w:lastRow="0" w:firstColumn="0" w:lastColumn="0" w:oddVBand="0" w:evenVBand="0" w:oddHBand="0" w:evenHBand="0" w:firstRowFirstColumn="0" w:firstRowLastColumn="0" w:lastRowFirstColumn="0" w:lastRowLastColumn="0"/>
          <w:cantSplit/>
          <w:trHeight w:val="971"/>
          <w:tblHeader/>
          <w:jc w:val="center"/>
        </w:trPr>
        <w:tc>
          <w:tcPr>
            <w:cnfStyle w:val="001000000000" w:firstRow="0" w:lastRow="0" w:firstColumn="1" w:lastColumn="0" w:oddVBand="0" w:evenVBand="0" w:oddHBand="0" w:evenHBand="0" w:firstRowFirstColumn="0" w:firstRowLastColumn="0" w:lastRowFirstColumn="0" w:lastRowLastColumn="0"/>
            <w:tcW w:w="258" w:type="pct"/>
            <w:textDirection w:val="btLr"/>
          </w:tcPr>
          <w:p w14:paraId="396F107E" w14:textId="77777777" w:rsidR="00C26978" w:rsidRPr="00C1771F" w:rsidRDefault="00C26978" w:rsidP="00A421D8">
            <w:pPr>
              <w:pStyle w:val="Tablehead"/>
              <w:rPr>
                <w:b/>
                <w:bCs w:val="0"/>
                <w:color w:val="4F81BD" w:themeColor="accent1"/>
                <w:sz w:val="20"/>
                <w:szCs w:val="20"/>
              </w:rPr>
            </w:pPr>
            <w:r w:rsidRPr="00C1771F">
              <w:rPr>
                <w:b/>
                <w:bCs w:val="0"/>
                <w:sz w:val="20"/>
                <w:szCs w:val="20"/>
              </w:rPr>
              <w:lastRenderedPageBreak/>
              <w:t>Priorities</w:t>
            </w:r>
          </w:p>
        </w:tc>
        <w:tc>
          <w:tcPr>
            <w:tcW w:w="948" w:type="pct"/>
          </w:tcPr>
          <w:p w14:paraId="330EF098" w14:textId="101E3A4F" w:rsidR="00C26978" w:rsidRPr="00C1771F" w:rsidRDefault="00C26978" w:rsidP="00A421D8">
            <w:pPr>
              <w:pStyle w:val="Tablehead"/>
              <w:cnfStyle w:val="100000000000" w:firstRow="1" w:lastRow="0" w:firstColumn="0" w:lastColumn="0" w:oddVBand="0" w:evenVBand="0" w:oddHBand="0" w:evenHBand="0" w:firstRowFirstColumn="0" w:firstRowLastColumn="0" w:lastRowFirstColumn="0" w:lastRowLastColumn="0"/>
              <w:rPr>
                <w:b/>
                <w:bCs w:val="0"/>
                <w:sz w:val="20"/>
                <w:szCs w:val="20"/>
              </w:rPr>
            </w:pPr>
            <w:r w:rsidRPr="00C1771F">
              <w:rPr>
                <w:b/>
                <w:bCs w:val="0"/>
                <w:sz w:val="20"/>
                <w:szCs w:val="20"/>
              </w:rPr>
              <w:t>Affordable connectivity</w:t>
            </w:r>
          </w:p>
        </w:tc>
        <w:tc>
          <w:tcPr>
            <w:tcW w:w="948" w:type="pct"/>
          </w:tcPr>
          <w:p w14:paraId="5F30D434" w14:textId="77777777" w:rsidR="00C26978" w:rsidRPr="00C1771F" w:rsidRDefault="00C26978" w:rsidP="00A421D8">
            <w:pPr>
              <w:pStyle w:val="Tablehead"/>
              <w:cnfStyle w:val="100000000000" w:firstRow="1" w:lastRow="0" w:firstColumn="0" w:lastColumn="0" w:oddVBand="0" w:evenVBand="0" w:oddHBand="0" w:evenHBand="0" w:firstRowFirstColumn="0" w:firstRowLastColumn="0" w:lastRowFirstColumn="0" w:lastRowLastColumn="0"/>
              <w:rPr>
                <w:b/>
                <w:bCs w:val="0"/>
                <w:sz w:val="20"/>
                <w:szCs w:val="20"/>
              </w:rPr>
            </w:pPr>
            <w:r w:rsidRPr="00C1771F">
              <w:rPr>
                <w:b/>
                <w:bCs w:val="0"/>
                <w:sz w:val="20"/>
                <w:szCs w:val="20"/>
              </w:rPr>
              <w:t>Digital transformation</w:t>
            </w:r>
          </w:p>
        </w:tc>
        <w:tc>
          <w:tcPr>
            <w:tcW w:w="948" w:type="pct"/>
          </w:tcPr>
          <w:p w14:paraId="7A3F240E" w14:textId="74D7B4D2" w:rsidR="00C26978" w:rsidRPr="00C1771F" w:rsidRDefault="00C26978" w:rsidP="00A421D8">
            <w:pPr>
              <w:pStyle w:val="Tablehead"/>
              <w:cnfStyle w:val="100000000000" w:firstRow="1" w:lastRow="0" w:firstColumn="0" w:lastColumn="0" w:oddVBand="0" w:evenVBand="0" w:oddHBand="0" w:evenHBand="0" w:firstRowFirstColumn="0" w:firstRowLastColumn="0" w:lastRowFirstColumn="0" w:lastRowLastColumn="0"/>
              <w:rPr>
                <w:b/>
                <w:bCs w:val="0"/>
                <w:sz w:val="20"/>
                <w:szCs w:val="20"/>
              </w:rPr>
            </w:pPr>
            <w:r w:rsidRPr="00C1771F">
              <w:rPr>
                <w:b/>
                <w:bCs w:val="0"/>
                <w:sz w:val="20"/>
                <w:szCs w:val="20"/>
              </w:rPr>
              <w:t>Enabling policy and regulatory environment</w:t>
            </w:r>
          </w:p>
        </w:tc>
        <w:tc>
          <w:tcPr>
            <w:tcW w:w="948" w:type="pct"/>
          </w:tcPr>
          <w:p w14:paraId="23123A64" w14:textId="627C9CA5" w:rsidR="00C26978" w:rsidRPr="00C1771F" w:rsidRDefault="00C26978" w:rsidP="00A421D8">
            <w:pPr>
              <w:pStyle w:val="Tablehead"/>
              <w:cnfStyle w:val="100000000000" w:firstRow="1" w:lastRow="0" w:firstColumn="0" w:lastColumn="0" w:oddVBand="0" w:evenVBand="0" w:oddHBand="0" w:evenHBand="0" w:firstRowFirstColumn="0" w:firstRowLastColumn="0" w:lastRowFirstColumn="0" w:lastRowLastColumn="0"/>
              <w:rPr>
                <w:b/>
                <w:bCs w:val="0"/>
                <w:sz w:val="20"/>
                <w:szCs w:val="20"/>
              </w:rPr>
            </w:pPr>
            <w:r w:rsidRPr="00C1771F">
              <w:rPr>
                <w:b/>
                <w:bCs w:val="0"/>
                <w:sz w:val="20"/>
                <w:szCs w:val="20"/>
              </w:rPr>
              <w:t>Resource mobilization and international cooperation</w:t>
            </w:r>
          </w:p>
        </w:tc>
        <w:tc>
          <w:tcPr>
            <w:tcW w:w="950" w:type="pct"/>
          </w:tcPr>
          <w:p w14:paraId="0D56C7BA" w14:textId="77777777" w:rsidR="00C26978" w:rsidRPr="00C1771F" w:rsidRDefault="00C26978" w:rsidP="00A421D8">
            <w:pPr>
              <w:pStyle w:val="Tablehead"/>
              <w:cnfStyle w:val="100000000000" w:firstRow="1" w:lastRow="0" w:firstColumn="0" w:lastColumn="0" w:oddVBand="0" w:evenVBand="0" w:oddHBand="0" w:evenHBand="0" w:firstRowFirstColumn="0" w:firstRowLastColumn="0" w:lastRowFirstColumn="0" w:lastRowLastColumn="0"/>
              <w:rPr>
                <w:b/>
                <w:bCs w:val="0"/>
                <w:sz w:val="20"/>
                <w:szCs w:val="20"/>
              </w:rPr>
            </w:pPr>
            <w:r w:rsidRPr="00C1771F">
              <w:rPr>
                <w:b/>
                <w:bCs w:val="0"/>
                <w:sz w:val="20"/>
                <w:szCs w:val="20"/>
              </w:rPr>
              <w:t>Inclusive, safe and secure telecommunications/ICTs for sustainable development</w:t>
            </w:r>
          </w:p>
        </w:tc>
      </w:tr>
      <w:tr w:rsidR="00C26978" w:rsidRPr="00A421D8" w14:paraId="4611A75F" w14:textId="77777777" w:rsidTr="00C26978">
        <w:trPr>
          <w:cantSplit/>
          <w:trHeight w:val="4063"/>
          <w:jc w:val="center"/>
        </w:trPr>
        <w:tc>
          <w:tcPr>
            <w:cnfStyle w:val="001000000000" w:firstRow="0" w:lastRow="0" w:firstColumn="1" w:lastColumn="0" w:oddVBand="0" w:evenVBand="0" w:oddHBand="0" w:evenHBand="0" w:firstRowFirstColumn="0" w:firstRowLastColumn="0" w:lastRowFirstColumn="0" w:lastRowLastColumn="0"/>
            <w:tcW w:w="258" w:type="pct"/>
            <w:textDirection w:val="btLr"/>
            <w:vAlign w:val="center"/>
          </w:tcPr>
          <w:p w14:paraId="02747AFC" w14:textId="77777777" w:rsidR="00C26978" w:rsidRPr="00A421D8" w:rsidRDefault="00C26978" w:rsidP="00C1771F">
            <w:pPr>
              <w:pStyle w:val="Tabletext"/>
              <w:jc w:val="center"/>
              <w:rPr>
                <w:color w:val="4F81BD" w:themeColor="accent1"/>
                <w:sz w:val="20"/>
                <w:szCs w:val="20"/>
              </w:rPr>
            </w:pPr>
            <w:r w:rsidRPr="00A421D8">
              <w:rPr>
                <w:color w:val="4F81BD" w:themeColor="accent1"/>
                <w:sz w:val="20"/>
                <w:szCs w:val="20"/>
              </w:rPr>
              <w:t>Outcomes</w:t>
            </w:r>
          </w:p>
        </w:tc>
        <w:tc>
          <w:tcPr>
            <w:tcW w:w="948" w:type="pct"/>
          </w:tcPr>
          <w:p w14:paraId="499EB4A4" w14:textId="7A9694C5" w:rsidR="00C26978" w:rsidRPr="00A421D8" w:rsidRDefault="007B41DC" w:rsidP="00C1771F">
            <w:pPr>
              <w:pStyle w:val="Tabletext"/>
              <w:ind w:left="284" w:hanging="284"/>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A421D8">
              <w:rPr>
                <w:rFonts w:ascii="Symbol" w:hAnsi="Symbol" w:cstheme="minorHAnsi"/>
                <w:sz w:val="20"/>
                <w:szCs w:val="20"/>
              </w:rPr>
              <w:t></w:t>
            </w:r>
            <w:r w:rsidRPr="00A421D8">
              <w:rPr>
                <w:rFonts w:ascii="Symbol" w:hAnsi="Symbol" w:cstheme="minorHAnsi"/>
                <w:sz w:val="20"/>
                <w:szCs w:val="20"/>
              </w:rPr>
              <w:tab/>
            </w:r>
            <w:r w:rsidR="00C26978" w:rsidRPr="00A421D8">
              <w:rPr>
                <w:rFonts w:cstheme="minorHAnsi"/>
                <w:sz w:val="20"/>
                <w:szCs w:val="20"/>
              </w:rPr>
              <w:t xml:space="preserve">Improved broadband connectivity in developing countries, including </w:t>
            </w:r>
            <w:proofErr w:type="spellStart"/>
            <w:r w:rsidR="00C26978" w:rsidRPr="00A421D8">
              <w:rPr>
                <w:rFonts w:cstheme="minorHAnsi"/>
                <w:sz w:val="20"/>
                <w:szCs w:val="20"/>
              </w:rPr>
              <w:t>LDCs</w:t>
            </w:r>
            <w:proofErr w:type="spellEnd"/>
            <w:r w:rsidR="00C26978" w:rsidRPr="00A421D8">
              <w:rPr>
                <w:rFonts w:cstheme="minorHAnsi"/>
                <w:sz w:val="20"/>
                <w:szCs w:val="20"/>
              </w:rPr>
              <w:t xml:space="preserve">, SIDS, </w:t>
            </w:r>
            <w:proofErr w:type="spellStart"/>
            <w:r w:rsidR="00C26978" w:rsidRPr="00A421D8">
              <w:rPr>
                <w:rFonts w:cstheme="minorHAnsi"/>
                <w:sz w:val="20"/>
                <w:szCs w:val="20"/>
              </w:rPr>
              <w:t>LLDCs</w:t>
            </w:r>
            <w:proofErr w:type="spellEnd"/>
            <w:r w:rsidR="00C26978" w:rsidRPr="00A421D8">
              <w:rPr>
                <w:rFonts w:cstheme="minorHAnsi"/>
                <w:sz w:val="20"/>
                <w:szCs w:val="20"/>
              </w:rPr>
              <w:t xml:space="preserve"> and countries with economies in transition, and countries with specific needs</w:t>
            </w:r>
            <w:r w:rsidR="00C26978" w:rsidRPr="00A421D8" w:rsidDel="007A6810">
              <w:rPr>
                <w:rFonts w:cstheme="minorHAnsi"/>
                <w:sz w:val="20"/>
                <w:szCs w:val="20"/>
              </w:rPr>
              <w:t xml:space="preserve"> </w:t>
            </w:r>
          </w:p>
          <w:p w14:paraId="6884E007" w14:textId="795E683C" w:rsidR="00C26978" w:rsidRPr="00A421D8" w:rsidRDefault="007B41DC" w:rsidP="00C1771F">
            <w:pPr>
              <w:pStyle w:val="Tabletext"/>
              <w:ind w:left="284" w:hanging="284"/>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A421D8">
              <w:rPr>
                <w:rFonts w:ascii="Symbol" w:hAnsi="Symbol" w:cstheme="minorHAnsi"/>
                <w:sz w:val="20"/>
                <w:szCs w:val="20"/>
              </w:rPr>
              <w:t></w:t>
            </w:r>
            <w:r w:rsidRPr="00A421D8">
              <w:rPr>
                <w:rFonts w:ascii="Symbol" w:hAnsi="Symbol" w:cstheme="minorHAnsi"/>
                <w:sz w:val="20"/>
                <w:szCs w:val="20"/>
              </w:rPr>
              <w:tab/>
            </w:r>
            <w:r w:rsidR="00C26978" w:rsidRPr="00A421D8">
              <w:rPr>
                <w:rFonts w:cstheme="minorHAnsi"/>
                <w:sz w:val="20"/>
                <w:szCs w:val="20"/>
              </w:rPr>
              <w:t>Improved telecommunication/ICT infrastructure and service, in particular broadband coverage, quality of service and affordability of services and devices, and with regard to rural and underserved areas</w:t>
            </w:r>
          </w:p>
          <w:p w14:paraId="4C936554" w14:textId="3EA7E460" w:rsidR="00C26978" w:rsidRPr="00A421D8" w:rsidRDefault="007B41DC" w:rsidP="00C1771F">
            <w:pPr>
              <w:pStyle w:val="Tabletext"/>
              <w:ind w:left="284" w:hanging="284"/>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A421D8">
              <w:rPr>
                <w:rFonts w:ascii="Symbol" w:hAnsi="Symbol" w:cstheme="minorHAnsi"/>
                <w:sz w:val="20"/>
                <w:szCs w:val="20"/>
              </w:rPr>
              <w:t></w:t>
            </w:r>
            <w:r w:rsidRPr="00A421D8">
              <w:rPr>
                <w:rFonts w:ascii="Symbol" w:hAnsi="Symbol" w:cstheme="minorHAnsi"/>
                <w:sz w:val="20"/>
                <w:szCs w:val="20"/>
              </w:rPr>
              <w:tab/>
            </w:r>
            <w:r w:rsidR="00C26978" w:rsidRPr="00A421D8">
              <w:rPr>
                <w:rFonts w:cstheme="minorHAnsi"/>
                <w:sz w:val="20"/>
                <w:szCs w:val="20"/>
              </w:rPr>
              <w:t>Strengthened capacity of Member States to use telecommunications/ICTs for disaster risk reduction and management, to ensure availability of emergency telecommunications</w:t>
            </w:r>
          </w:p>
        </w:tc>
        <w:tc>
          <w:tcPr>
            <w:tcW w:w="948" w:type="pct"/>
          </w:tcPr>
          <w:p w14:paraId="4DA319DC" w14:textId="017B7D53" w:rsidR="00C26978" w:rsidRPr="00A421D8" w:rsidRDefault="007B41DC" w:rsidP="00C1771F">
            <w:pPr>
              <w:pStyle w:val="Tabletext"/>
              <w:ind w:left="284" w:hanging="284"/>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A421D8">
              <w:rPr>
                <w:rFonts w:ascii="Symbol" w:hAnsi="Symbol" w:cstheme="minorHAnsi"/>
                <w:sz w:val="20"/>
                <w:szCs w:val="20"/>
              </w:rPr>
              <w:t></w:t>
            </w:r>
            <w:r w:rsidRPr="00A421D8">
              <w:rPr>
                <w:rFonts w:ascii="Symbol" w:hAnsi="Symbol" w:cstheme="minorHAnsi"/>
                <w:sz w:val="20"/>
                <w:szCs w:val="20"/>
              </w:rPr>
              <w:tab/>
            </w:r>
            <w:r w:rsidR="00C26978" w:rsidRPr="00A421D8">
              <w:rPr>
                <w:rFonts w:cstheme="minorHAnsi"/>
                <w:sz w:val="20"/>
                <w:szCs w:val="20"/>
              </w:rPr>
              <w:t>Enhanced capacity to accelerate digital transformation and sustainable development through the use of new and emerging telecommunications/ICTs and services</w:t>
            </w:r>
          </w:p>
          <w:p w14:paraId="0523FEAB" w14:textId="7628B5BF" w:rsidR="00C26978" w:rsidRPr="00A421D8" w:rsidRDefault="007B41DC" w:rsidP="00C1771F">
            <w:pPr>
              <w:pStyle w:val="Tabletext"/>
              <w:ind w:left="284" w:hanging="284"/>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A421D8">
              <w:rPr>
                <w:rFonts w:ascii="Symbol" w:hAnsi="Symbol" w:cstheme="minorHAnsi"/>
                <w:sz w:val="20"/>
                <w:szCs w:val="20"/>
              </w:rPr>
              <w:t></w:t>
            </w:r>
            <w:r w:rsidRPr="00A421D8">
              <w:rPr>
                <w:rFonts w:ascii="Symbol" w:hAnsi="Symbol" w:cstheme="minorHAnsi"/>
                <w:sz w:val="20"/>
                <w:szCs w:val="20"/>
              </w:rPr>
              <w:tab/>
            </w:r>
            <w:r w:rsidR="00C26978" w:rsidRPr="00A421D8">
              <w:rPr>
                <w:rFonts w:cstheme="minorHAnsi"/>
                <w:sz w:val="20"/>
                <w:szCs w:val="20"/>
              </w:rPr>
              <w:t xml:space="preserve">Enhanced human and institutional capacity of the ITU membership in telecommunications/ICTs to foster digital transformation </w:t>
            </w:r>
          </w:p>
          <w:p w14:paraId="50ED8F42" w14:textId="4885EA13" w:rsidR="00C26978" w:rsidRPr="00A421D8" w:rsidRDefault="007B41DC" w:rsidP="00C1771F">
            <w:pPr>
              <w:pStyle w:val="Tabletext"/>
              <w:ind w:left="284" w:hanging="284"/>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A421D8">
              <w:rPr>
                <w:rFonts w:ascii="Symbol" w:hAnsi="Symbol" w:cstheme="minorHAnsi"/>
                <w:sz w:val="20"/>
                <w:szCs w:val="20"/>
              </w:rPr>
              <w:t></w:t>
            </w:r>
            <w:r w:rsidRPr="00A421D8">
              <w:rPr>
                <w:rFonts w:ascii="Symbol" w:hAnsi="Symbol" w:cstheme="minorHAnsi"/>
                <w:sz w:val="20"/>
                <w:szCs w:val="20"/>
              </w:rPr>
              <w:tab/>
            </w:r>
            <w:r w:rsidR="00C26978" w:rsidRPr="00A421D8">
              <w:rPr>
                <w:rFonts w:cstheme="minorHAnsi"/>
                <w:sz w:val="20"/>
                <w:szCs w:val="20"/>
              </w:rPr>
              <w:t>Enhanced national capacity to develop and adopt local telecommunications/ICTs</w:t>
            </w:r>
          </w:p>
          <w:p w14:paraId="449DA61A" w14:textId="183523B2" w:rsidR="00C26978" w:rsidRPr="00A421D8" w:rsidRDefault="007B41DC" w:rsidP="00C1771F">
            <w:pPr>
              <w:pStyle w:val="Tabletext"/>
              <w:ind w:left="284" w:hanging="284"/>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A421D8">
              <w:rPr>
                <w:rFonts w:ascii="Symbol" w:hAnsi="Symbol" w:cstheme="minorHAnsi"/>
                <w:sz w:val="20"/>
                <w:szCs w:val="20"/>
              </w:rPr>
              <w:t></w:t>
            </w:r>
            <w:r w:rsidRPr="00A421D8">
              <w:rPr>
                <w:rFonts w:ascii="Symbol" w:hAnsi="Symbol" w:cstheme="minorHAnsi"/>
                <w:sz w:val="20"/>
                <w:szCs w:val="20"/>
              </w:rPr>
              <w:tab/>
            </w:r>
            <w:r w:rsidR="00C26978" w:rsidRPr="00A421D8">
              <w:rPr>
                <w:rFonts w:cstheme="minorHAnsi"/>
                <w:sz w:val="20"/>
                <w:szCs w:val="20"/>
              </w:rPr>
              <w:t xml:space="preserve">Strengthened capacity to develop and integrate telecommunication/ICT innovation and digitalization in national development agendas </w:t>
            </w:r>
          </w:p>
          <w:p w14:paraId="6EFA0617" w14:textId="745B37C6" w:rsidR="00C26978" w:rsidRPr="00A421D8" w:rsidRDefault="007B41DC" w:rsidP="00C1771F">
            <w:pPr>
              <w:pStyle w:val="Tabletext"/>
              <w:ind w:left="284" w:hanging="284"/>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A421D8">
              <w:rPr>
                <w:rFonts w:ascii="Symbol" w:hAnsi="Symbol" w:cstheme="minorHAnsi"/>
                <w:sz w:val="20"/>
                <w:szCs w:val="20"/>
              </w:rPr>
              <w:t></w:t>
            </w:r>
            <w:r w:rsidRPr="00A421D8">
              <w:rPr>
                <w:rFonts w:ascii="Symbol" w:hAnsi="Symbol" w:cstheme="minorHAnsi"/>
                <w:sz w:val="20"/>
                <w:szCs w:val="20"/>
              </w:rPr>
              <w:tab/>
            </w:r>
            <w:r w:rsidR="00C26978" w:rsidRPr="00A421D8">
              <w:rPr>
                <w:rFonts w:cstheme="minorHAnsi"/>
                <w:sz w:val="20"/>
                <w:szCs w:val="20"/>
              </w:rPr>
              <w:t xml:space="preserve">Enhanced capacity to develop telecommunication/ICT strategies and solutions on environmental sustainability </w:t>
            </w:r>
          </w:p>
          <w:p w14:paraId="10072AD7" w14:textId="5D8DB411" w:rsidR="00C26978" w:rsidRPr="00C1771F" w:rsidRDefault="007B41DC" w:rsidP="00C1771F">
            <w:pPr>
              <w:pStyle w:val="Tabletext"/>
              <w:ind w:left="284" w:hanging="284"/>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A421D8">
              <w:rPr>
                <w:rFonts w:ascii="Symbol" w:hAnsi="Symbol" w:cstheme="minorHAnsi"/>
                <w:sz w:val="20"/>
                <w:szCs w:val="20"/>
              </w:rPr>
              <w:t></w:t>
            </w:r>
            <w:r w:rsidRPr="00A421D8">
              <w:rPr>
                <w:rFonts w:ascii="Symbol" w:hAnsi="Symbol" w:cstheme="minorHAnsi"/>
                <w:sz w:val="20"/>
                <w:szCs w:val="20"/>
              </w:rPr>
              <w:tab/>
            </w:r>
            <w:r w:rsidR="00C26978" w:rsidRPr="00A421D8">
              <w:rPr>
                <w:rFonts w:cstheme="minorHAnsi"/>
                <w:sz w:val="20"/>
                <w:szCs w:val="20"/>
              </w:rPr>
              <w:t>Improved digital skills and capabilities for digital transformation</w:t>
            </w:r>
          </w:p>
        </w:tc>
        <w:tc>
          <w:tcPr>
            <w:tcW w:w="948" w:type="pct"/>
          </w:tcPr>
          <w:p w14:paraId="7E03324C" w14:textId="0C73F87E" w:rsidR="00C26978" w:rsidRPr="00A421D8" w:rsidRDefault="007B41DC" w:rsidP="00C1771F">
            <w:pPr>
              <w:pStyle w:val="Tabletext"/>
              <w:ind w:left="284" w:hanging="284"/>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A421D8">
              <w:rPr>
                <w:rFonts w:ascii="Symbol" w:hAnsi="Symbol" w:cstheme="minorHAnsi"/>
                <w:sz w:val="20"/>
                <w:szCs w:val="20"/>
              </w:rPr>
              <w:t></w:t>
            </w:r>
            <w:r w:rsidRPr="00A421D8">
              <w:rPr>
                <w:rFonts w:ascii="Symbol" w:hAnsi="Symbol" w:cstheme="minorHAnsi"/>
                <w:sz w:val="20"/>
                <w:szCs w:val="20"/>
              </w:rPr>
              <w:tab/>
            </w:r>
            <w:r w:rsidR="00C26978" w:rsidRPr="00A421D8">
              <w:rPr>
                <w:rFonts w:cstheme="minorHAnsi"/>
                <w:sz w:val="20"/>
                <w:szCs w:val="20"/>
              </w:rPr>
              <w:t>Strengthened capacity of Member States to enhance their telecommunication/ICT policy, legal and regulatory frameworks conducive to sustainable development and digital transformation</w:t>
            </w:r>
          </w:p>
          <w:p w14:paraId="5BAD96A7" w14:textId="1A3A7DBE" w:rsidR="00C26978" w:rsidRPr="00A421D8" w:rsidRDefault="007B41DC" w:rsidP="00C1771F">
            <w:pPr>
              <w:pStyle w:val="Tabletext"/>
              <w:ind w:left="284" w:hanging="284"/>
              <w:cnfStyle w:val="000000000000" w:firstRow="0" w:lastRow="0" w:firstColumn="0" w:lastColumn="0" w:oddVBand="0" w:evenVBand="0" w:oddHBand="0" w:evenHBand="0" w:firstRowFirstColumn="0" w:firstRowLastColumn="0" w:lastRowFirstColumn="0" w:lastRowLastColumn="0"/>
              <w:rPr>
                <w:sz w:val="20"/>
                <w:szCs w:val="20"/>
              </w:rPr>
            </w:pPr>
            <w:r w:rsidRPr="00A421D8">
              <w:rPr>
                <w:rFonts w:ascii="Symbol" w:hAnsi="Symbol"/>
                <w:sz w:val="20"/>
                <w:szCs w:val="20"/>
              </w:rPr>
              <w:t></w:t>
            </w:r>
            <w:r w:rsidRPr="00A421D8">
              <w:rPr>
                <w:rFonts w:ascii="Symbol" w:hAnsi="Symbol"/>
                <w:sz w:val="20"/>
                <w:szCs w:val="20"/>
              </w:rPr>
              <w:tab/>
            </w:r>
            <w:r w:rsidR="00C26978" w:rsidRPr="00A421D8">
              <w:rPr>
                <w:rFonts w:cstheme="minorHAnsi"/>
                <w:sz w:val="20"/>
                <w:szCs w:val="20"/>
              </w:rPr>
              <w:t>Strengthened capacity of Member States to produce and collect high quality, internationally comparable statistics which reflect developments and trends in telecommunications/ICTs, empowered by new and emerging technologies and services, based on agreed standards and methodologies</w:t>
            </w:r>
          </w:p>
          <w:p w14:paraId="2D79670D" w14:textId="4B4983A3" w:rsidR="00C26978" w:rsidRPr="00A421D8" w:rsidRDefault="007B41DC" w:rsidP="00C1771F">
            <w:pPr>
              <w:pStyle w:val="Tabletext"/>
              <w:ind w:left="284" w:hanging="284"/>
              <w:cnfStyle w:val="000000000000" w:firstRow="0" w:lastRow="0" w:firstColumn="0" w:lastColumn="0" w:oddVBand="0" w:evenVBand="0" w:oddHBand="0" w:evenHBand="0" w:firstRowFirstColumn="0" w:firstRowLastColumn="0" w:lastRowFirstColumn="0" w:lastRowLastColumn="0"/>
              <w:rPr>
                <w:sz w:val="20"/>
                <w:szCs w:val="20"/>
              </w:rPr>
            </w:pPr>
            <w:r w:rsidRPr="00A421D8">
              <w:rPr>
                <w:rFonts w:ascii="Symbol" w:hAnsi="Symbol"/>
                <w:sz w:val="20"/>
                <w:szCs w:val="20"/>
              </w:rPr>
              <w:t></w:t>
            </w:r>
            <w:r w:rsidRPr="00A421D8">
              <w:rPr>
                <w:rFonts w:ascii="Symbol" w:hAnsi="Symbol"/>
                <w:sz w:val="20"/>
                <w:szCs w:val="20"/>
              </w:rPr>
              <w:tab/>
            </w:r>
            <w:r w:rsidR="00C26978" w:rsidRPr="00A421D8">
              <w:rPr>
                <w:sz w:val="20"/>
                <w:szCs w:val="20"/>
              </w:rPr>
              <w:t>Strengthened capacity of Member States to develop and update regulatory frameworks on space-based telecommunications/ICTs</w:t>
            </w:r>
          </w:p>
        </w:tc>
        <w:tc>
          <w:tcPr>
            <w:tcW w:w="948" w:type="pct"/>
          </w:tcPr>
          <w:p w14:paraId="25732428" w14:textId="6755D894" w:rsidR="00C26978" w:rsidRPr="00A421D8" w:rsidRDefault="007B41DC" w:rsidP="00C1771F">
            <w:pPr>
              <w:pStyle w:val="Tabletext"/>
              <w:ind w:left="284" w:hanging="284"/>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A421D8">
              <w:rPr>
                <w:rFonts w:ascii="Symbol" w:hAnsi="Symbol" w:cstheme="minorHAnsi"/>
                <w:sz w:val="20"/>
                <w:szCs w:val="20"/>
              </w:rPr>
              <w:t></w:t>
            </w:r>
            <w:r w:rsidRPr="00A421D8">
              <w:rPr>
                <w:rFonts w:ascii="Symbol" w:hAnsi="Symbol" w:cstheme="minorHAnsi"/>
                <w:sz w:val="20"/>
                <w:szCs w:val="20"/>
              </w:rPr>
              <w:tab/>
            </w:r>
            <w:r w:rsidR="00C26978" w:rsidRPr="00A421D8">
              <w:rPr>
                <w:rFonts w:cstheme="minorHAnsi"/>
                <w:sz w:val="20"/>
                <w:szCs w:val="20"/>
              </w:rPr>
              <w:t>Strengthened resource-mobilization through cooperation, including with international and regional financial and development institutions</w:t>
            </w:r>
          </w:p>
          <w:p w14:paraId="4D3EE27B" w14:textId="173EF863" w:rsidR="00C26978" w:rsidRPr="00A421D8" w:rsidRDefault="007B41DC" w:rsidP="00C1771F">
            <w:pPr>
              <w:pStyle w:val="Tabletext"/>
              <w:ind w:left="284" w:hanging="284"/>
              <w:cnfStyle w:val="000000000000" w:firstRow="0" w:lastRow="0" w:firstColumn="0" w:lastColumn="0" w:oddVBand="0" w:evenVBand="0" w:oddHBand="0" w:evenHBand="0" w:firstRowFirstColumn="0" w:firstRowLastColumn="0" w:lastRowFirstColumn="0" w:lastRowLastColumn="0"/>
              <w:rPr>
                <w:sz w:val="20"/>
                <w:szCs w:val="20"/>
              </w:rPr>
            </w:pPr>
            <w:r w:rsidRPr="00A421D8">
              <w:rPr>
                <w:rFonts w:ascii="Symbol" w:hAnsi="Symbol"/>
                <w:sz w:val="20"/>
                <w:szCs w:val="20"/>
              </w:rPr>
              <w:t></w:t>
            </w:r>
            <w:r w:rsidRPr="00A421D8">
              <w:rPr>
                <w:rFonts w:ascii="Symbol" w:hAnsi="Symbol"/>
                <w:sz w:val="20"/>
                <w:szCs w:val="20"/>
              </w:rPr>
              <w:tab/>
            </w:r>
            <w:r w:rsidR="00C26978" w:rsidRPr="00A421D8">
              <w:rPr>
                <w:rFonts w:cstheme="minorHAnsi"/>
                <w:sz w:val="20"/>
                <w:szCs w:val="20"/>
              </w:rPr>
              <w:t>Strengthened United Nations-wide joint planning, collaboration and cooperation at the international and regional levels</w:t>
            </w:r>
          </w:p>
          <w:p w14:paraId="00835B42" w14:textId="1C7308B3" w:rsidR="00C26978" w:rsidRPr="00A421D8" w:rsidRDefault="007B41DC" w:rsidP="00C1771F">
            <w:pPr>
              <w:pStyle w:val="Tabletext"/>
              <w:ind w:left="284" w:hanging="284"/>
              <w:cnfStyle w:val="000000000000" w:firstRow="0" w:lastRow="0" w:firstColumn="0" w:lastColumn="0" w:oddVBand="0" w:evenVBand="0" w:oddHBand="0" w:evenHBand="0" w:firstRowFirstColumn="0" w:firstRowLastColumn="0" w:lastRowFirstColumn="0" w:lastRowLastColumn="0"/>
              <w:rPr>
                <w:sz w:val="20"/>
                <w:szCs w:val="20"/>
              </w:rPr>
            </w:pPr>
            <w:r w:rsidRPr="00A421D8">
              <w:rPr>
                <w:rFonts w:ascii="Symbol" w:hAnsi="Symbol"/>
                <w:sz w:val="20"/>
                <w:szCs w:val="20"/>
              </w:rPr>
              <w:t></w:t>
            </w:r>
            <w:r w:rsidRPr="00A421D8">
              <w:rPr>
                <w:rFonts w:ascii="Symbol" w:hAnsi="Symbol"/>
                <w:sz w:val="20"/>
                <w:szCs w:val="20"/>
              </w:rPr>
              <w:tab/>
            </w:r>
            <w:r w:rsidR="00C26978" w:rsidRPr="00A421D8">
              <w:rPr>
                <w:sz w:val="20"/>
                <w:szCs w:val="20"/>
              </w:rPr>
              <w:t xml:space="preserve">Increased support for </w:t>
            </w:r>
            <w:proofErr w:type="spellStart"/>
            <w:r w:rsidR="00C26978" w:rsidRPr="00A421D8">
              <w:rPr>
                <w:sz w:val="20"/>
                <w:szCs w:val="20"/>
              </w:rPr>
              <w:t>LDCs</w:t>
            </w:r>
            <w:proofErr w:type="spellEnd"/>
            <w:r w:rsidR="00C26978" w:rsidRPr="00A421D8">
              <w:rPr>
                <w:sz w:val="20"/>
                <w:szCs w:val="20"/>
              </w:rPr>
              <w:t xml:space="preserve">, SIDS and </w:t>
            </w:r>
            <w:proofErr w:type="spellStart"/>
            <w:r w:rsidR="00C26978" w:rsidRPr="00A421D8">
              <w:rPr>
                <w:sz w:val="20"/>
                <w:szCs w:val="20"/>
              </w:rPr>
              <w:t>LLDCs</w:t>
            </w:r>
            <w:proofErr w:type="spellEnd"/>
          </w:p>
        </w:tc>
        <w:tc>
          <w:tcPr>
            <w:tcW w:w="950" w:type="pct"/>
          </w:tcPr>
          <w:p w14:paraId="4A50ACE5" w14:textId="52CF3C26" w:rsidR="00C26978" w:rsidRPr="00A421D8" w:rsidRDefault="007B41DC" w:rsidP="00C1771F">
            <w:pPr>
              <w:pStyle w:val="Tabletext"/>
              <w:ind w:left="284" w:hanging="284"/>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A421D8">
              <w:rPr>
                <w:rFonts w:ascii="Symbol" w:hAnsi="Symbol" w:cstheme="minorHAnsi"/>
                <w:sz w:val="20"/>
                <w:szCs w:val="20"/>
              </w:rPr>
              <w:t></w:t>
            </w:r>
            <w:r w:rsidRPr="00A421D8">
              <w:rPr>
                <w:rFonts w:ascii="Symbol" w:hAnsi="Symbol" w:cstheme="minorHAnsi"/>
                <w:sz w:val="20"/>
                <w:szCs w:val="20"/>
              </w:rPr>
              <w:tab/>
            </w:r>
            <w:r w:rsidR="00C26978" w:rsidRPr="00A421D8">
              <w:rPr>
                <w:rFonts w:cstheme="minorHAnsi"/>
                <w:sz w:val="20"/>
                <w:szCs w:val="20"/>
              </w:rPr>
              <w:t xml:space="preserve">Increased literacy and awareness of cybersecurity issues </w:t>
            </w:r>
          </w:p>
          <w:p w14:paraId="1405B6B2" w14:textId="5DFFAB6C" w:rsidR="00C26978" w:rsidRPr="00A421D8" w:rsidRDefault="007B41DC" w:rsidP="00C1771F">
            <w:pPr>
              <w:pStyle w:val="Tabletext"/>
              <w:ind w:left="284" w:hanging="284"/>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A421D8">
              <w:rPr>
                <w:rFonts w:ascii="Symbol" w:hAnsi="Symbol" w:cstheme="minorHAnsi"/>
                <w:sz w:val="20"/>
                <w:szCs w:val="20"/>
              </w:rPr>
              <w:t></w:t>
            </w:r>
            <w:r w:rsidRPr="00A421D8">
              <w:rPr>
                <w:rFonts w:ascii="Symbol" w:hAnsi="Symbol" w:cstheme="minorHAnsi"/>
                <w:sz w:val="20"/>
                <w:szCs w:val="20"/>
              </w:rPr>
              <w:tab/>
            </w:r>
            <w:r w:rsidR="00C26978" w:rsidRPr="00A421D8">
              <w:rPr>
                <w:rFonts w:cstheme="minorHAnsi"/>
                <w:sz w:val="20"/>
                <w:szCs w:val="20"/>
              </w:rPr>
              <w:t>Strengthened capacity to respond to cyber incidents and cyberattacks</w:t>
            </w:r>
          </w:p>
          <w:p w14:paraId="3A3E8004" w14:textId="5742C2F3" w:rsidR="00C26978" w:rsidRPr="00A421D8" w:rsidRDefault="007B41DC" w:rsidP="00C1771F">
            <w:pPr>
              <w:pStyle w:val="Tabletext"/>
              <w:ind w:left="284" w:hanging="284"/>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A421D8">
              <w:rPr>
                <w:rFonts w:ascii="Symbol" w:hAnsi="Symbol" w:cstheme="minorHAnsi"/>
                <w:sz w:val="20"/>
                <w:szCs w:val="20"/>
              </w:rPr>
              <w:t></w:t>
            </w:r>
            <w:r w:rsidRPr="00A421D8">
              <w:rPr>
                <w:rFonts w:ascii="Symbol" w:hAnsi="Symbol" w:cstheme="minorHAnsi"/>
                <w:sz w:val="20"/>
                <w:szCs w:val="20"/>
              </w:rPr>
              <w:tab/>
            </w:r>
            <w:r w:rsidR="00C26978" w:rsidRPr="00A421D8">
              <w:rPr>
                <w:rFonts w:cstheme="minorHAnsi"/>
                <w:sz w:val="20"/>
                <w:szCs w:val="20"/>
              </w:rPr>
              <w:t>Increased child online protection</w:t>
            </w:r>
          </w:p>
          <w:p w14:paraId="49C28268" w14:textId="17A05B56" w:rsidR="00C26978" w:rsidRPr="00A421D8" w:rsidRDefault="007B41DC" w:rsidP="00C1771F">
            <w:pPr>
              <w:pStyle w:val="Tabletext"/>
              <w:ind w:left="284" w:hanging="284"/>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A421D8">
              <w:rPr>
                <w:rFonts w:ascii="Symbol" w:hAnsi="Symbol" w:cstheme="minorHAnsi"/>
                <w:sz w:val="20"/>
                <w:szCs w:val="20"/>
              </w:rPr>
              <w:t></w:t>
            </w:r>
            <w:r w:rsidRPr="00A421D8">
              <w:rPr>
                <w:rFonts w:ascii="Symbol" w:hAnsi="Symbol" w:cstheme="minorHAnsi"/>
                <w:sz w:val="20"/>
                <w:szCs w:val="20"/>
              </w:rPr>
              <w:tab/>
            </w:r>
            <w:r w:rsidR="00C26978" w:rsidRPr="00A421D8">
              <w:rPr>
                <w:rFonts w:cstheme="minorHAnsi"/>
                <w:sz w:val="20"/>
                <w:szCs w:val="20"/>
              </w:rPr>
              <w:t>Strengthened capacity of the ITU membership to develop strategies, policies and practices for digital inclusion for all, in particular for the empowerment of women and girls and persons with disabilities</w:t>
            </w:r>
          </w:p>
        </w:tc>
      </w:tr>
    </w:tbl>
    <w:p w14:paraId="11672542" w14:textId="77777777" w:rsidR="00C1771F" w:rsidRDefault="00C1771F">
      <w:pPr>
        <w:jc w:val="center"/>
      </w:pPr>
      <w:r>
        <w:t>______________</w:t>
      </w:r>
    </w:p>
    <w:sectPr w:rsidR="00C1771F" w:rsidSect="00AF376E">
      <w:pgSz w:w="16834" w:h="11907" w:orient="landscape"/>
      <w:pgMar w:top="1418" w:right="1418" w:bottom="1418" w:left="1418" w:header="720" w:footer="720" w:gutter="0"/>
      <w:paperSrc w:first="7" w:other="7"/>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73D61A" w14:textId="77777777" w:rsidR="00B376C6" w:rsidRDefault="00B376C6">
      <w:r>
        <w:separator/>
      </w:r>
    </w:p>
  </w:endnote>
  <w:endnote w:type="continuationSeparator" w:id="0">
    <w:p w14:paraId="27A96004" w14:textId="77777777" w:rsidR="00B376C6" w:rsidRDefault="00B376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Nxt2 W1G Medium">
    <w:altName w:val="Calibri"/>
    <w:panose1 w:val="020B0603020202020204"/>
    <w:charset w:val="00"/>
    <w:family w:val="swiss"/>
    <w:notTrueType/>
    <w:pitch w:val="variable"/>
    <w:sig w:usb0="A00002EF"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C3E59" w14:textId="77777777" w:rsidR="00697614" w:rsidRDefault="006976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EE49E8" w:rsidRPr="00784011" w14:paraId="07402CB9" w14:textId="77777777">
      <w:trPr>
        <w:jc w:val="center"/>
      </w:trPr>
      <w:tc>
        <w:tcPr>
          <w:tcW w:w="1803" w:type="dxa"/>
          <w:vAlign w:val="center"/>
        </w:tcPr>
        <w:p w14:paraId="727FD637" w14:textId="0ADC8A39" w:rsidR="00EE49E8" w:rsidRDefault="00EE49E8" w:rsidP="00EE49E8">
          <w:pPr>
            <w:pStyle w:val="Header"/>
            <w:jc w:val="left"/>
            <w:rPr>
              <w:noProof/>
            </w:rPr>
          </w:pPr>
        </w:p>
      </w:tc>
      <w:tc>
        <w:tcPr>
          <w:tcW w:w="8261" w:type="dxa"/>
        </w:tcPr>
        <w:p w14:paraId="2D49E76E" w14:textId="1522CF0D" w:rsidR="00EE49E8" w:rsidRPr="00E06FD5" w:rsidRDefault="00EE49E8" w:rsidP="00630B6A">
          <w:pPr>
            <w:pStyle w:val="Header"/>
            <w:tabs>
              <w:tab w:val="left" w:pos="6314"/>
              <w:tab w:val="right" w:pos="8505"/>
              <w:tab w:val="right" w:pos="9639"/>
            </w:tabs>
            <w:jc w:val="left"/>
            <w:rPr>
              <w:rFonts w:ascii="Arial" w:hAnsi="Arial" w:cs="Arial"/>
              <w:b/>
              <w:bCs/>
              <w:szCs w:val="18"/>
            </w:rPr>
          </w:pPr>
          <w:r>
            <w:rPr>
              <w:bCs/>
            </w:rPr>
            <w:tab/>
          </w:r>
          <w:r w:rsidR="00A52C84" w:rsidRPr="00623AE3">
            <w:rPr>
              <w:bCs/>
            </w:rPr>
            <w:t>C</w:t>
          </w:r>
          <w:r w:rsidR="00A52C84">
            <w:rPr>
              <w:bCs/>
            </w:rPr>
            <w:t>WG-</w:t>
          </w:r>
          <w:r w:rsidR="00640688">
            <w:rPr>
              <w:bCs/>
            </w:rPr>
            <w:t>SFP-</w:t>
          </w:r>
          <w:r w:rsidR="00630B6A">
            <w:rPr>
              <w:bCs/>
            </w:rPr>
            <w:t>4</w:t>
          </w:r>
          <w:r w:rsidR="00A52C84" w:rsidRPr="00623AE3">
            <w:rPr>
              <w:bCs/>
            </w:rPr>
            <w:t>/</w:t>
          </w:r>
          <w:r w:rsidR="00C1771F">
            <w:rPr>
              <w:bCs/>
            </w:rPr>
            <w:t>7</w:t>
          </w:r>
          <w:r w:rsidR="00A52C84" w:rsidRPr="00623AE3">
            <w:rPr>
              <w:bCs/>
            </w:rPr>
            <w:t>-E</w:t>
          </w:r>
          <w:r>
            <w:rPr>
              <w:bCs/>
            </w:rPr>
            <w:tab/>
          </w:r>
          <w:r>
            <w:fldChar w:fldCharType="begin"/>
          </w:r>
          <w:r>
            <w:instrText>PAGE</w:instrText>
          </w:r>
          <w:r>
            <w:fldChar w:fldCharType="separate"/>
          </w:r>
          <w:r>
            <w:t>1</w:t>
          </w:r>
          <w:r>
            <w:rPr>
              <w:noProof/>
            </w:rPr>
            <w:fldChar w:fldCharType="end"/>
          </w:r>
        </w:p>
      </w:tc>
    </w:tr>
  </w:tbl>
  <w:p w14:paraId="44006CCE" w14:textId="77777777" w:rsidR="00EE49E8" w:rsidRPr="00DB1936" w:rsidRDefault="00EE49E8" w:rsidP="00EE49E8">
    <w:pPr>
      <w:pStyle w:val="Header"/>
      <w:tabs>
        <w:tab w:val="left" w:pos="8080"/>
        <w:tab w:val="right" w:pos="9072"/>
      </w:tabs>
      <w:jc w:val="left"/>
      <w:rPr>
        <w:bC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07"/>
      <w:gridCol w:w="6957"/>
    </w:tblGrid>
    <w:tr w:rsidR="00EE49E8" w:rsidRPr="00784011" w14:paraId="4F588A4C" w14:textId="77777777" w:rsidTr="00A52C84">
      <w:trPr>
        <w:jc w:val="center"/>
      </w:trPr>
      <w:tc>
        <w:tcPr>
          <w:tcW w:w="3107" w:type="dxa"/>
          <w:vAlign w:val="center"/>
        </w:tcPr>
        <w:p w14:paraId="4E7A2825" w14:textId="3F6EA3AC" w:rsidR="00EE49E8" w:rsidRDefault="00A52C84" w:rsidP="00EE49E8">
          <w:pPr>
            <w:pStyle w:val="Header"/>
            <w:jc w:val="left"/>
            <w:rPr>
              <w:noProof/>
            </w:rPr>
          </w:pPr>
          <w:hyperlink r:id="rId1" w:history="1">
            <w:r w:rsidRPr="00630B6A">
              <w:rPr>
                <w:rStyle w:val="Hyperlink"/>
              </w:rPr>
              <w:t>council.itu.int/working-groups</w:t>
            </w:r>
          </w:hyperlink>
        </w:p>
      </w:tc>
      <w:tc>
        <w:tcPr>
          <w:tcW w:w="6957" w:type="dxa"/>
        </w:tcPr>
        <w:p w14:paraId="3F62E0D8" w14:textId="7DA41487" w:rsidR="00EE49E8" w:rsidRPr="00E06FD5" w:rsidRDefault="00EE49E8" w:rsidP="00630B6A">
          <w:pPr>
            <w:pStyle w:val="Header"/>
            <w:tabs>
              <w:tab w:val="left" w:pos="5006"/>
              <w:tab w:val="right" w:pos="8505"/>
              <w:tab w:val="right" w:pos="9639"/>
            </w:tabs>
            <w:jc w:val="left"/>
            <w:rPr>
              <w:rFonts w:ascii="Arial" w:hAnsi="Arial" w:cs="Arial"/>
              <w:b/>
              <w:bCs/>
              <w:szCs w:val="18"/>
            </w:rPr>
          </w:pPr>
          <w:r>
            <w:rPr>
              <w:bCs/>
            </w:rPr>
            <w:tab/>
          </w:r>
          <w:r w:rsidRPr="00623AE3">
            <w:rPr>
              <w:bCs/>
            </w:rPr>
            <w:t>C</w:t>
          </w:r>
          <w:r w:rsidR="00A52C84">
            <w:rPr>
              <w:bCs/>
            </w:rPr>
            <w:t>WG-</w:t>
          </w:r>
          <w:r w:rsidR="00640688">
            <w:rPr>
              <w:bCs/>
            </w:rPr>
            <w:t>SFP-</w:t>
          </w:r>
          <w:r w:rsidR="00630B6A">
            <w:rPr>
              <w:bCs/>
            </w:rPr>
            <w:t>4</w:t>
          </w:r>
          <w:r w:rsidRPr="00623AE3">
            <w:rPr>
              <w:bCs/>
            </w:rPr>
            <w:t>/</w:t>
          </w:r>
          <w:r w:rsidR="00697614">
            <w:rPr>
              <w:bCs/>
            </w:rPr>
            <w:t>7</w:t>
          </w:r>
          <w:r w:rsidRPr="00623AE3">
            <w:rPr>
              <w:bCs/>
            </w:rPr>
            <w:t>-E</w:t>
          </w:r>
          <w:r>
            <w:rPr>
              <w:bCs/>
            </w:rPr>
            <w:tab/>
          </w:r>
          <w:r>
            <w:fldChar w:fldCharType="begin"/>
          </w:r>
          <w:r>
            <w:instrText>PAGE</w:instrText>
          </w:r>
          <w:r>
            <w:fldChar w:fldCharType="separate"/>
          </w:r>
          <w:r>
            <w:t>1</w:t>
          </w:r>
          <w:r>
            <w:rPr>
              <w:noProof/>
            </w:rPr>
            <w:fldChar w:fldCharType="end"/>
          </w:r>
        </w:p>
      </w:tc>
    </w:tr>
  </w:tbl>
  <w:p w14:paraId="12BE588F" w14:textId="77777777" w:rsidR="00A514A4" w:rsidRPr="00623AE3" w:rsidRDefault="00A514A4" w:rsidP="00EE49E8">
    <w:pPr>
      <w:pStyle w:val="Header"/>
      <w:tabs>
        <w:tab w:val="left" w:pos="8080"/>
        <w:tab w:val="right" w:pos="9072"/>
      </w:tabs>
      <w:jc w:val="right"/>
      <w:rPr>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21A985" w14:textId="77777777" w:rsidR="00B376C6" w:rsidRDefault="00B376C6">
      <w:r>
        <w:t>____________________</w:t>
      </w:r>
    </w:p>
  </w:footnote>
  <w:footnote w:type="continuationSeparator" w:id="0">
    <w:p w14:paraId="3359C3A5" w14:textId="77777777" w:rsidR="00B376C6" w:rsidRDefault="00B376C6">
      <w:r>
        <w:continuationSeparator/>
      </w:r>
    </w:p>
  </w:footnote>
  <w:footnote w:id="1">
    <w:p w14:paraId="6B3876D0" w14:textId="77777777" w:rsidR="00AF376E" w:rsidRPr="00393183" w:rsidRDefault="00AF376E" w:rsidP="00343D77">
      <w:pPr>
        <w:pStyle w:val="FootnoteText"/>
        <w:ind w:left="255" w:hanging="255"/>
        <w:jc w:val="both"/>
      </w:pPr>
      <w:r>
        <w:rPr>
          <w:rStyle w:val="FootnoteReference"/>
        </w:rPr>
        <w:t>1</w:t>
      </w:r>
      <w:r>
        <w:tab/>
      </w:r>
      <w:r w:rsidRPr="00D26855">
        <w:t>These include the least developed countries, small island developing states, landlocked developing countries and countries with economies in transition.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47637" w14:textId="77777777" w:rsidR="00697614" w:rsidRDefault="0069761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E5583" w14:textId="77777777" w:rsidR="00697614" w:rsidRDefault="006976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46"/>
      <w:gridCol w:w="3474"/>
    </w:tblGrid>
    <w:tr w:rsidR="00AD3606" w:rsidRPr="00784011" w14:paraId="6D4BB9D4" w14:textId="77777777" w:rsidTr="00F74694">
      <w:trPr>
        <w:trHeight w:val="1304"/>
        <w:jc w:val="center"/>
      </w:trPr>
      <w:tc>
        <w:tcPr>
          <w:tcW w:w="6546" w:type="dxa"/>
        </w:tcPr>
        <w:p w14:paraId="3E21B143" w14:textId="178FA05C" w:rsidR="00AD3606" w:rsidRPr="009621F8" w:rsidRDefault="00DB00D5" w:rsidP="00130599">
          <w:pPr>
            <w:pStyle w:val="Header"/>
            <w:jc w:val="left"/>
            <w:rPr>
              <w:rFonts w:ascii="Arial" w:hAnsi="Arial" w:cs="Arial"/>
              <w:b/>
              <w:bCs/>
              <w:color w:val="009CD6"/>
              <w:sz w:val="36"/>
              <w:szCs w:val="36"/>
            </w:rPr>
          </w:pPr>
          <w:bookmarkStart w:id="11" w:name="_Hlk133422111"/>
          <w:r>
            <w:rPr>
              <w:rFonts w:ascii="Arial" w:hAnsi="Arial" w:cs="Arial"/>
              <w:b/>
              <w:bCs/>
              <w:noProof/>
              <w:color w:val="009CD6"/>
              <w:szCs w:val="18"/>
            </w:rPr>
            <mc:AlternateContent>
              <mc:Choice Requires="wps">
                <w:drawing>
                  <wp:anchor distT="0" distB="0" distL="114300" distR="114300" simplePos="0" relativeHeight="251658241" behindDoc="0" locked="0" layoutInCell="1" allowOverlap="1" wp14:anchorId="3E8A9757" wp14:editId="68E7D9A6">
                    <wp:simplePos x="0" y="0"/>
                    <wp:positionH relativeFrom="column">
                      <wp:posOffset>569937</wp:posOffset>
                    </wp:positionH>
                    <wp:positionV relativeFrom="paragraph">
                      <wp:posOffset>63305</wp:posOffset>
                    </wp:positionV>
                    <wp:extent cx="1652954" cy="541215"/>
                    <wp:effectExtent l="0" t="0" r="4445" b="0"/>
                    <wp:wrapNone/>
                    <wp:docPr id="2" name="Rectangle 2"/>
                    <wp:cNvGraphicFramePr/>
                    <a:graphic xmlns:a="http://schemas.openxmlformats.org/drawingml/2006/main">
                      <a:graphicData uri="http://schemas.microsoft.com/office/word/2010/wordprocessingShape">
                        <wps:wsp>
                          <wps:cNvSpPr/>
                          <wps:spPr>
                            <a:xfrm>
                              <a:off x="0" y="0"/>
                              <a:ext cx="1652954" cy="541215"/>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020807" id="Rectangle 2" o:spid="_x0000_s1026" style="position:absolute;margin-left:44.9pt;margin-top:5pt;width:130.15pt;height:42.6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" fillcolor="white [3212]" stroked="f" strokeweight="2pt"/>
                </w:pict>
              </mc:Fallback>
            </mc:AlternateContent>
          </w:r>
          <w:r w:rsidR="00AD3606">
            <w:rPr>
              <w:noProof/>
            </w:rPr>
            <w:drawing>
              <wp:inline distT="0" distB="0" distL="0" distR="0" wp14:anchorId="4ED31E31" wp14:editId="6AF75EA6">
                <wp:extent cx="2250000" cy="622800"/>
                <wp:effectExtent l="0" t="0" r="0" b="0"/>
                <wp:docPr id="1517851044" name="Picture 15178510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6"/>
                        <pic:cNvPicPr/>
                      </pic:nvPicPr>
                      <pic:blipFill>
                        <a:blip r:embed="rId1">
                          <a:extLst>
                            <a:ext uri="{28A0092B-C50C-407E-A947-70E740481C1C}">
                              <a14:useLocalDpi xmlns:a14="http://schemas.microsoft.com/office/drawing/2010/main" val="0"/>
                            </a:ext>
                          </a:extLst>
                        </a:blip>
                        <a:stretch>
                          <a:fillRect/>
                        </a:stretch>
                      </pic:blipFill>
                      <pic:spPr>
                        <a:xfrm>
                          <a:off x="0" y="0"/>
                          <a:ext cx="2250000" cy="622800"/>
                        </a:xfrm>
                        <a:prstGeom prst="rect">
                          <a:avLst/>
                        </a:prstGeom>
                      </pic:spPr>
                    </pic:pic>
                  </a:graphicData>
                </a:graphic>
              </wp:inline>
            </w:drawing>
          </w:r>
        </w:p>
      </w:tc>
      <w:tc>
        <w:tcPr>
          <w:tcW w:w="3474" w:type="dxa"/>
        </w:tcPr>
        <w:p w14:paraId="2D9A3A2C" w14:textId="77777777" w:rsidR="00AD3606" w:rsidRDefault="00AD3606" w:rsidP="00AD3606">
          <w:pPr>
            <w:pStyle w:val="Header"/>
            <w:jc w:val="right"/>
            <w:rPr>
              <w:rFonts w:ascii="Arial" w:hAnsi="Arial" w:cs="Arial"/>
              <w:b/>
              <w:bCs/>
              <w:color w:val="009CD6"/>
              <w:szCs w:val="18"/>
            </w:rPr>
          </w:pPr>
        </w:p>
        <w:p w14:paraId="10B673DE" w14:textId="77777777" w:rsidR="00AD3606" w:rsidRDefault="00AD3606" w:rsidP="00AD3606">
          <w:pPr>
            <w:pStyle w:val="Header"/>
            <w:jc w:val="right"/>
            <w:rPr>
              <w:rFonts w:ascii="Arial" w:hAnsi="Arial" w:cs="Arial"/>
              <w:b/>
              <w:bCs/>
              <w:color w:val="009CD6"/>
              <w:szCs w:val="18"/>
            </w:rPr>
          </w:pPr>
        </w:p>
        <w:p w14:paraId="4287C2DF" w14:textId="0D65FB02" w:rsidR="00AD3606" w:rsidRPr="00784011" w:rsidRDefault="00AD3606" w:rsidP="00AD3606">
          <w:pPr>
            <w:pStyle w:val="Header"/>
            <w:jc w:val="right"/>
            <w:rPr>
              <w:rFonts w:ascii="Arial" w:hAnsi="Arial" w:cs="Arial"/>
              <w:color w:val="009CD6"/>
              <w:szCs w:val="18"/>
            </w:rPr>
          </w:pPr>
          <w:r w:rsidRPr="00BC6276">
            <w:rPr>
              <w:rFonts w:ascii="Arial" w:hAnsi="Arial" w:cs="Arial"/>
              <w:b/>
              <w:bCs/>
              <w:color w:val="009CD6"/>
              <w:szCs w:val="18"/>
            </w:rPr>
            <w:t xml:space="preserve"> </w:t>
          </w:r>
        </w:p>
      </w:tc>
    </w:tr>
  </w:tbl>
  <w:bookmarkEnd w:id="11"/>
  <w:p w14:paraId="0D24EB89" w14:textId="5739948F" w:rsidR="00AD3606" w:rsidRDefault="00DB00D5">
    <w:pPr>
      <w:pStyle w:val="Header"/>
    </w:pPr>
    <w:r w:rsidRPr="00802C2C">
      <w:rPr>
        <w:rFonts w:ascii="Avenir Nxt2 W1G Medium" w:eastAsia="Avenir Nxt2 W1G Medium" w:hAnsi="Avenir Nxt2 W1G Medium" w:cs="Avenir Nxt2 W1G Medium"/>
        <w:noProof/>
      </w:rPr>
      <mc:AlternateContent>
        <mc:Choice Requires="wps">
          <w:drawing>
            <wp:anchor distT="0" distB="0" distL="114300" distR="114300" simplePos="0" relativeHeight="251658240" behindDoc="0" locked="0" layoutInCell="1" allowOverlap="1" wp14:anchorId="141CBB14" wp14:editId="6AD82C93">
              <wp:simplePos x="0" y="0"/>
              <wp:positionH relativeFrom="page">
                <wp:posOffset>14605</wp:posOffset>
              </wp:positionH>
              <wp:positionV relativeFrom="topMargin">
                <wp:posOffset>555625</wp:posOffset>
              </wp:positionV>
              <wp:extent cx="93345" cy="431800"/>
              <wp:effectExtent l="0" t="0" r="1905" b="635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345" cy="431800"/>
                      </a:xfrm>
                      <a:prstGeom prst="rect">
                        <a:avLst/>
                      </a:prstGeom>
                      <a:solidFill>
                        <a:srgbClr val="009C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56AE6F" id="Rectangle 5" o:spid="_x0000_s1026" style="position:absolute;margin-left:1.15pt;margin-top:43.75pt;width:7.35pt;height:34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" fillcolor="#009cd5" stroked="f">
              <w10:wrap anchorx="page" anchory="margin"/>
            </v:rect>
          </w:pict>
        </mc:Fallback>
      </mc:AlternateContent>
    </w:r>
    <w:r w:rsidRPr="00130599">
      <w:rPr>
        <w:rFonts w:ascii="Arial" w:eastAsiaTheme="minorHAnsi" w:hAnsi="Arial" w:cs="Arial"/>
        <w:b/>
        <w:bCs/>
        <w:noProof/>
        <w:color w:val="009CD6"/>
        <w:szCs w:val="18"/>
      </w:rPr>
      <mc:AlternateContent>
        <mc:Choice Requires="wps">
          <w:drawing>
            <wp:anchor distT="0" distB="0" distL="114300" distR="114300" simplePos="0" relativeHeight="251658242" behindDoc="0" locked="0" layoutInCell="1" allowOverlap="1" wp14:anchorId="4E9A2C87" wp14:editId="3E001D8E">
              <wp:simplePos x="0" y="0"/>
              <wp:positionH relativeFrom="column">
                <wp:posOffset>306754</wp:posOffset>
              </wp:positionH>
              <wp:positionV relativeFrom="paragraph">
                <wp:posOffset>-835660</wp:posOffset>
              </wp:positionV>
              <wp:extent cx="3999230" cy="471170"/>
              <wp:effectExtent l="0" t="0" r="0" b="127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9230" cy="471170"/>
                      </a:xfrm>
                      <a:prstGeom prst="rect">
                        <a:avLst/>
                      </a:prstGeom>
                      <a:noFill/>
                      <a:ln w="9525">
                        <a:noFill/>
                        <a:miter lim="800000"/>
                        <a:headEnd/>
                        <a:tailEnd/>
                      </a:ln>
                    </wps:spPr>
                    <wps:txbx>
                      <w:txbxContent>
                        <w:p w14:paraId="0B44A3EE" w14:textId="7414B805" w:rsidR="00130599" w:rsidRDefault="00130599" w:rsidP="00130599">
                          <w:pPr>
                            <w:spacing w:before="0"/>
                          </w:pPr>
                          <w:r w:rsidRPr="00F74694">
                            <w:rPr>
                              <w:b/>
                              <w:bCs/>
                              <w:szCs w:val="24"/>
                            </w:rPr>
                            <w:t xml:space="preserve">Council Working Group </w:t>
                          </w:r>
                          <w:r w:rsidR="00F74694" w:rsidRPr="00F74694">
                            <w:rPr>
                              <w:b/>
                              <w:bCs/>
                              <w:szCs w:val="24"/>
                            </w:rPr>
                            <w:br/>
                          </w:r>
                          <w:r w:rsidR="00640688">
                            <w:rPr>
                              <w:b/>
                              <w:bCs/>
                              <w:szCs w:val="24"/>
                            </w:rPr>
                            <w:t>for strategic and financial plans 2028-2031</w:t>
                          </w:r>
                          <w:r>
                            <w:br/>
                          </w:r>
                          <w:r w:rsidR="00630B6A">
                            <w:rPr>
                              <w:sz w:val="20"/>
                            </w:rPr>
                            <w:t>Fourth</w:t>
                          </w:r>
                          <w:r w:rsidRPr="00130599">
                            <w:rPr>
                              <w:sz w:val="20"/>
                            </w:rPr>
                            <w:t xml:space="preserve"> meeting </w:t>
                          </w:r>
                          <w:r w:rsidR="00A94376">
                            <w:rPr>
                              <w:sz w:val="20"/>
                            </w:rPr>
                            <w:t>–</w:t>
                          </w:r>
                          <w:r w:rsidR="00B358B2">
                            <w:rPr>
                              <w:sz w:val="20"/>
                            </w:rPr>
                            <w:t xml:space="preserve"> </w:t>
                          </w:r>
                          <w:r w:rsidR="00E03C3D">
                            <w:rPr>
                              <w:sz w:val="20"/>
                            </w:rPr>
                            <w:t xml:space="preserve">From </w:t>
                          </w:r>
                          <w:r w:rsidR="0018473F">
                            <w:rPr>
                              <w:sz w:val="20"/>
                            </w:rPr>
                            <w:t>12</w:t>
                          </w:r>
                          <w:r w:rsidR="00630B6A">
                            <w:rPr>
                              <w:sz w:val="20"/>
                            </w:rPr>
                            <w:t xml:space="preserve"> </w:t>
                          </w:r>
                          <w:r w:rsidR="00640688">
                            <w:rPr>
                              <w:sz w:val="20"/>
                            </w:rPr>
                            <w:t xml:space="preserve">to </w:t>
                          </w:r>
                          <w:r w:rsidR="0018473F">
                            <w:rPr>
                              <w:sz w:val="20"/>
                            </w:rPr>
                            <w:t>14</w:t>
                          </w:r>
                          <w:r w:rsidR="00630B6A">
                            <w:rPr>
                              <w:sz w:val="20"/>
                            </w:rPr>
                            <w:t xml:space="preserve"> </w:t>
                          </w:r>
                          <w:r w:rsidR="006B1813">
                            <w:rPr>
                              <w:sz w:val="20"/>
                            </w:rPr>
                            <w:t xml:space="preserve">(a.m.) </w:t>
                          </w:r>
                          <w:r w:rsidR="00630B6A">
                            <w:rPr>
                              <w:sz w:val="20"/>
                            </w:rPr>
                            <w:t xml:space="preserve">January </w:t>
                          </w:r>
                          <w:r w:rsidR="00E03C3D">
                            <w:rPr>
                              <w:sz w:val="20"/>
                            </w:rPr>
                            <w:t>202</w:t>
                          </w:r>
                          <w:r w:rsidR="00630B6A">
                            <w:rPr>
                              <w:sz w:val="20"/>
                            </w:rPr>
                            <w:t>6</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4E9A2C87" id="_x0000_t202" coordsize="21600,21600" o:spt="202" path="m,l,21600r21600,l21600,xe">
              <v:stroke joinstyle="miter"/>
              <v:path gradientshapeok="t" o:connecttype="rect"/>
            </v:shapetype>
            <v:shape id="Text Box 2" o:spid="_x0000_s1026" type="#_x0000_t202" style="position:absolute;left:0;text-align:left;margin-left:24.15pt;margin-top:-65.8pt;width:314.9pt;height:37.1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" filled="f" stroked="f">
              <v:textbox style="mso-fit-shape-to-text:t">
                <w:txbxContent>
                  <w:p w14:paraId="0B44A3EE" w14:textId="7414B805" w:rsidR="00130599" w:rsidRDefault="00130599" w:rsidP="00130599">
                    <w:pPr>
                      <w:spacing w:before="0"/>
                    </w:pPr>
                    <w:r w:rsidRPr="00F74694">
                      <w:rPr>
                        <w:b/>
                        <w:bCs/>
                        <w:szCs w:val="24"/>
                      </w:rPr>
                      <w:t xml:space="preserve">Council Working Group </w:t>
                    </w:r>
                    <w:r w:rsidR="00F74694" w:rsidRPr="00F74694">
                      <w:rPr>
                        <w:b/>
                        <w:bCs/>
                        <w:szCs w:val="24"/>
                      </w:rPr>
                      <w:br/>
                    </w:r>
                    <w:r w:rsidR="00640688">
                      <w:rPr>
                        <w:b/>
                        <w:bCs/>
                        <w:szCs w:val="24"/>
                      </w:rPr>
                      <w:t>for strategic and financial plans 2028-2031</w:t>
                    </w:r>
                    <w:r>
                      <w:br/>
                    </w:r>
                    <w:r w:rsidR="00630B6A">
                      <w:rPr>
                        <w:sz w:val="20"/>
                      </w:rPr>
                      <w:t>Fourth</w:t>
                    </w:r>
                    <w:r w:rsidRPr="00130599">
                      <w:rPr>
                        <w:sz w:val="20"/>
                      </w:rPr>
                      <w:t xml:space="preserve"> meeting </w:t>
                    </w:r>
                    <w:r w:rsidR="00A94376">
                      <w:rPr>
                        <w:sz w:val="20"/>
                      </w:rPr>
                      <w:t>–</w:t>
                    </w:r>
                    <w:r w:rsidR="00B358B2">
                      <w:rPr>
                        <w:sz w:val="20"/>
                      </w:rPr>
                      <w:t xml:space="preserve"> </w:t>
                    </w:r>
                    <w:r w:rsidR="00E03C3D">
                      <w:rPr>
                        <w:sz w:val="20"/>
                      </w:rPr>
                      <w:t xml:space="preserve">From </w:t>
                    </w:r>
                    <w:r w:rsidR="0018473F">
                      <w:rPr>
                        <w:sz w:val="20"/>
                      </w:rPr>
                      <w:t>12</w:t>
                    </w:r>
                    <w:r w:rsidR="00630B6A">
                      <w:rPr>
                        <w:sz w:val="20"/>
                      </w:rPr>
                      <w:t xml:space="preserve"> </w:t>
                    </w:r>
                    <w:r w:rsidR="00640688">
                      <w:rPr>
                        <w:sz w:val="20"/>
                      </w:rPr>
                      <w:t xml:space="preserve">to </w:t>
                    </w:r>
                    <w:r w:rsidR="0018473F">
                      <w:rPr>
                        <w:sz w:val="20"/>
                      </w:rPr>
                      <w:t>14</w:t>
                    </w:r>
                    <w:r w:rsidR="00630B6A">
                      <w:rPr>
                        <w:sz w:val="20"/>
                      </w:rPr>
                      <w:t xml:space="preserve"> </w:t>
                    </w:r>
                    <w:r w:rsidR="006B1813">
                      <w:rPr>
                        <w:sz w:val="20"/>
                      </w:rPr>
                      <w:t xml:space="preserve">(a.m.) </w:t>
                    </w:r>
                    <w:r w:rsidR="00630B6A">
                      <w:rPr>
                        <w:sz w:val="20"/>
                      </w:rPr>
                      <w:t xml:space="preserve">January </w:t>
                    </w:r>
                    <w:r w:rsidR="00E03C3D">
                      <w:rPr>
                        <w:sz w:val="20"/>
                      </w:rPr>
                      <w:t>202</w:t>
                    </w:r>
                    <w:r w:rsidR="00630B6A">
                      <w:rPr>
                        <w:sz w:val="20"/>
                      </w:rPr>
                      <w:t>6</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3FAD72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9D323C1"/>
    <w:multiLevelType w:val="hybridMultilevel"/>
    <w:tmpl w:val="A4D6595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374816267">
    <w:abstractNumId w:val="0"/>
  </w:num>
  <w:num w:numId="2" w16cid:durableId="199416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embedSystemFonts/>
  <w:proofState w:spelling="clean" w:grammar="clean"/>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6E2"/>
    <w:rsid w:val="000210D4"/>
    <w:rsid w:val="00021764"/>
    <w:rsid w:val="000468B1"/>
    <w:rsid w:val="000615DA"/>
    <w:rsid w:val="00063016"/>
    <w:rsid w:val="00066795"/>
    <w:rsid w:val="00076AF6"/>
    <w:rsid w:val="00085CF2"/>
    <w:rsid w:val="000908F5"/>
    <w:rsid w:val="000A7E01"/>
    <w:rsid w:val="000B1705"/>
    <w:rsid w:val="000D75B2"/>
    <w:rsid w:val="001121F5"/>
    <w:rsid w:val="00130599"/>
    <w:rsid w:val="001400DC"/>
    <w:rsid w:val="00140CE1"/>
    <w:rsid w:val="001751FF"/>
    <w:rsid w:val="0017539C"/>
    <w:rsid w:val="00175AC2"/>
    <w:rsid w:val="0017609F"/>
    <w:rsid w:val="0018473F"/>
    <w:rsid w:val="0019628A"/>
    <w:rsid w:val="001A1219"/>
    <w:rsid w:val="001A7D1D"/>
    <w:rsid w:val="001B51DD"/>
    <w:rsid w:val="001C628E"/>
    <w:rsid w:val="001E0F7B"/>
    <w:rsid w:val="001E0FBE"/>
    <w:rsid w:val="002119FD"/>
    <w:rsid w:val="002130E0"/>
    <w:rsid w:val="00215A2C"/>
    <w:rsid w:val="002404ED"/>
    <w:rsid w:val="00244F7F"/>
    <w:rsid w:val="00260ACE"/>
    <w:rsid w:val="00264425"/>
    <w:rsid w:val="00265875"/>
    <w:rsid w:val="0027303B"/>
    <w:rsid w:val="0028109B"/>
    <w:rsid w:val="002A2188"/>
    <w:rsid w:val="002B1F58"/>
    <w:rsid w:val="002C1C7A"/>
    <w:rsid w:val="002C54E2"/>
    <w:rsid w:val="0030160F"/>
    <w:rsid w:val="00320223"/>
    <w:rsid w:val="00320DD1"/>
    <w:rsid w:val="00322D0D"/>
    <w:rsid w:val="00343D77"/>
    <w:rsid w:val="00361465"/>
    <w:rsid w:val="003849FE"/>
    <w:rsid w:val="003877F5"/>
    <w:rsid w:val="00391978"/>
    <w:rsid w:val="003942D4"/>
    <w:rsid w:val="003958A8"/>
    <w:rsid w:val="003C2533"/>
    <w:rsid w:val="003D55B9"/>
    <w:rsid w:val="003D5A7F"/>
    <w:rsid w:val="004016E2"/>
    <w:rsid w:val="0040435A"/>
    <w:rsid w:val="00411074"/>
    <w:rsid w:val="00416A24"/>
    <w:rsid w:val="00431D9E"/>
    <w:rsid w:val="00433CE8"/>
    <w:rsid w:val="00434A5C"/>
    <w:rsid w:val="004544D9"/>
    <w:rsid w:val="00456A5C"/>
    <w:rsid w:val="00472BAD"/>
    <w:rsid w:val="00474B08"/>
    <w:rsid w:val="004819F7"/>
    <w:rsid w:val="00484009"/>
    <w:rsid w:val="00490E72"/>
    <w:rsid w:val="00491157"/>
    <w:rsid w:val="004921C8"/>
    <w:rsid w:val="00495B0B"/>
    <w:rsid w:val="004A1B8B"/>
    <w:rsid w:val="004D1851"/>
    <w:rsid w:val="004D599D"/>
    <w:rsid w:val="004E2037"/>
    <w:rsid w:val="004E2EA5"/>
    <w:rsid w:val="004E3AEB"/>
    <w:rsid w:val="0050223C"/>
    <w:rsid w:val="0050480E"/>
    <w:rsid w:val="005243FF"/>
    <w:rsid w:val="00524D51"/>
    <w:rsid w:val="005273CB"/>
    <w:rsid w:val="00564FBC"/>
    <w:rsid w:val="005800BC"/>
    <w:rsid w:val="00582442"/>
    <w:rsid w:val="005A335D"/>
    <w:rsid w:val="005C620E"/>
    <w:rsid w:val="005E2BD5"/>
    <w:rsid w:val="005F3269"/>
    <w:rsid w:val="00623AE3"/>
    <w:rsid w:val="00630B6A"/>
    <w:rsid w:val="00634501"/>
    <w:rsid w:val="00640688"/>
    <w:rsid w:val="0064737F"/>
    <w:rsid w:val="006535F1"/>
    <w:rsid w:val="0065557D"/>
    <w:rsid w:val="006603CD"/>
    <w:rsid w:val="00660D50"/>
    <w:rsid w:val="00662984"/>
    <w:rsid w:val="006716BB"/>
    <w:rsid w:val="00676C7D"/>
    <w:rsid w:val="00697614"/>
    <w:rsid w:val="006B1813"/>
    <w:rsid w:val="006B1859"/>
    <w:rsid w:val="006B6680"/>
    <w:rsid w:val="006B6DCC"/>
    <w:rsid w:val="00702DEF"/>
    <w:rsid w:val="00706861"/>
    <w:rsid w:val="0075051B"/>
    <w:rsid w:val="00775655"/>
    <w:rsid w:val="00793188"/>
    <w:rsid w:val="00794D34"/>
    <w:rsid w:val="007B41DC"/>
    <w:rsid w:val="00813E5E"/>
    <w:rsid w:val="00832D6A"/>
    <w:rsid w:val="0083581B"/>
    <w:rsid w:val="00863874"/>
    <w:rsid w:val="00864AFF"/>
    <w:rsid w:val="00865925"/>
    <w:rsid w:val="00891503"/>
    <w:rsid w:val="008964B4"/>
    <w:rsid w:val="008B4A6A"/>
    <w:rsid w:val="008C75D6"/>
    <w:rsid w:val="008C7E27"/>
    <w:rsid w:val="008F7448"/>
    <w:rsid w:val="009004A2"/>
    <w:rsid w:val="0090147A"/>
    <w:rsid w:val="009173EF"/>
    <w:rsid w:val="00926A37"/>
    <w:rsid w:val="00932906"/>
    <w:rsid w:val="00961B0B"/>
    <w:rsid w:val="00962D33"/>
    <w:rsid w:val="00971C28"/>
    <w:rsid w:val="009B2D4B"/>
    <w:rsid w:val="009B38C3"/>
    <w:rsid w:val="009C253A"/>
    <w:rsid w:val="009D42C1"/>
    <w:rsid w:val="009E17BD"/>
    <w:rsid w:val="009E485A"/>
    <w:rsid w:val="009F347C"/>
    <w:rsid w:val="00A04CEC"/>
    <w:rsid w:val="00A06D87"/>
    <w:rsid w:val="00A27F92"/>
    <w:rsid w:val="00A32257"/>
    <w:rsid w:val="00A34664"/>
    <w:rsid w:val="00A36D20"/>
    <w:rsid w:val="00A421D8"/>
    <w:rsid w:val="00A467DF"/>
    <w:rsid w:val="00A514A4"/>
    <w:rsid w:val="00A52C84"/>
    <w:rsid w:val="00A55622"/>
    <w:rsid w:val="00A83502"/>
    <w:rsid w:val="00A94376"/>
    <w:rsid w:val="00AD15B3"/>
    <w:rsid w:val="00AD3606"/>
    <w:rsid w:val="00AD4A3D"/>
    <w:rsid w:val="00AF376E"/>
    <w:rsid w:val="00AF6E49"/>
    <w:rsid w:val="00B04A67"/>
    <w:rsid w:val="00B0583C"/>
    <w:rsid w:val="00B358B2"/>
    <w:rsid w:val="00B376C6"/>
    <w:rsid w:val="00B40A81"/>
    <w:rsid w:val="00B44910"/>
    <w:rsid w:val="00B505D0"/>
    <w:rsid w:val="00B72267"/>
    <w:rsid w:val="00B73F38"/>
    <w:rsid w:val="00B76EB6"/>
    <w:rsid w:val="00B7737B"/>
    <w:rsid w:val="00B824C8"/>
    <w:rsid w:val="00B84B9D"/>
    <w:rsid w:val="00BB7EC0"/>
    <w:rsid w:val="00BC251A"/>
    <w:rsid w:val="00BD032B"/>
    <w:rsid w:val="00BD1693"/>
    <w:rsid w:val="00BE2640"/>
    <w:rsid w:val="00C01189"/>
    <w:rsid w:val="00C1771F"/>
    <w:rsid w:val="00C26978"/>
    <w:rsid w:val="00C374DE"/>
    <w:rsid w:val="00C37563"/>
    <w:rsid w:val="00C4505A"/>
    <w:rsid w:val="00C47AD4"/>
    <w:rsid w:val="00C52D81"/>
    <w:rsid w:val="00C55198"/>
    <w:rsid w:val="00C919BC"/>
    <w:rsid w:val="00CA6393"/>
    <w:rsid w:val="00CA7CB8"/>
    <w:rsid w:val="00CB18FF"/>
    <w:rsid w:val="00CD0C08"/>
    <w:rsid w:val="00CE03FB"/>
    <w:rsid w:val="00CE433C"/>
    <w:rsid w:val="00CF0161"/>
    <w:rsid w:val="00CF33F3"/>
    <w:rsid w:val="00D06183"/>
    <w:rsid w:val="00D22C42"/>
    <w:rsid w:val="00D464CC"/>
    <w:rsid w:val="00D53C61"/>
    <w:rsid w:val="00D65041"/>
    <w:rsid w:val="00DB00D5"/>
    <w:rsid w:val="00DB1936"/>
    <w:rsid w:val="00DB384B"/>
    <w:rsid w:val="00DF0189"/>
    <w:rsid w:val="00E03C3D"/>
    <w:rsid w:val="00E06FD5"/>
    <w:rsid w:val="00E10E80"/>
    <w:rsid w:val="00E124F0"/>
    <w:rsid w:val="00E227F3"/>
    <w:rsid w:val="00E545C6"/>
    <w:rsid w:val="00E60F04"/>
    <w:rsid w:val="00E65B24"/>
    <w:rsid w:val="00E854E4"/>
    <w:rsid w:val="00E86DBF"/>
    <w:rsid w:val="00E97C3E"/>
    <w:rsid w:val="00EB0D6F"/>
    <w:rsid w:val="00EB2232"/>
    <w:rsid w:val="00EC5337"/>
    <w:rsid w:val="00ED454D"/>
    <w:rsid w:val="00EE49E8"/>
    <w:rsid w:val="00F16BAB"/>
    <w:rsid w:val="00F16F10"/>
    <w:rsid w:val="00F2150A"/>
    <w:rsid w:val="00F231D8"/>
    <w:rsid w:val="00F264CE"/>
    <w:rsid w:val="00F44C00"/>
    <w:rsid w:val="00F45D2C"/>
    <w:rsid w:val="00F46C5F"/>
    <w:rsid w:val="00F61262"/>
    <w:rsid w:val="00F632C0"/>
    <w:rsid w:val="00F73533"/>
    <w:rsid w:val="00F74694"/>
    <w:rsid w:val="00F913A2"/>
    <w:rsid w:val="00F94A63"/>
    <w:rsid w:val="00FA1C28"/>
    <w:rsid w:val="00FB1279"/>
    <w:rsid w:val="00FB2153"/>
    <w:rsid w:val="00FB6B76"/>
    <w:rsid w:val="00FB7596"/>
    <w:rsid w:val="00FD7016"/>
    <w:rsid w:val="00FE4077"/>
    <w:rsid w:val="00FE500D"/>
    <w:rsid w:val="00FE77D2"/>
    <w:rsid w:val="0955412D"/>
    <w:rsid w:val="47D56860"/>
    <w:rsid w:val="674909D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E63E59"/>
  <w15:docId w15:val="{B0E5A6B1-F69A-44FC-A12A-367E59474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C54E2"/>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qFormat/>
    <w:rsid w:val="00813E5E"/>
    <w:pPr>
      <w:keepNext/>
      <w:keepLines/>
      <w:spacing w:before="480"/>
      <w:ind w:left="567" w:hanging="567"/>
      <w:outlineLvl w:val="0"/>
    </w:pPr>
    <w:rPr>
      <w:b/>
      <w:sz w:val="28"/>
    </w:rPr>
  </w:style>
  <w:style w:type="paragraph" w:styleId="Heading2">
    <w:name w:val="heading 2"/>
    <w:basedOn w:val="Heading1"/>
    <w:next w:val="Normal"/>
    <w:qFormat/>
    <w:rsid w:val="00813E5E"/>
    <w:pPr>
      <w:spacing w:before="320"/>
      <w:outlineLvl w:val="1"/>
    </w:pPr>
    <w:rPr>
      <w:sz w:val="24"/>
    </w:rPr>
  </w:style>
  <w:style w:type="paragraph" w:styleId="Heading3">
    <w:name w:val="heading 3"/>
    <w:basedOn w:val="Heading1"/>
    <w:next w:val="Normal"/>
    <w:qFormat/>
    <w:rsid w:val="00813E5E"/>
    <w:pPr>
      <w:spacing w:before="200"/>
      <w:outlineLvl w:val="2"/>
    </w:pPr>
    <w:rPr>
      <w:sz w:val="24"/>
    </w:rPr>
  </w:style>
  <w:style w:type="paragraph" w:styleId="Heading4">
    <w:name w:val="heading 4"/>
    <w:basedOn w:val="Heading3"/>
    <w:next w:val="Normal"/>
    <w:qFormat/>
    <w:rsid w:val="00813E5E"/>
    <w:pPr>
      <w:ind w:left="1134" w:hanging="1134"/>
      <w:outlineLvl w:val="3"/>
    </w:pPr>
  </w:style>
  <w:style w:type="paragraph" w:styleId="Heading5">
    <w:name w:val="heading 5"/>
    <w:basedOn w:val="Heading4"/>
    <w:next w:val="Normal"/>
    <w:qFormat/>
    <w:rsid w:val="00813E5E"/>
    <w:pPr>
      <w:outlineLvl w:val="4"/>
    </w:pPr>
  </w:style>
  <w:style w:type="paragraph" w:styleId="Heading6">
    <w:name w:val="heading 6"/>
    <w:basedOn w:val="Heading4"/>
    <w:next w:val="Normal"/>
    <w:qFormat/>
    <w:rsid w:val="00813E5E"/>
    <w:pPr>
      <w:outlineLvl w:val="5"/>
    </w:pPr>
  </w:style>
  <w:style w:type="paragraph" w:styleId="Heading7">
    <w:name w:val="heading 7"/>
    <w:basedOn w:val="Heading4"/>
    <w:next w:val="Normal"/>
    <w:qFormat/>
    <w:rsid w:val="00813E5E"/>
    <w:pPr>
      <w:ind w:left="1701" w:hanging="1701"/>
      <w:outlineLvl w:val="6"/>
    </w:pPr>
  </w:style>
  <w:style w:type="paragraph" w:styleId="Heading8">
    <w:name w:val="heading 8"/>
    <w:basedOn w:val="Heading4"/>
    <w:next w:val="Normal"/>
    <w:qFormat/>
    <w:rsid w:val="00813E5E"/>
    <w:pPr>
      <w:ind w:left="1701" w:hanging="1701"/>
      <w:outlineLvl w:val="7"/>
    </w:pPr>
  </w:style>
  <w:style w:type="paragraph" w:styleId="Heading9">
    <w:name w:val="heading 9"/>
    <w:basedOn w:val="Heading4"/>
    <w:next w:val="Normal"/>
    <w:qFormat/>
    <w:rsid w:val="00813E5E"/>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813E5E"/>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813E5E"/>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Index7">
    <w:name w:val="index 7"/>
    <w:basedOn w:val="Normal"/>
    <w:next w:val="Normal"/>
    <w:rsid w:val="004D1851"/>
    <w:pPr>
      <w:ind w:left="1698"/>
    </w:pPr>
  </w:style>
  <w:style w:type="paragraph" w:styleId="Index6">
    <w:name w:val="index 6"/>
    <w:basedOn w:val="Normal"/>
    <w:next w:val="Normal"/>
    <w:rsid w:val="004D1851"/>
    <w:pPr>
      <w:ind w:left="1415"/>
    </w:pPr>
  </w:style>
  <w:style w:type="paragraph" w:styleId="Index5">
    <w:name w:val="index 5"/>
    <w:basedOn w:val="Normal"/>
    <w:next w:val="Normal"/>
    <w:rsid w:val="004D1851"/>
    <w:pPr>
      <w:ind w:left="1132"/>
    </w:pPr>
  </w:style>
  <w:style w:type="paragraph" w:styleId="Index4">
    <w:name w:val="index 4"/>
    <w:basedOn w:val="Normal"/>
    <w:next w:val="Normal"/>
    <w:rsid w:val="004D1851"/>
    <w:pPr>
      <w:ind w:left="849"/>
    </w:pPr>
  </w:style>
  <w:style w:type="paragraph" w:styleId="Index3">
    <w:name w:val="index 3"/>
    <w:basedOn w:val="Normal"/>
    <w:next w:val="Normal"/>
    <w:rsid w:val="004D1851"/>
    <w:pPr>
      <w:ind w:left="566"/>
    </w:pPr>
  </w:style>
  <w:style w:type="paragraph" w:styleId="Index2">
    <w:name w:val="index 2"/>
    <w:basedOn w:val="Normal"/>
    <w:next w:val="Normal"/>
    <w:rsid w:val="004D1851"/>
    <w:pPr>
      <w:ind w:left="283"/>
    </w:pPr>
  </w:style>
  <w:style w:type="paragraph" w:styleId="Index1">
    <w:name w:val="index 1"/>
    <w:basedOn w:val="Normal"/>
    <w:next w:val="Normal"/>
    <w:rsid w:val="004D1851"/>
  </w:style>
  <w:style w:type="character" w:styleId="LineNumber">
    <w:name w:val="line number"/>
    <w:basedOn w:val="DefaultParagraphFont"/>
    <w:rsid w:val="004D1851"/>
  </w:style>
  <w:style w:type="paragraph" w:styleId="IndexHeading">
    <w:name w:val="index heading"/>
    <w:basedOn w:val="Normal"/>
    <w:next w:val="Index1"/>
    <w:rsid w:val="004D1851"/>
  </w:style>
  <w:style w:type="paragraph" w:styleId="Footer">
    <w:name w:val="footer"/>
    <w:basedOn w:val="Normal"/>
    <w:rsid w:val="00813E5E"/>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5800BC"/>
    <w:pPr>
      <w:tabs>
        <w:tab w:val="clear" w:pos="567"/>
        <w:tab w:val="clear" w:pos="1134"/>
        <w:tab w:val="clear" w:pos="1701"/>
        <w:tab w:val="clear" w:pos="2268"/>
        <w:tab w:val="clear" w:pos="2835"/>
      </w:tabs>
      <w:spacing w:before="0"/>
      <w:jc w:val="center"/>
    </w:pPr>
    <w:rPr>
      <w:color w:val="7F7F7F" w:themeColor="text1" w:themeTint="80"/>
      <w:sz w:val="18"/>
    </w:rPr>
  </w:style>
  <w:style w:type="character" w:styleId="FootnoteReference">
    <w:name w:val="footnote reference"/>
    <w:aliases w:val="Appel note de bas de p,Footnote Reference/,Footnote symbol,Ref,de nota al pie,Style 12,(NECG) Footnote Reference,Style 124,o,fr,Style 13,FR,Style 17,Appel note de bas de p + 11 pt,Italic,Footnote,Appel note de bas de p1,Style 3"/>
    <w:basedOn w:val="DefaultParagraphFont"/>
    <w:qFormat/>
    <w:rsid w:val="00813E5E"/>
    <w:rPr>
      <w:rFonts w:ascii="Calibri" w:hAnsi="Calibri"/>
      <w:position w:val="6"/>
      <w:sz w:val="16"/>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V-FT"/>
    <w:basedOn w:val="Normal"/>
    <w:link w:val="FootnoteTextChar"/>
    <w:qFormat/>
    <w:rsid w:val="00343D77"/>
    <w:pPr>
      <w:keepLines/>
      <w:tabs>
        <w:tab w:val="left" w:pos="256"/>
      </w:tabs>
      <w:ind w:left="256" w:hanging="256"/>
    </w:pPr>
    <w:rPr>
      <w:sz w:val="22"/>
    </w:rPr>
  </w:style>
  <w:style w:type="paragraph" w:styleId="NormalIndent">
    <w:name w:val="Normal Indent"/>
    <w:basedOn w:val="Normal"/>
    <w:rsid w:val="00813E5E"/>
    <w:pPr>
      <w:ind w:left="567"/>
    </w:pPr>
  </w:style>
  <w:style w:type="paragraph" w:customStyle="1" w:styleId="enumlev1">
    <w:name w:val="enumlev1"/>
    <w:basedOn w:val="Normal"/>
    <w:rsid w:val="00813E5E"/>
    <w:pPr>
      <w:spacing w:before="86"/>
      <w:ind w:left="567" w:hanging="567"/>
    </w:pPr>
  </w:style>
  <w:style w:type="paragraph" w:customStyle="1" w:styleId="enumlev2">
    <w:name w:val="enumlev2"/>
    <w:basedOn w:val="enumlev1"/>
    <w:rsid w:val="00813E5E"/>
    <w:pPr>
      <w:ind w:left="1134"/>
    </w:pPr>
  </w:style>
  <w:style w:type="paragraph" w:customStyle="1" w:styleId="enumlev3">
    <w:name w:val="enumlev3"/>
    <w:basedOn w:val="enumlev2"/>
    <w:rsid w:val="00813E5E"/>
    <w:pPr>
      <w:ind w:left="1701"/>
    </w:pPr>
  </w:style>
  <w:style w:type="paragraph" w:customStyle="1" w:styleId="Normalaftertitle">
    <w:name w:val="Normal after title"/>
    <w:basedOn w:val="Normal"/>
    <w:next w:val="Normal"/>
    <w:rsid w:val="00813E5E"/>
    <w:pPr>
      <w:spacing w:before="240"/>
    </w:pPr>
  </w:style>
  <w:style w:type="character" w:customStyle="1" w:styleId="HeaderChar">
    <w:name w:val="Header Char"/>
    <w:basedOn w:val="DefaultParagraphFont"/>
    <w:link w:val="Header"/>
    <w:uiPriority w:val="99"/>
    <w:rsid w:val="005800BC"/>
    <w:rPr>
      <w:rFonts w:ascii="Calibri" w:hAnsi="Calibri"/>
      <w:color w:val="7F7F7F" w:themeColor="text1" w:themeTint="80"/>
      <w:sz w:val="18"/>
      <w:lang w:val="en-GB" w:eastAsia="en-US"/>
    </w:rPr>
  </w:style>
  <w:style w:type="paragraph" w:customStyle="1" w:styleId="Head">
    <w:name w:val="Head"/>
    <w:basedOn w:val="Normal"/>
    <w:rsid w:val="004D1851"/>
    <w:pPr>
      <w:tabs>
        <w:tab w:val="left" w:pos="6663"/>
      </w:tabs>
      <w:overflowPunct/>
      <w:autoSpaceDE/>
      <w:autoSpaceDN/>
      <w:adjustRightInd/>
      <w:spacing w:before="0"/>
      <w:textAlignment w:val="auto"/>
    </w:pPr>
  </w:style>
  <w:style w:type="paragraph" w:customStyle="1" w:styleId="toc0">
    <w:name w:val="toc 0"/>
    <w:basedOn w:val="Normal"/>
    <w:next w:val="TOC1"/>
    <w:rsid w:val="00813E5E"/>
    <w:pPr>
      <w:tabs>
        <w:tab w:val="clear" w:pos="567"/>
        <w:tab w:val="clear" w:pos="1134"/>
        <w:tab w:val="clear" w:pos="1701"/>
        <w:tab w:val="clear" w:pos="2268"/>
        <w:tab w:val="clear" w:pos="2835"/>
        <w:tab w:val="right" w:pos="9781"/>
      </w:tabs>
    </w:pPr>
    <w:rPr>
      <w:b/>
    </w:rPr>
  </w:style>
  <w:style w:type="paragraph" w:styleId="List">
    <w:name w:val="List"/>
    <w:basedOn w:val="Normal"/>
    <w:rsid w:val="004D1851"/>
    <w:pPr>
      <w:tabs>
        <w:tab w:val="left" w:pos="2127"/>
      </w:tabs>
      <w:ind w:left="2127" w:hanging="2127"/>
    </w:pPr>
  </w:style>
  <w:style w:type="paragraph" w:customStyle="1" w:styleId="Part">
    <w:name w:val="Part"/>
    <w:basedOn w:val="Normal"/>
    <w:next w:val="Normal"/>
    <w:rsid w:val="00813E5E"/>
    <w:pPr>
      <w:tabs>
        <w:tab w:val="clear" w:pos="567"/>
        <w:tab w:val="clear" w:pos="1134"/>
        <w:tab w:val="clear" w:pos="1701"/>
        <w:tab w:val="clear" w:pos="2268"/>
        <w:tab w:val="clear" w:pos="2835"/>
      </w:tabs>
      <w:spacing w:before="600"/>
      <w:jc w:val="center"/>
    </w:pPr>
    <w:rPr>
      <w:caps/>
      <w:sz w:val="28"/>
    </w:rPr>
  </w:style>
  <w:style w:type="paragraph" w:customStyle="1" w:styleId="Source">
    <w:name w:val="Source"/>
    <w:basedOn w:val="Normal"/>
    <w:next w:val="Title1"/>
    <w:autoRedefine/>
    <w:rsid w:val="00676C7D"/>
    <w:pPr>
      <w:framePr w:hSpace="180" w:wrap="around" w:vAnchor="page" w:hAnchor="page" w:x="1821" w:y="2317"/>
      <w:spacing w:before="840"/>
    </w:pPr>
    <w:rPr>
      <w:b/>
      <w:sz w:val="32"/>
      <w:szCs w:val="32"/>
    </w:rPr>
  </w:style>
  <w:style w:type="paragraph" w:customStyle="1" w:styleId="meeting">
    <w:name w:val="meeting"/>
    <w:basedOn w:val="Head"/>
    <w:next w:val="Head"/>
    <w:rsid w:val="004D1851"/>
    <w:pPr>
      <w:tabs>
        <w:tab w:val="left" w:pos="7371"/>
      </w:tabs>
      <w:spacing w:after="567"/>
    </w:pPr>
  </w:style>
  <w:style w:type="paragraph" w:customStyle="1" w:styleId="Subject">
    <w:name w:val="Subject"/>
    <w:basedOn w:val="Normal"/>
    <w:next w:val="Source"/>
    <w:rsid w:val="004D1851"/>
    <w:pPr>
      <w:spacing w:before="0"/>
      <w:ind w:left="1134" w:hanging="1134"/>
    </w:pPr>
  </w:style>
  <w:style w:type="paragraph" w:customStyle="1" w:styleId="Object">
    <w:name w:val="Object"/>
    <w:basedOn w:val="Subject"/>
    <w:next w:val="Subject"/>
    <w:rsid w:val="004D1851"/>
  </w:style>
  <w:style w:type="paragraph" w:customStyle="1" w:styleId="Data">
    <w:name w:val="Data"/>
    <w:basedOn w:val="Subject"/>
    <w:next w:val="Subject"/>
    <w:rsid w:val="004D1851"/>
  </w:style>
  <w:style w:type="table" w:styleId="TableGrid">
    <w:name w:val="Table Grid"/>
    <w:basedOn w:val="TableNormal"/>
    <w:uiPriority w:val="39"/>
    <w:rsid w:val="00AD3606"/>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484009"/>
    <w:rPr>
      <w:color w:val="0563C1"/>
      <w:u w:val="single"/>
    </w:rPr>
  </w:style>
  <w:style w:type="paragraph" w:customStyle="1" w:styleId="FirstFooter">
    <w:name w:val="FirstFooter"/>
    <w:basedOn w:val="Footer"/>
    <w:rsid w:val="00813E5E"/>
    <w:rPr>
      <w:caps w:val="0"/>
    </w:rPr>
  </w:style>
  <w:style w:type="paragraph" w:customStyle="1" w:styleId="Note">
    <w:name w:val="Note"/>
    <w:basedOn w:val="Normal"/>
    <w:rsid w:val="00813E5E"/>
    <w:pPr>
      <w:tabs>
        <w:tab w:val="clear" w:pos="567"/>
        <w:tab w:val="left" w:pos="851"/>
      </w:tabs>
    </w:pPr>
  </w:style>
  <w:style w:type="paragraph" w:styleId="TOC9">
    <w:name w:val="toc 9"/>
    <w:basedOn w:val="TOC4"/>
    <w:rsid w:val="004D1851"/>
  </w:style>
  <w:style w:type="paragraph" w:customStyle="1" w:styleId="Headingb">
    <w:name w:val="Heading_b"/>
    <w:basedOn w:val="Heading3"/>
    <w:next w:val="Normal"/>
    <w:rsid w:val="00813E5E"/>
    <w:pPr>
      <w:spacing w:before="160"/>
      <w:outlineLvl w:val="0"/>
    </w:pPr>
  </w:style>
  <w:style w:type="character" w:styleId="FollowedHyperlink">
    <w:name w:val="FollowedHyperlink"/>
    <w:basedOn w:val="DefaultParagraphFont"/>
    <w:rsid w:val="00813E5E"/>
    <w:rPr>
      <w:color w:val="800080"/>
      <w:u w:val="single"/>
    </w:rPr>
  </w:style>
  <w:style w:type="paragraph" w:customStyle="1" w:styleId="Title1">
    <w:name w:val="Title 1"/>
    <w:basedOn w:val="Source"/>
    <w:next w:val="Title2"/>
    <w:rsid w:val="002C54E2"/>
    <w:pPr>
      <w:framePr w:wrap="around"/>
      <w:spacing w:before="240"/>
    </w:pPr>
    <w:rPr>
      <w:b w:val="0"/>
    </w:rPr>
  </w:style>
  <w:style w:type="paragraph" w:customStyle="1" w:styleId="Title2">
    <w:name w:val="Title 2"/>
    <w:basedOn w:val="Source"/>
    <w:next w:val="Title3"/>
    <w:rsid w:val="00813E5E"/>
    <w:pPr>
      <w:framePr w:wrap="around"/>
      <w:spacing w:before="240"/>
    </w:pPr>
    <w:rPr>
      <w:b w:val="0"/>
      <w:caps/>
    </w:rPr>
  </w:style>
  <w:style w:type="paragraph" w:customStyle="1" w:styleId="Title3">
    <w:name w:val="Title 3"/>
    <w:basedOn w:val="Title2"/>
    <w:next w:val="Normalaftertitle"/>
    <w:rsid w:val="00813E5E"/>
    <w:pPr>
      <w:framePr w:wrap="around"/>
    </w:pPr>
    <w:rPr>
      <w:caps w:val="0"/>
    </w:rPr>
  </w:style>
  <w:style w:type="paragraph" w:customStyle="1" w:styleId="Title4">
    <w:name w:val="Title 4"/>
    <w:basedOn w:val="Title3"/>
    <w:next w:val="Heading1"/>
    <w:rsid w:val="004D1851"/>
    <w:pPr>
      <w:framePr w:wrap="around"/>
    </w:pPr>
    <w:rPr>
      <w:b/>
    </w:rPr>
  </w:style>
  <w:style w:type="paragraph" w:customStyle="1" w:styleId="dnum">
    <w:name w:val="dnum"/>
    <w:basedOn w:val="Normal"/>
    <w:rsid w:val="004D1851"/>
    <w:pPr>
      <w:framePr w:hSpace="181" w:wrap="around" w:vAnchor="page" w:hAnchor="margin" w:y="852"/>
      <w:shd w:val="solid" w:color="FFFFFF" w:fill="FFFFFF"/>
      <w:tabs>
        <w:tab w:val="left" w:pos="1871"/>
      </w:tabs>
    </w:pPr>
    <w:rPr>
      <w:b/>
      <w:bCs/>
    </w:rPr>
  </w:style>
  <w:style w:type="paragraph" w:customStyle="1" w:styleId="ddate">
    <w:name w:val="ddate"/>
    <w:basedOn w:val="Normal"/>
    <w:rsid w:val="004D1851"/>
    <w:pPr>
      <w:framePr w:hSpace="181" w:wrap="around" w:vAnchor="page" w:hAnchor="margin" w:y="852"/>
      <w:shd w:val="solid" w:color="FFFFFF" w:fill="FFFFFF"/>
      <w:tabs>
        <w:tab w:val="left" w:pos="1871"/>
      </w:tabs>
      <w:spacing w:before="0"/>
    </w:pPr>
    <w:rPr>
      <w:b/>
      <w:bCs/>
    </w:rPr>
  </w:style>
  <w:style w:type="paragraph" w:customStyle="1" w:styleId="dorlang">
    <w:name w:val="dorlang"/>
    <w:basedOn w:val="Normal"/>
    <w:rsid w:val="004D1851"/>
    <w:pPr>
      <w:framePr w:hSpace="181" w:wrap="around" w:vAnchor="page" w:hAnchor="margin" w:y="852"/>
      <w:shd w:val="solid" w:color="FFFFFF" w:fill="FFFFFF"/>
      <w:tabs>
        <w:tab w:val="left" w:pos="1871"/>
      </w:tabs>
      <w:spacing w:before="0"/>
    </w:pPr>
    <w:rPr>
      <w:b/>
      <w:bCs/>
    </w:rPr>
  </w:style>
  <w:style w:type="paragraph" w:customStyle="1" w:styleId="AnnexNo">
    <w:name w:val="Annex_No"/>
    <w:basedOn w:val="Normal"/>
    <w:next w:val="Annexref"/>
    <w:rsid w:val="00813E5E"/>
    <w:pPr>
      <w:spacing w:before="720"/>
      <w:jc w:val="center"/>
    </w:pPr>
    <w:rPr>
      <w:caps/>
      <w:sz w:val="28"/>
    </w:rPr>
  </w:style>
  <w:style w:type="paragraph" w:customStyle="1" w:styleId="Annextitle">
    <w:name w:val="Annex_title"/>
    <w:basedOn w:val="Normal"/>
    <w:next w:val="Normal"/>
    <w:rsid w:val="00813E5E"/>
    <w:pPr>
      <w:spacing w:before="240" w:after="240"/>
      <w:jc w:val="center"/>
    </w:pPr>
    <w:rPr>
      <w:b/>
      <w:sz w:val="28"/>
    </w:rPr>
  </w:style>
  <w:style w:type="paragraph" w:customStyle="1" w:styleId="Annexref">
    <w:name w:val="Annex_ref"/>
    <w:basedOn w:val="Normal"/>
    <w:next w:val="Annextitle"/>
    <w:rsid w:val="00813E5E"/>
    <w:pPr>
      <w:jc w:val="center"/>
    </w:pPr>
  </w:style>
  <w:style w:type="paragraph" w:customStyle="1" w:styleId="AppendixNo">
    <w:name w:val="Appendix_No"/>
    <w:basedOn w:val="AnnexNo"/>
    <w:next w:val="Appendixref"/>
    <w:rsid w:val="00813E5E"/>
  </w:style>
  <w:style w:type="paragraph" w:customStyle="1" w:styleId="Appendixtitle">
    <w:name w:val="Appendix_title"/>
    <w:basedOn w:val="Annextitle"/>
    <w:next w:val="Normal"/>
    <w:rsid w:val="00813E5E"/>
  </w:style>
  <w:style w:type="paragraph" w:customStyle="1" w:styleId="Appendixref">
    <w:name w:val="Appendix_ref"/>
    <w:basedOn w:val="Annexref"/>
    <w:next w:val="Appendixtitle"/>
    <w:rsid w:val="00813E5E"/>
  </w:style>
  <w:style w:type="paragraph" w:customStyle="1" w:styleId="Call">
    <w:name w:val="Call"/>
    <w:basedOn w:val="Normal"/>
    <w:next w:val="Normal"/>
    <w:rsid w:val="00813E5E"/>
    <w:pPr>
      <w:keepNext/>
      <w:keepLines/>
      <w:tabs>
        <w:tab w:val="clear" w:pos="1134"/>
        <w:tab w:val="clear" w:pos="1701"/>
        <w:tab w:val="clear" w:pos="2268"/>
        <w:tab w:val="clear" w:pos="2835"/>
      </w:tabs>
      <w:spacing w:before="160"/>
      <w:ind w:left="567"/>
    </w:pPr>
    <w:rPr>
      <w:i/>
    </w:rPr>
  </w:style>
  <w:style w:type="paragraph" w:customStyle="1" w:styleId="Subtitle">
    <w:name w:val="Sub_title"/>
    <w:basedOn w:val="Title1"/>
    <w:qFormat/>
    <w:rsid w:val="00DF0189"/>
    <w:pPr>
      <w:framePr w:wrap="around" w:vAnchor="margin" w:hAnchor="text"/>
      <w:spacing w:before="120" w:after="160"/>
    </w:pPr>
  </w:style>
  <w:style w:type="paragraph" w:customStyle="1" w:styleId="Figure">
    <w:name w:val="Figure"/>
    <w:basedOn w:val="Normal"/>
    <w:next w:val="Figuretitle"/>
    <w:rsid w:val="004D1851"/>
    <w:pPr>
      <w:keepNext/>
      <w:keepLines/>
      <w:spacing w:after="120"/>
      <w:jc w:val="center"/>
    </w:pPr>
  </w:style>
  <w:style w:type="paragraph" w:customStyle="1" w:styleId="Figuretitle">
    <w:name w:val="Figure_title"/>
    <w:basedOn w:val="Tabletitle"/>
    <w:next w:val="Normalaftertitle"/>
    <w:rsid w:val="004D1851"/>
    <w:pPr>
      <w:spacing w:before="240" w:after="480"/>
    </w:pPr>
  </w:style>
  <w:style w:type="paragraph" w:customStyle="1" w:styleId="Tabletitle">
    <w:name w:val="Table_title"/>
    <w:basedOn w:val="TableNo"/>
    <w:next w:val="Tabletext"/>
    <w:rsid w:val="00813E5E"/>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813E5E"/>
    <w:pPr>
      <w:keepNext/>
      <w:spacing w:before="560" w:after="120"/>
      <w:jc w:val="center"/>
    </w:pPr>
    <w:rPr>
      <w:caps/>
    </w:rPr>
  </w:style>
  <w:style w:type="paragraph" w:customStyle="1" w:styleId="Tabletext">
    <w:name w:val="Table_text"/>
    <w:basedOn w:val="Normal"/>
    <w:rsid w:val="00C1771F"/>
    <w:pPr>
      <w:tabs>
        <w:tab w:val="clear" w:pos="567"/>
        <w:tab w:val="clear" w:pos="1134"/>
        <w:tab w:val="clear" w:pos="1701"/>
        <w:tab w:val="clear" w:pos="2268"/>
        <w:tab w:val="clear" w:pos="2835"/>
        <w:tab w:val="left" w:pos="284"/>
      </w:tabs>
      <w:spacing w:before="60" w:after="60"/>
    </w:pPr>
    <w:rPr>
      <w:sz w:val="22"/>
    </w:rPr>
  </w:style>
  <w:style w:type="paragraph" w:customStyle="1" w:styleId="Figurelegend">
    <w:name w:val="Figure_legend"/>
    <w:basedOn w:val="Normal"/>
    <w:rsid w:val="004D1851"/>
    <w:pPr>
      <w:keepNext/>
      <w:keepLines/>
      <w:spacing w:before="20" w:after="20"/>
    </w:pPr>
    <w:rPr>
      <w:sz w:val="18"/>
    </w:rPr>
  </w:style>
  <w:style w:type="paragraph" w:customStyle="1" w:styleId="FigureNo">
    <w:name w:val="Figure_No"/>
    <w:basedOn w:val="Normal"/>
    <w:next w:val="Figuretitle"/>
    <w:rsid w:val="004D1851"/>
    <w:pPr>
      <w:keepNext/>
      <w:keepLines/>
      <w:spacing w:before="240" w:after="120"/>
      <w:jc w:val="center"/>
    </w:pPr>
    <w:rPr>
      <w:caps/>
    </w:rPr>
  </w:style>
  <w:style w:type="paragraph" w:customStyle="1" w:styleId="Figurewithouttitle">
    <w:name w:val="Figure_without_title"/>
    <w:basedOn w:val="Figure"/>
    <w:next w:val="Normalaftertitle"/>
    <w:rsid w:val="004D1851"/>
    <w:pPr>
      <w:keepNext w:val="0"/>
      <w:spacing w:after="240"/>
    </w:pPr>
  </w:style>
  <w:style w:type="paragraph" w:customStyle="1" w:styleId="Headingi">
    <w:name w:val="Heading_i"/>
    <w:basedOn w:val="Heading3"/>
    <w:next w:val="Normal"/>
    <w:rsid w:val="00813E5E"/>
    <w:pPr>
      <w:spacing w:before="160"/>
      <w:outlineLvl w:val="0"/>
    </w:pPr>
    <w:rPr>
      <w:rFonts w:asciiTheme="minorHAnsi" w:hAnsiTheme="minorHAnsi"/>
      <w:b w:val="0"/>
      <w:i/>
    </w:rPr>
  </w:style>
  <w:style w:type="character" w:styleId="PageNumber">
    <w:name w:val="page number"/>
    <w:basedOn w:val="DefaultParagraphFont"/>
    <w:rsid w:val="00813E5E"/>
    <w:rPr>
      <w:rFonts w:ascii="Calibri" w:hAnsi="Calibri"/>
    </w:rPr>
  </w:style>
  <w:style w:type="paragraph" w:customStyle="1" w:styleId="PartNo">
    <w:name w:val="Part_No"/>
    <w:basedOn w:val="AnnexNo"/>
    <w:next w:val="Parttitle"/>
    <w:rsid w:val="004D1851"/>
  </w:style>
  <w:style w:type="paragraph" w:customStyle="1" w:styleId="Parttitle">
    <w:name w:val="Part_title"/>
    <w:basedOn w:val="Annextitle"/>
    <w:next w:val="Partref"/>
    <w:rsid w:val="004D1851"/>
  </w:style>
  <w:style w:type="paragraph" w:customStyle="1" w:styleId="Partref">
    <w:name w:val="Part_ref"/>
    <w:basedOn w:val="Annexref"/>
    <w:next w:val="Normalaftertitle"/>
    <w:rsid w:val="004D1851"/>
  </w:style>
  <w:style w:type="paragraph" w:customStyle="1" w:styleId="RecNo">
    <w:name w:val="Rec_No"/>
    <w:basedOn w:val="Normal"/>
    <w:next w:val="Rectitle"/>
    <w:rsid w:val="00813E5E"/>
    <w:pPr>
      <w:spacing w:before="720"/>
      <w:jc w:val="center"/>
    </w:pPr>
    <w:rPr>
      <w:caps/>
      <w:sz w:val="28"/>
    </w:rPr>
  </w:style>
  <w:style w:type="paragraph" w:customStyle="1" w:styleId="Rectitle">
    <w:name w:val="Rec_title"/>
    <w:basedOn w:val="Normal"/>
    <w:next w:val="Heading1"/>
    <w:rsid w:val="00813E5E"/>
    <w:pPr>
      <w:spacing w:before="240"/>
      <w:jc w:val="center"/>
    </w:pPr>
    <w:rPr>
      <w:b/>
      <w:sz w:val="28"/>
    </w:rPr>
  </w:style>
  <w:style w:type="paragraph" w:customStyle="1" w:styleId="Recref">
    <w:name w:val="Rec_ref"/>
    <w:basedOn w:val="Rectitle"/>
    <w:next w:val="Recdate"/>
    <w:rsid w:val="004D1851"/>
    <w:pPr>
      <w:spacing w:before="120"/>
    </w:pPr>
    <w:rPr>
      <w:rFonts w:ascii="Times New Roman" w:hAnsi="Times New Roman"/>
      <w:b w:val="0"/>
      <w:sz w:val="24"/>
    </w:rPr>
  </w:style>
  <w:style w:type="paragraph" w:customStyle="1" w:styleId="Recdate">
    <w:name w:val="Rec_date"/>
    <w:basedOn w:val="Recref"/>
    <w:next w:val="Normalaftertitle"/>
    <w:rsid w:val="004D1851"/>
    <w:pPr>
      <w:jc w:val="right"/>
    </w:pPr>
    <w:rPr>
      <w:sz w:val="22"/>
    </w:rPr>
  </w:style>
  <w:style w:type="paragraph" w:customStyle="1" w:styleId="Questiondate">
    <w:name w:val="Question_date"/>
    <w:basedOn w:val="Recdate"/>
    <w:next w:val="Normalaftertitle"/>
    <w:rsid w:val="004D1851"/>
  </w:style>
  <w:style w:type="paragraph" w:customStyle="1" w:styleId="QuestionNo">
    <w:name w:val="Question_No"/>
    <w:basedOn w:val="RecNo"/>
    <w:next w:val="Questiontitle"/>
    <w:rsid w:val="004D1851"/>
  </w:style>
  <w:style w:type="paragraph" w:customStyle="1" w:styleId="Questionref">
    <w:name w:val="Question_ref"/>
    <w:basedOn w:val="Recref"/>
    <w:next w:val="Questiondate"/>
    <w:rsid w:val="004D1851"/>
  </w:style>
  <w:style w:type="paragraph" w:customStyle="1" w:styleId="Questiontitle">
    <w:name w:val="Question_title"/>
    <w:basedOn w:val="Rectitle"/>
    <w:next w:val="Questionref"/>
    <w:rsid w:val="004D1851"/>
  </w:style>
  <w:style w:type="paragraph" w:customStyle="1" w:styleId="Reftext">
    <w:name w:val="Ref_text"/>
    <w:basedOn w:val="Normal"/>
    <w:rsid w:val="00813E5E"/>
    <w:pPr>
      <w:ind w:left="567" w:hanging="567"/>
    </w:pPr>
  </w:style>
  <w:style w:type="paragraph" w:customStyle="1" w:styleId="Reftitle">
    <w:name w:val="Ref_title"/>
    <w:basedOn w:val="Normal"/>
    <w:next w:val="Reftext"/>
    <w:rsid w:val="00813E5E"/>
    <w:pPr>
      <w:spacing w:before="480"/>
      <w:jc w:val="center"/>
    </w:pPr>
    <w:rPr>
      <w:caps/>
      <w:sz w:val="28"/>
    </w:rPr>
  </w:style>
  <w:style w:type="paragraph" w:customStyle="1" w:styleId="Resdate">
    <w:name w:val="Res_date"/>
    <w:basedOn w:val="Recdate"/>
    <w:next w:val="Normalaftertitle"/>
    <w:rsid w:val="004D1851"/>
  </w:style>
  <w:style w:type="paragraph" w:customStyle="1" w:styleId="ResNo">
    <w:name w:val="Res_No"/>
    <w:basedOn w:val="AnnexNo"/>
    <w:next w:val="Restitle"/>
    <w:rsid w:val="00813E5E"/>
  </w:style>
  <w:style w:type="paragraph" w:customStyle="1" w:styleId="Restitle">
    <w:name w:val="Res_title"/>
    <w:basedOn w:val="Annextitle"/>
    <w:next w:val="Normal"/>
    <w:rsid w:val="00813E5E"/>
  </w:style>
  <w:style w:type="paragraph" w:customStyle="1" w:styleId="Resref">
    <w:name w:val="Res_ref"/>
    <w:basedOn w:val="Recref"/>
    <w:next w:val="Resdate"/>
    <w:rsid w:val="004D1851"/>
  </w:style>
  <w:style w:type="paragraph" w:customStyle="1" w:styleId="SectionNo">
    <w:name w:val="Section_No"/>
    <w:basedOn w:val="AnnexNo"/>
    <w:next w:val="Sectiontitle"/>
    <w:rsid w:val="004D1851"/>
  </w:style>
  <w:style w:type="paragraph" w:customStyle="1" w:styleId="Sectiontitle">
    <w:name w:val="Section_title"/>
    <w:basedOn w:val="Normal"/>
    <w:next w:val="Normalaftertitle"/>
    <w:rsid w:val="004D1851"/>
    <w:rPr>
      <w:sz w:val="28"/>
    </w:rPr>
  </w:style>
  <w:style w:type="paragraph" w:customStyle="1" w:styleId="Tablehead">
    <w:name w:val="Table_head"/>
    <w:basedOn w:val="Tabletext"/>
    <w:rsid w:val="00813E5E"/>
    <w:pPr>
      <w:spacing w:before="120" w:after="120"/>
      <w:jc w:val="center"/>
    </w:pPr>
    <w:rPr>
      <w:b/>
    </w:rPr>
  </w:style>
  <w:style w:type="paragraph" w:customStyle="1" w:styleId="Tablelegend">
    <w:name w:val="Table_legend"/>
    <w:basedOn w:val="Tabletext"/>
    <w:rsid w:val="00813E5E"/>
    <w:pPr>
      <w:spacing w:before="120"/>
    </w:pPr>
  </w:style>
  <w:style w:type="paragraph" w:customStyle="1" w:styleId="Tableref">
    <w:name w:val="Table_ref"/>
    <w:basedOn w:val="Normal"/>
    <w:next w:val="Tabletitle"/>
    <w:rsid w:val="004D1851"/>
    <w:pPr>
      <w:keepNext/>
      <w:spacing w:before="567"/>
      <w:jc w:val="center"/>
    </w:pPr>
  </w:style>
  <w:style w:type="paragraph" w:customStyle="1" w:styleId="Artheading">
    <w:name w:val="Art_heading"/>
    <w:basedOn w:val="Normal"/>
    <w:next w:val="Normalaftertitle"/>
    <w:rsid w:val="00813E5E"/>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813E5E"/>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813E5E"/>
    <w:pPr>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813E5E"/>
  </w:style>
  <w:style w:type="paragraph" w:customStyle="1" w:styleId="Chaptitle">
    <w:name w:val="Chap_title"/>
    <w:basedOn w:val="Arttitle"/>
    <w:next w:val="Normal"/>
    <w:rsid w:val="00813E5E"/>
  </w:style>
  <w:style w:type="character" w:styleId="UnresolvedMention">
    <w:name w:val="Unresolved Mention"/>
    <w:basedOn w:val="DefaultParagraphFont"/>
    <w:uiPriority w:val="99"/>
    <w:semiHidden/>
    <w:unhideWhenUsed/>
    <w:rsid w:val="00FD7016"/>
    <w:rPr>
      <w:color w:val="605E5C"/>
      <w:shd w:val="clear" w:color="auto" w:fill="E1DFDD"/>
    </w:rPr>
  </w:style>
  <w:style w:type="character" w:styleId="PlaceholderText">
    <w:name w:val="Placeholder Text"/>
    <w:basedOn w:val="DefaultParagraphFont"/>
    <w:uiPriority w:val="99"/>
    <w:semiHidden/>
    <w:rsid w:val="000615DA"/>
    <w:rPr>
      <w:color w:val="666666"/>
    </w:rPr>
  </w:style>
  <w:style w:type="character" w:customStyle="1" w:styleId="normaltextrun">
    <w:name w:val="normaltextrun"/>
    <w:basedOn w:val="DefaultParagraphFont"/>
    <w:rsid w:val="00F16F10"/>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V-FT Char"/>
    <w:basedOn w:val="DefaultParagraphFont"/>
    <w:link w:val="FootnoteText"/>
    <w:qFormat/>
    <w:rsid w:val="00343D77"/>
    <w:rPr>
      <w:rFonts w:ascii="Calibri" w:hAnsi="Calibri"/>
      <w:sz w:val="22"/>
      <w:lang w:val="en-GB" w:eastAsia="en-US"/>
    </w:rPr>
  </w:style>
  <w:style w:type="paragraph" w:styleId="ListParagraph">
    <w:name w:val="List Paragraph"/>
    <w:aliases w:val="List Paragraph1,Recommendation,List Paragraph11,O5,Para_sk,Resume Title,- Bullets,Equipment,Numbered Indented Text,Figure_name,Bullet List,FooterText,numbered,Paragraphe de liste1,Bulletr List Paragraph,Bullet 1,Numbered Para 1,Dot pt,???"/>
    <w:basedOn w:val="Normal"/>
    <w:link w:val="ListParagraphChar"/>
    <w:uiPriority w:val="34"/>
    <w:qFormat/>
    <w:rsid w:val="00C26978"/>
    <w:pPr>
      <w:tabs>
        <w:tab w:val="clear" w:pos="567"/>
        <w:tab w:val="clear" w:pos="1701"/>
        <w:tab w:val="clear" w:pos="2835"/>
        <w:tab w:val="left" w:pos="1871"/>
      </w:tabs>
      <w:ind w:left="720"/>
      <w:contextualSpacing/>
    </w:pPr>
    <w:rPr>
      <w:rFonts w:asciiTheme="minorHAnsi" w:hAnsiTheme="minorHAnsi"/>
    </w:rPr>
  </w:style>
  <w:style w:type="character" w:customStyle="1" w:styleId="ListParagraphChar">
    <w:name w:val="List Paragraph Char"/>
    <w:aliases w:val="List Paragraph1 Char,Recommendation Char,List Paragraph11 Char,O5 Char,Para_sk Char,Resume Title Char,- Bullets Char,Equipment Char,Numbered Indented Text Char,Figure_name Char,Bullet List Char,FooterText Char,numbered Char,??? Char"/>
    <w:link w:val="ListParagraph"/>
    <w:uiPriority w:val="34"/>
    <w:qFormat/>
    <w:rsid w:val="00C26978"/>
    <w:rPr>
      <w:rFonts w:asciiTheme="minorHAnsi" w:hAnsiTheme="minorHAnsi"/>
      <w:sz w:val="24"/>
      <w:lang w:val="en-GB" w:eastAsia="en-US"/>
    </w:rPr>
  </w:style>
  <w:style w:type="table" w:customStyle="1" w:styleId="GridTable4-Accent12">
    <w:name w:val="Grid Table 4 - Accent 12"/>
    <w:basedOn w:val="TableNormal"/>
    <w:uiPriority w:val="49"/>
    <w:rsid w:val="00C26978"/>
    <w:rPr>
      <w:rFonts w:asciiTheme="minorHAnsi" w:eastAsiaTheme="minorHAnsi" w:hAnsiTheme="minorHAnsi" w:cstheme="minorBidi"/>
      <w:sz w:val="22"/>
      <w:szCs w:val="22"/>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Reasons">
    <w:name w:val="Reasons"/>
    <w:basedOn w:val="Normal"/>
    <w:qFormat/>
    <w:rsid w:val="00C1771F"/>
    <w:pPr>
      <w:tabs>
        <w:tab w:val="clear" w:pos="567"/>
        <w:tab w:val="clear" w:pos="1134"/>
        <w:tab w:val="clear" w:pos="1701"/>
        <w:tab w:val="clear" w:pos="2268"/>
        <w:tab w:val="clear" w:pos="2835"/>
      </w:tabs>
      <w:overflowPunct/>
      <w:autoSpaceDE/>
      <w:autoSpaceDN/>
      <w:adjustRightInd/>
      <w:spacing w:before="0"/>
      <w:textAlignment w:val="auto"/>
    </w:pPr>
    <w:rPr>
      <w:rFonts w:ascii="Times New Roman" w:hAnsi="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tu.int/md/S24-CL-C-0139/en"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itu.int/itu-d/meetings/wtdc25/wp-content/uploads/sites/29/2025/11/090-E.pdf"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tu.int/en/council/CWG-SFP-2028-2031/Pages/default.aspx"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3.xml.rels><?xml version="1.0" encoding="UTF-8" standalone="yes"?>
<Relationships xmlns="http://schemas.openxmlformats.org/package/2006/relationships"><Relationship Id="rId1" Type="http://schemas.openxmlformats.org/officeDocument/2006/relationships/hyperlink" Target="https://council.itu.int/2026/en/working-groups/"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14E447ED7B9DA4C9F10BB2808D9DCA9" ma:contentTypeVersion="3" ma:contentTypeDescription="Create a new document." ma:contentTypeScope="" ma:versionID="7c7b6365ae85304ed038584fec3de209">
  <xsd:schema xmlns:xsd="http://www.w3.org/2001/XMLSchema" xmlns:xs="http://www.w3.org/2001/XMLSchema" xmlns:p="http://schemas.microsoft.com/office/2006/metadata/properties" xmlns:ns2="a4c22657-7647-457b-a399-8471255bb166" targetNamespace="http://schemas.microsoft.com/office/2006/metadata/properties" ma:root="true" ma:fieldsID="716c1f24c9963eeb1e0ffe3860f8f798" ns2:_="">
    <xsd:import namespace="a4c22657-7647-457b-a399-8471255bb16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c22657-7647-457b-a399-8471255bb1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84C96D-E375-45CB-BB1D-B58D8839581E}">
  <ds:schemaRefs>
    <ds:schemaRef ds:uri="http://schemas.microsoft.com/sharepoint/v3/contenttype/forms"/>
  </ds:schemaRefs>
</ds:datastoreItem>
</file>

<file path=customXml/itemProps2.xml><?xml version="1.0" encoding="utf-8"?>
<ds:datastoreItem xmlns:ds="http://schemas.openxmlformats.org/officeDocument/2006/customXml" ds:itemID="{4A28CAAE-FEB0-4559-9020-B3E0D3888E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c22657-7647-457b-a399-8471255bb1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346F0DA-60B6-4945-8CEF-3FEB131D7E0F}">
  <ds:schemaRefs>
    <ds:schemaRef ds:uri="http://schemas.microsoft.com/office/2006/documentManagement/types"/>
    <ds:schemaRef ds:uri="http://www.w3.org/XML/1998/namespace"/>
    <ds:schemaRef ds:uri="http://schemas.openxmlformats.org/package/2006/metadata/core-properties"/>
    <ds:schemaRef ds:uri="http://schemas.microsoft.com/office/2006/metadata/properties"/>
    <ds:schemaRef ds:uri="a4c22657-7647-457b-a399-8471255bb166"/>
    <ds:schemaRef ds:uri="http://purl.org/dc/terms/"/>
    <ds:schemaRef ds:uri="http://schemas.microsoft.com/office/infopath/2007/PartnerControls"/>
    <ds:schemaRef ds:uri="http://purl.org/dc/dcmitype/"/>
    <ds:schemaRef ds:uri="http://purl.org/dc/elements/1.1/"/>
  </ds:schemaRefs>
</ds:datastoreItem>
</file>

<file path=customXml/itemProps4.xml><?xml version="1.0" encoding="utf-8"?>
<ds:datastoreItem xmlns:ds="http://schemas.openxmlformats.org/officeDocument/2006/customXml" ds:itemID="{4602B4DE-FC73-46C6-BFF6-6457901D36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1349</Words>
  <Characters>9541</Characters>
  <Application>Microsoft Office Word</Application>
  <DocSecurity>0</DocSecurity>
  <Lines>244</Lines>
  <Paragraphs>59</Paragraphs>
  <ScaleCrop>false</ScaleCrop>
  <HeadingPairs>
    <vt:vector size="2" baseType="variant">
      <vt:variant>
        <vt:lpstr>Title</vt:lpstr>
      </vt:variant>
      <vt:variant>
        <vt:i4>1</vt:i4>
      </vt:variant>
    </vt:vector>
  </HeadingPairs>
  <TitlesOfParts>
    <vt:vector size="1" baseType="lpstr">
      <vt:lpstr>ITU-D contribution to the draft strategic plan 2028-2031</vt:lpstr>
    </vt:vector>
  </TitlesOfParts>
  <Manager/>
  <Company/>
  <LinksUpToDate>false</LinksUpToDate>
  <CharactersWithSpaces>10831</CharactersWithSpaces>
  <SharedDoc>false</SharedDoc>
  <HLinks>
    <vt:vector size="24" baseType="variant">
      <vt:variant>
        <vt:i4>8257599</vt:i4>
      </vt:variant>
      <vt:variant>
        <vt:i4>6</vt:i4>
      </vt:variant>
      <vt:variant>
        <vt:i4>0</vt:i4>
      </vt:variant>
      <vt:variant>
        <vt:i4>5</vt:i4>
      </vt:variant>
      <vt:variant>
        <vt:lpwstr>https://www.itu.int/md/S24-CL-C-0139/en</vt:lpwstr>
      </vt:variant>
      <vt:variant>
        <vt:lpwstr/>
      </vt:variant>
      <vt:variant>
        <vt:i4>7078007</vt:i4>
      </vt:variant>
      <vt:variant>
        <vt:i4>3</vt:i4>
      </vt:variant>
      <vt:variant>
        <vt:i4>0</vt:i4>
      </vt:variant>
      <vt:variant>
        <vt:i4>5</vt:i4>
      </vt:variant>
      <vt:variant>
        <vt:lpwstr>https://www.itu.int/itu-d/meetings/wtdc25/wp-content/uploads/sites/29/2025/11/090-E.pdf</vt:lpwstr>
      </vt:variant>
      <vt:variant>
        <vt:lpwstr/>
      </vt:variant>
      <vt:variant>
        <vt:i4>7929957</vt:i4>
      </vt:variant>
      <vt:variant>
        <vt:i4>0</vt:i4>
      </vt:variant>
      <vt:variant>
        <vt:i4>0</vt:i4>
      </vt:variant>
      <vt:variant>
        <vt:i4>5</vt:i4>
      </vt:variant>
      <vt:variant>
        <vt:lpwstr>https://www.itu.int/en/council/CWG-SFP-2028-2031/Pages/default.aspx</vt:lpwstr>
      </vt:variant>
      <vt:variant>
        <vt:lpwstr/>
      </vt:variant>
      <vt:variant>
        <vt:i4>3342442</vt:i4>
      </vt:variant>
      <vt:variant>
        <vt:i4>3</vt:i4>
      </vt:variant>
      <vt:variant>
        <vt:i4>0</vt:i4>
      </vt:variant>
      <vt:variant>
        <vt:i4>5</vt:i4>
      </vt:variant>
      <vt:variant>
        <vt:lpwstr>https://council.itu.int/2026/en/working-groups/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ITU-D contribution to the draft strategic plan 2028-2031</dc:title>
  <dc:subject>ITU Council Working Group on Financial and Human Resources</dc:subject>
  <cp:keywords>CWG-SFP; Council-26; C26</cp:keywords>
  <dc:description/>
  <dcterms:created xsi:type="dcterms:W3CDTF">2025-12-15T14:58:00Z</dcterms:created>
  <dcterms:modified xsi:type="dcterms:W3CDTF">2025-12-15T15:03:00Z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6caf5121-f2ae-40bb-ab58-c6da6554d442</vt:lpwstr>
  </property>
  <property fmtid="{D5CDD505-2E9C-101B-9397-08002B2CF9AE}" pid="3" name="ContentTypeId">
    <vt:lpwstr>0x010100814E447ED7B9DA4C9F10BB2808D9DCA9</vt:lpwstr>
  </property>
  <property fmtid="{D5CDD505-2E9C-101B-9397-08002B2CF9AE}" pid="4" name="docLang">
    <vt:lpwstr>en</vt:lpwstr>
  </property>
</Properties>
</file>