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A7C3F" w14:paraId="0043AC80" w14:textId="77777777" w:rsidTr="00AD3606">
        <w:trPr>
          <w:cantSplit/>
          <w:trHeight w:val="23"/>
        </w:trPr>
        <w:tc>
          <w:tcPr>
            <w:tcW w:w="3969" w:type="dxa"/>
            <w:vMerge w:val="restart"/>
            <w:tcMar>
              <w:left w:w="0" w:type="dxa"/>
            </w:tcMar>
          </w:tcPr>
          <w:p w14:paraId="60A806D3" w14:textId="181AB28B"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5CC07AF"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w:t>
            </w:r>
            <w:r w:rsidR="00503A00">
              <w:rPr>
                <w:b/>
                <w:lang w:val="it-IT"/>
              </w:rPr>
              <w:t>2</w:t>
            </w:r>
            <w:r w:rsidRPr="00A94376">
              <w:rPr>
                <w:b/>
                <w:lang w:val="it-IT"/>
              </w:rPr>
              <w:t>/</w:t>
            </w:r>
            <w:r w:rsidR="00BF455D">
              <w:rPr>
                <w:b/>
                <w:lang w:val="it-IT"/>
              </w:rPr>
              <w:t>INF/</w:t>
            </w:r>
            <w:r w:rsidR="000C37A5">
              <w:rPr>
                <w:b/>
                <w:lang w:val="it-IT"/>
              </w:rPr>
              <w:t>6</w:t>
            </w:r>
          </w:p>
        </w:tc>
      </w:tr>
      <w:tr w:rsidR="00AD3606" w:rsidRPr="00A94376" w14:paraId="789B45BA" w14:textId="77777777" w:rsidTr="00AD3606">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430E3BAC" w:rsidR="00AD3606" w:rsidRPr="00A94376" w:rsidRDefault="000C37A5" w:rsidP="00AD3606">
            <w:pPr>
              <w:tabs>
                <w:tab w:val="left" w:pos="851"/>
              </w:tabs>
              <w:spacing w:before="0"/>
              <w:jc w:val="right"/>
              <w:rPr>
                <w:b/>
              </w:rPr>
            </w:pPr>
            <w:r>
              <w:rPr>
                <w:b/>
              </w:rPr>
              <w:t>29</w:t>
            </w:r>
            <w:r w:rsidR="00BF455D">
              <w:rPr>
                <w:b/>
              </w:rPr>
              <w:t xml:space="preserve"> January </w:t>
            </w:r>
            <w:r w:rsidR="00F46F77">
              <w:rPr>
                <w:b/>
              </w:rPr>
              <w:t>202</w:t>
            </w:r>
            <w:r w:rsidR="00BF455D">
              <w:rPr>
                <w:b/>
              </w:rPr>
              <w:t>6</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bl>
    <w:p w14:paraId="63E5A1F7" w14:textId="738ED940" w:rsidR="00F46F77" w:rsidRPr="001B5E4F" w:rsidRDefault="001B5E4F" w:rsidP="0063535B">
      <w:pPr>
        <w:tabs>
          <w:tab w:val="clear" w:pos="567"/>
          <w:tab w:val="clear" w:pos="1134"/>
          <w:tab w:val="clear" w:pos="1701"/>
          <w:tab w:val="left" w:pos="794"/>
          <w:tab w:val="left" w:pos="1191"/>
          <w:tab w:val="left" w:pos="1588"/>
          <w:tab w:val="left" w:pos="1985"/>
        </w:tabs>
        <w:spacing w:before="480"/>
        <w:jc w:val="center"/>
        <w:rPr>
          <w:rFonts w:cs="Calibri"/>
          <w:b/>
          <w:sz w:val="32"/>
          <w:szCs w:val="32"/>
        </w:rPr>
      </w:pPr>
      <w:bookmarkStart w:id="8" w:name="_Hlk133421428"/>
      <w:bookmarkEnd w:id="2"/>
      <w:bookmarkEnd w:id="7"/>
      <w:r w:rsidRPr="001B5E4F">
        <w:rPr>
          <w:b/>
          <w:bCs/>
          <w:sz w:val="32"/>
          <w:szCs w:val="32"/>
        </w:rPr>
        <w:t xml:space="preserve">ITU SECRETARY-GENERAL OPENING REMARKS </w:t>
      </w:r>
      <w:r w:rsidR="00BF455D" w:rsidRPr="001B5E4F">
        <w:rPr>
          <w:rFonts w:cs="Calibri"/>
          <w:b/>
          <w:sz w:val="32"/>
          <w:szCs w:val="32"/>
        </w:rPr>
        <w:t>– CWG on FHR</w:t>
      </w:r>
    </w:p>
    <w:p w14:paraId="74646242" w14:textId="77777777" w:rsidR="001B5E4F" w:rsidRDefault="001B5E4F" w:rsidP="00A26C1B">
      <w:pPr>
        <w:pStyle w:val="Summary"/>
        <w:spacing w:before="480"/>
      </w:pPr>
      <w:r>
        <w:t>Thank you. Thank you so much Madame Chair. Ladies and Gentlemen - good afternoon and welcome to the 22</w:t>
      </w:r>
      <w:r w:rsidRPr="6CD8312B">
        <w:rPr>
          <w:vertAlign w:val="superscript"/>
        </w:rPr>
        <w:t>nd</w:t>
      </w:r>
      <w:r>
        <w:t xml:space="preserve"> meeting on the Council Working Group on Financial and Human Resources. Let me start by, since I didn’t have a chance to see you on Monday, wishing a very Happy New Year. Last year proved to be an active one, marked by the 20-year review of the WSIS by the UN General Assembly, a highly successful WTDC 25, and of course, the 160th anniversary of this great Union. Milestones that reminded us both of our enduring mandate and responsibility to build a better digital future together. </w:t>
      </w:r>
    </w:p>
    <w:p w14:paraId="4A1A6933" w14:textId="77777777" w:rsidR="001B5E4F" w:rsidRDefault="001B5E4F" w:rsidP="00A26C1B">
      <w:pPr>
        <w:pStyle w:val="Summary"/>
      </w:pPr>
      <w:r>
        <w:t xml:space="preserve">Over the past few months, the Secretariat has worked hard to keep you updated on the progress made since our last gathering in September. To this end, we have held </w:t>
      </w:r>
      <w:proofErr w:type="gramStart"/>
      <w:r>
        <w:t>a number of</w:t>
      </w:r>
      <w:proofErr w:type="gramEnd"/>
      <w:r>
        <w:t xml:space="preserve"> information briefings, including one on the updated methodology for satellite network filings, the preliminary findings of the review of the ITU regional presence based on our membership survey and the process to select host countries for ITU conferences and assemblies. I do hope that you have found those information sessions useful and they will aid your forthcoming deliberations that will help guide us as we prepare for the ITU celebrations in April and of course as we look forward to the Plenipotentiary Conference this year in Doha.</w:t>
      </w:r>
    </w:p>
    <w:p w14:paraId="7242A0AB" w14:textId="77777777" w:rsidR="001B5E4F" w:rsidRDefault="001B5E4F" w:rsidP="00A26C1B">
      <w:pPr>
        <w:pStyle w:val="Summary"/>
      </w:pPr>
      <w:r>
        <w:t xml:space="preserve">The council working groups have been underway since Monday, and as I told the CWG-SFP on Monday and as I told you Madam Chair,  we are coming to the end of the Council Working Group cycle for 2022 to 2026 and as this cycle closes our Chair will start to elaborate that four-year report and the Chairs of the other council working groups will do the same. And they will be making recommendations to the Plenipotentiary on whether to maintain, modify, or terminate their groups and how they might run more efficiently going forward. So, I would encourage all of you to reflect on the work that has been accomplished by this specific group over the past four years and especially how the council working group process overall may become more agile, more dynamic, and more efficient. And I would invite you to share any suggestions or thoughts with the Chairs because in addition to FHR, time and space, physical meeting space (in the case of our new headquarters project) I would say they are becoming increasingly precious resources. I do look forward to your ideas and welcome any suggestions about how we can make this more efficient and </w:t>
      </w:r>
      <w:proofErr w:type="gramStart"/>
      <w:r>
        <w:t>effective</w:t>
      </w:r>
      <w:proofErr w:type="gramEnd"/>
      <w:r>
        <w:t xml:space="preserve"> going forward. </w:t>
      </w:r>
    </w:p>
    <w:p w14:paraId="011AA37B" w14:textId="77777777" w:rsidR="001B5E4F" w:rsidRDefault="001B5E4F" w:rsidP="00A26C1B">
      <w:pPr>
        <w:pStyle w:val="Summary"/>
      </w:pPr>
      <w:proofErr w:type="gramStart"/>
      <w:r>
        <w:t>Turning,</w:t>
      </w:r>
      <w:proofErr w:type="gramEnd"/>
      <w:r>
        <w:t xml:space="preserve"> Madam </w:t>
      </w:r>
      <w:proofErr w:type="gramStart"/>
      <w:r>
        <w:t>Chair,</w:t>
      </w:r>
      <w:proofErr w:type="gramEnd"/>
      <w:r>
        <w:t xml:space="preserve"> to the agenda of this meeting, this 22nd meeting has received  11 contributions from Member States and Sector Members. Those contributions cover a range of issues, from ensuring business continuity and cost effectiveness to prioritizing and concretizing our transformation efforts.</w:t>
      </w:r>
    </w:p>
    <w:p w14:paraId="75FE53C3" w14:textId="77777777" w:rsidR="001B5E4F" w:rsidRDefault="001B5E4F" w:rsidP="00A26C1B">
      <w:pPr>
        <w:pStyle w:val="Summary"/>
      </w:pPr>
      <w:r>
        <w:lastRenderedPageBreak/>
        <w:t xml:space="preserve">ITU’s transformation journey began in 2023 when the Council endorsed the transformation road map, developed following the call from the previous cycle strategic plan and continued with the establishment of the transformation team. Your support and close ITU wide collaboration have enabled us to make significant progress that we will be sharing with you at this meeting. </w:t>
      </w:r>
    </w:p>
    <w:p w14:paraId="38E054E1" w14:textId="77777777" w:rsidR="001B5E4F" w:rsidRDefault="001B5E4F" w:rsidP="00A26C1B">
      <w:pPr>
        <w:pStyle w:val="Summary"/>
      </w:pPr>
      <w:r>
        <w:t xml:space="preserve">I would say following feedback from both Council and IMAC we have, and you’ll see that this week, sharpened our focus by consolidating efforts </w:t>
      </w:r>
      <w:proofErr w:type="gramStart"/>
      <w:r>
        <w:t>and also</w:t>
      </w:r>
      <w:proofErr w:type="gramEnd"/>
      <w:r>
        <w:t xml:space="preserve"> by prioritizing key deliverables for 2026, making improvements that our Members as well as our staff will be able to see and feel. 2026 will see us continue to modernize ITU to serve you better.</w:t>
      </w:r>
    </w:p>
    <w:p w14:paraId="1125167B" w14:textId="77777777" w:rsidR="001B5E4F" w:rsidRDefault="001B5E4F" w:rsidP="00A26C1B">
      <w:pPr>
        <w:pStyle w:val="Summary"/>
      </w:pPr>
      <w:r>
        <w:t>That means helping you get more out of your investment in the Union, and as the UN agency for digital technologies</w:t>
      </w:r>
      <w:proofErr w:type="gramStart"/>
      <w:r>
        <w:t>, of course</w:t>
      </w:r>
      <w:proofErr w:type="gramEnd"/>
      <w:r>
        <w:t xml:space="preserve"> artificial intelligence </w:t>
      </w:r>
      <w:proofErr w:type="gramStart"/>
      <w:r>
        <w:t>has to</w:t>
      </w:r>
      <w:proofErr w:type="gramEnd"/>
      <w:r>
        <w:t xml:space="preserve"> be part of it. And to achieve this, we are investing in skilling and making AI tools available to our staff. Because when our staff evolve, so too does the Union as a whole. Our aim is to become an increasingly lean, cost-efficient, agile organization that is constantly learning and adapting to a shifting digital AI driven environment.</w:t>
      </w:r>
    </w:p>
    <w:p w14:paraId="56DC1EE2" w14:textId="77777777" w:rsidR="001B5E4F" w:rsidRDefault="001B5E4F" w:rsidP="00A26C1B">
      <w:pPr>
        <w:pStyle w:val="Summary"/>
      </w:pPr>
      <w:r>
        <w:t>Ladies and gentlemen - our prudent financial management is also proving to be both efficient and effective, and I do want to thank you for your guidance and helping us to be able to find ways to transform while also managing our resources even more responsibly, transparently, and in ways that are responsive to the realities and also the challenges that are facing you, our Members.</w:t>
      </w:r>
    </w:p>
    <w:p w14:paraId="5599B8C4" w14:textId="77777777" w:rsidR="001B5E4F" w:rsidRDefault="001B5E4F" w:rsidP="00A26C1B">
      <w:pPr>
        <w:pStyle w:val="Summary"/>
      </w:pPr>
      <w:r>
        <w:t xml:space="preserve">In that spirit, allow me to recall your decision to maintain the value of the contributory unit at its current level of 318,000 CHF. This is going to require us to continue prioritizing our resources wisely in ways that ensure further efficiencies, and I would, as I did at our last gathering, </w:t>
      </w:r>
      <w:proofErr w:type="gramStart"/>
      <w:r>
        <w:t>I would urge</w:t>
      </w:r>
      <w:proofErr w:type="gramEnd"/>
      <w:r>
        <w:t xml:space="preserve"> each Member State to consider increasing your support to the Union so that we may bring you even more value.</w:t>
      </w:r>
    </w:p>
    <w:p w14:paraId="055209EE" w14:textId="77777777" w:rsidR="001B5E4F" w:rsidRDefault="001B5E4F" w:rsidP="00A26C1B">
      <w:pPr>
        <w:pStyle w:val="Summary"/>
      </w:pPr>
      <w:r>
        <w:t xml:space="preserve">As you know, work continues in the development of our strategic and financial plan for </w:t>
      </w:r>
      <w:proofErr w:type="gramStart"/>
      <w:r>
        <w:t>2028/2031</w:t>
      </w:r>
      <w:proofErr w:type="gramEnd"/>
      <w:r>
        <w:t xml:space="preserve"> and I want to commend our distinguished Chair of that working group who wrapped up this morning and thank him for his efforts. And as you mentioned, Madam Chair, it is planned to have a joint meeting in April of the Council Working Group on SFP and the Council Working Group on FHR just before Council to give you enough time to participate in those discussions and to have the documentation ready to submit directly to Council.</w:t>
      </w:r>
    </w:p>
    <w:p w14:paraId="375390F4" w14:textId="77777777" w:rsidR="001B5E4F" w:rsidRDefault="001B5E4F" w:rsidP="00A26C1B">
      <w:pPr>
        <w:pStyle w:val="Summary"/>
      </w:pPr>
      <w:r>
        <w:t xml:space="preserve">I would say, Madam Chair, another important issue before this group concerns the </w:t>
      </w:r>
      <w:proofErr w:type="gramStart"/>
      <w:r>
        <w:t>after service</w:t>
      </w:r>
      <w:proofErr w:type="gramEnd"/>
      <w:r>
        <w:t xml:space="preserve"> health insurance known as ASHI, an important topic for many of you. I think it’s a challenge not unique to the ITU but shared across the entire UN system and in line with the recommendations of the Joint Inspection Unit and the Independent Management Advisory Committee and following the work of the UN system-wide ASHI working group. </w:t>
      </w:r>
    </w:p>
    <w:p w14:paraId="1BECC1E6" w14:textId="77777777" w:rsidR="001B5E4F" w:rsidRDefault="001B5E4F" w:rsidP="00A26C1B">
      <w:pPr>
        <w:pStyle w:val="Summary"/>
      </w:pPr>
      <w:r>
        <w:t>We have decided to implement a 5.35% contribution rate for all new staff recruited as from the 1st of January 2026. And this is part of our ongoing efforts to address ASHI in a responsible and coordinated manner.</w:t>
      </w:r>
    </w:p>
    <w:p w14:paraId="64D7658D" w14:textId="77777777" w:rsidR="001B5E4F" w:rsidRDefault="001B5E4F" w:rsidP="00A26C1B">
      <w:pPr>
        <w:pStyle w:val="Summary"/>
      </w:pPr>
      <w:proofErr w:type="gramStart"/>
      <w:r>
        <w:t>In light of</w:t>
      </w:r>
      <w:proofErr w:type="gramEnd"/>
      <w:r>
        <w:t xml:space="preserve"> our mandate on universal connectivity, ITU’s regional presence remains key- to ensuring that we serve the needs of all Members across the globe. Significant </w:t>
      </w:r>
      <w:proofErr w:type="gramStart"/>
      <w:r>
        <w:t>work</w:t>
      </w:r>
      <w:proofErr w:type="gramEnd"/>
      <w:r>
        <w:t xml:space="preserve"> as you have seen, has been conducted in the review of ITU’s regional presence and this meeting will deliberate on interim recommendations as well as Member State input to this important initiative.</w:t>
      </w:r>
    </w:p>
    <w:p w14:paraId="365FB9A0" w14:textId="77777777" w:rsidR="001B5E4F" w:rsidRDefault="001B5E4F" w:rsidP="00A26C1B">
      <w:pPr>
        <w:pStyle w:val="Summary"/>
      </w:pPr>
      <w:r>
        <w:lastRenderedPageBreak/>
        <w:t xml:space="preserve">Ladies and gentlemen - our people, our staff, are the beating heart of this Union. They are also at the core of this working group’s mandate, and over the next few days you will also be discussing recommendations on improving human resource management and boosting staff engagement, with the aim of ensuring that it remains an effective and attractive </w:t>
      </w:r>
      <w:proofErr w:type="gramStart"/>
      <w:r>
        <w:t>employer</w:t>
      </w:r>
      <w:proofErr w:type="gramEnd"/>
      <w:r>
        <w:t>.</w:t>
      </w:r>
    </w:p>
    <w:p w14:paraId="1160FC14" w14:textId="77777777" w:rsidR="001B5E4F" w:rsidRDefault="001B5E4F" w:rsidP="00A26C1B">
      <w:pPr>
        <w:pStyle w:val="Summary"/>
      </w:pPr>
      <w:r>
        <w:t xml:space="preserve">You will also take up </w:t>
      </w:r>
      <w:proofErr w:type="gramStart"/>
      <w:r>
        <w:t>a number of</w:t>
      </w:r>
      <w:proofErr w:type="gramEnd"/>
      <w:r>
        <w:t xml:space="preserve"> strategic and operational issues, including further strengthening of risk management and internal controls. This is a priority area where our auditors have asked that we focus and review our arrangements. We are also very much looking forward to presenting you with a consolidated vision for our headquarters project and our campus strategic plan.</w:t>
      </w:r>
    </w:p>
    <w:p w14:paraId="50B353A5" w14:textId="77777777" w:rsidR="001B5E4F" w:rsidRDefault="001B5E4F" w:rsidP="00A26C1B">
      <w:pPr>
        <w:pStyle w:val="Summary"/>
      </w:pPr>
      <w:r>
        <w:t>Ladies and gentlemen, I also want to add that we do meet at a moment when the UN system is undergoing profound change. The UN80 effort is the system’s response to real pressures, and it will reshape how we work.</w:t>
      </w:r>
    </w:p>
    <w:p w14:paraId="0A9CCC9E" w14:textId="77777777" w:rsidR="001B5E4F" w:rsidRDefault="001B5E4F" w:rsidP="00A26C1B">
      <w:pPr>
        <w:pStyle w:val="Summary"/>
      </w:pPr>
      <w:r>
        <w:t xml:space="preserve">While ITU may not be facing the turbulence that others are confronting, we </w:t>
      </w:r>
      <w:proofErr w:type="gramStart"/>
      <w:r>
        <w:t>have to</w:t>
      </w:r>
      <w:proofErr w:type="gramEnd"/>
      <w:r>
        <w:t xml:space="preserve"> maintain disciplined financial stewardship, operational efficiencies and continue to advance transformation. The UN80 will touch our strategy and operations positively, we believe, by sharpening impact and efficiency. </w:t>
      </w:r>
    </w:p>
    <w:p w14:paraId="3C627D8D" w14:textId="77777777" w:rsidR="001B5E4F" w:rsidRDefault="001B5E4F" w:rsidP="00A26C1B">
      <w:pPr>
        <w:pStyle w:val="Summary"/>
      </w:pPr>
      <w:r>
        <w:t xml:space="preserve">The UN Secretary-General has asked ITU to lead two flagship efforts, the expertise on </w:t>
      </w:r>
      <w:proofErr w:type="gramStart"/>
      <w:r>
        <w:t>demand mechanism</w:t>
      </w:r>
      <w:proofErr w:type="gramEnd"/>
      <w:r>
        <w:t xml:space="preserve"> together with partners, and the Technology Acceleration platform. These are key initiatives that will maximize UN support to countries and scale digital solutions across the United Nations. ITU is also actively contributing across multiple -we call them work packages as part of this UN80 reform. We are contributing to the different work packages, and our leadership role places us, we believe, in a strong position not merely as recipients of reform, but active shapers of system wide outcomes.</w:t>
      </w:r>
    </w:p>
    <w:p w14:paraId="29774DE2" w14:textId="77777777" w:rsidR="001B5E4F" w:rsidRDefault="001B5E4F" w:rsidP="00A26C1B">
      <w:pPr>
        <w:pStyle w:val="Summary"/>
      </w:pPr>
      <w:r>
        <w:t xml:space="preserve">As we consider the items before this Council working group, from strengthening our regional presence to advancing our digital strategy and ensuring effective mandate implementation, our deliberations </w:t>
      </w:r>
      <w:proofErr w:type="gramStart"/>
      <w:r>
        <w:t>actually offer</w:t>
      </w:r>
      <w:proofErr w:type="gramEnd"/>
      <w:r>
        <w:t xml:space="preserve"> a unique opportunity for us to align ITU’s operations with these UN80 principles, clear mandate resource alignment reduced administrative burdens, enhanced transparency, and maximized impact per resource invested.</w:t>
      </w:r>
    </w:p>
    <w:p w14:paraId="60F3B1C3" w14:textId="77777777" w:rsidR="001B5E4F" w:rsidRDefault="001B5E4F" w:rsidP="00A26C1B">
      <w:pPr>
        <w:pStyle w:val="Summary"/>
      </w:pPr>
      <w:r>
        <w:t xml:space="preserve">I invite us to try to situate our discussions in the context of this wider reform effort. By proactively adopting these approaches, we can further strengthen our financial resilience, our staff efficiency, and deliver capacity amid </w:t>
      </w:r>
      <w:proofErr w:type="gramStart"/>
      <w:r>
        <w:t>system wide</w:t>
      </w:r>
      <w:proofErr w:type="gramEnd"/>
      <w:r>
        <w:t xml:space="preserve"> constraints. This will enable us to deliver greater impact with enhanced transparency, coherence, and value for money.</w:t>
      </w:r>
    </w:p>
    <w:p w14:paraId="7FF77DCC" w14:textId="77777777" w:rsidR="001B5E4F" w:rsidRDefault="001B5E4F" w:rsidP="00A26C1B">
      <w:pPr>
        <w:pStyle w:val="Summary"/>
      </w:pPr>
      <w:r>
        <w:t xml:space="preserve">Together, I believe that we can turn the UN80 opportunities into concrete gains for the ITU and deliver </w:t>
      </w:r>
      <w:proofErr w:type="gramStart"/>
      <w:r>
        <w:t>a stronger</w:t>
      </w:r>
      <w:proofErr w:type="gramEnd"/>
      <w:r>
        <w:t>, more inclusive support for our Member States in building a sustainable digital future. Madam Chair, in closing, these complex and interconnected issues can only be advanced by the thoughtful, pragmatic wisdom that this group is so well known for. I thank you for your leadership and I wish you and this Group a productive and successful meeting. Thank you very much.</w:t>
      </w:r>
    </w:p>
    <w:p w14:paraId="50EDEBF8" w14:textId="3B467E3A" w:rsidR="00BF455D" w:rsidRDefault="001B5E4F" w:rsidP="00A26C1B">
      <w:pPr>
        <w:tabs>
          <w:tab w:val="clear" w:pos="567"/>
          <w:tab w:val="clear" w:pos="1134"/>
          <w:tab w:val="clear" w:pos="1701"/>
          <w:tab w:val="left" w:pos="794"/>
          <w:tab w:val="left" w:pos="1191"/>
          <w:tab w:val="left" w:pos="1588"/>
          <w:tab w:val="left" w:pos="1985"/>
        </w:tabs>
        <w:spacing w:before="0"/>
        <w:jc w:val="both"/>
      </w:pPr>
      <w:r>
        <w:t>Thank you.</w:t>
      </w:r>
      <w:bookmarkEnd w:id="3"/>
      <w:bookmarkEnd w:id="4"/>
      <w:bookmarkEnd w:id="5"/>
      <w:bookmarkEnd w:id="8"/>
    </w:p>
    <w:p w14:paraId="46D7CEEF" w14:textId="2C6D7B77" w:rsidR="0063535B" w:rsidRDefault="0063535B" w:rsidP="0063535B">
      <w:pPr>
        <w:tabs>
          <w:tab w:val="clear" w:pos="567"/>
          <w:tab w:val="clear" w:pos="1134"/>
          <w:tab w:val="clear" w:pos="1701"/>
          <w:tab w:val="left" w:pos="794"/>
          <w:tab w:val="left" w:pos="1191"/>
          <w:tab w:val="left" w:pos="1588"/>
          <w:tab w:val="left" w:pos="1985"/>
        </w:tabs>
        <w:spacing w:before="480"/>
        <w:jc w:val="center"/>
        <w:rPr>
          <w:rFonts w:cs="Calibri"/>
          <w:b/>
          <w:sz w:val="28"/>
          <w:szCs w:val="28"/>
        </w:rPr>
      </w:pPr>
      <w:r>
        <w:t>__________________</w:t>
      </w:r>
    </w:p>
    <w:sectPr w:rsidR="0063535B" w:rsidSect="00AD3606">
      <w:headerReference w:type="even" r:id="rId8"/>
      <w:headerReference w:type="default" r:id="rId9"/>
      <w:footerReference w:type="even" r:id="rId10"/>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7C49" w14:textId="77777777" w:rsidR="000C37A5" w:rsidRDefault="000C3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7DD08BD8"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1F051C">
            <w:rPr>
              <w:bCs/>
            </w:rPr>
            <w:t>INF/</w:t>
          </w:r>
          <w:r w:rsidR="000C37A5">
            <w:rPr>
              <w:bCs/>
            </w:rPr>
            <w:t>6</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r w:rsidRPr="00AE78C0">
              <w:rPr>
                <w:rStyle w:val="Hyperlink"/>
              </w:rPr>
              <w:t>council.itu.int/working-groups</w:t>
            </w:r>
          </w:hyperlink>
        </w:p>
      </w:tc>
      <w:tc>
        <w:tcPr>
          <w:tcW w:w="6957" w:type="dxa"/>
        </w:tcPr>
        <w:p w14:paraId="3F62E0D8" w14:textId="44848558"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w:t>
          </w:r>
          <w:r w:rsidR="00503A00">
            <w:rPr>
              <w:bCs/>
            </w:rPr>
            <w:t>2</w:t>
          </w:r>
          <w:r w:rsidRPr="00623AE3">
            <w:rPr>
              <w:bCs/>
            </w:rPr>
            <w:t>/</w:t>
          </w:r>
          <w:r w:rsidR="001F051C">
            <w:rPr>
              <w:bCs/>
            </w:rPr>
            <w:t>INF/</w:t>
          </w:r>
          <w:r w:rsidR="000C37A5">
            <w:rPr>
              <w:bCs/>
            </w:rPr>
            <w:t>6</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720E" w14:textId="77777777" w:rsidR="000C37A5" w:rsidRDefault="000C3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7B3E" w14:textId="77777777" w:rsidR="000C37A5" w:rsidRDefault="000C3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9"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9"/>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6B47778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247BE8">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6B477782"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247BE8">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54AF5"/>
    <w:multiLevelType w:val="hybridMultilevel"/>
    <w:tmpl w:val="DECA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2445E"/>
    <w:multiLevelType w:val="hybridMultilevel"/>
    <w:tmpl w:val="0E146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6F40E1"/>
    <w:multiLevelType w:val="hybridMultilevel"/>
    <w:tmpl w:val="3216BFD8"/>
    <w:lvl w:ilvl="0" w:tplc="D128A38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40393915">
    <w:abstractNumId w:val="3"/>
  </w:num>
  <w:num w:numId="3" w16cid:durableId="402917682">
    <w:abstractNumId w:val="1"/>
  </w:num>
  <w:num w:numId="4" w16cid:durableId="1167206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03E1"/>
    <w:rsid w:val="00063016"/>
    <w:rsid w:val="00066795"/>
    <w:rsid w:val="00076AF6"/>
    <w:rsid w:val="00085CF2"/>
    <w:rsid w:val="000B1705"/>
    <w:rsid w:val="000C37A5"/>
    <w:rsid w:val="000D3E82"/>
    <w:rsid w:val="000D454F"/>
    <w:rsid w:val="000D75B2"/>
    <w:rsid w:val="00102460"/>
    <w:rsid w:val="001121F5"/>
    <w:rsid w:val="00130599"/>
    <w:rsid w:val="00137B3F"/>
    <w:rsid w:val="001400DC"/>
    <w:rsid w:val="00140CE1"/>
    <w:rsid w:val="001751FF"/>
    <w:rsid w:val="0017539C"/>
    <w:rsid w:val="00175AC2"/>
    <w:rsid w:val="0017609F"/>
    <w:rsid w:val="0019628A"/>
    <w:rsid w:val="001A524E"/>
    <w:rsid w:val="001A7D1D"/>
    <w:rsid w:val="001A7DCD"/>
    <w:rsid w:val="001B51DD"/>
    <w:rsid w:val="001B5E4F"/>
    <w:rsid w:val="001C628E"/>
    <w:rsid w:val="001C7634"/>
    <w:rsid w:val="001D3E86"/>
    <w:rsid w:val="001E0F7B"/>
    <w:rsid w:val="001E0FBE"/>
    <w:rsid w:val="001F051C"/>
    <w:rsid w:val="001F2CD0"/>
    <w:rsid w:val="002119FD"/>
    <w:rsid w:val="002130E0"/>
    <w:rsid w:val="00215A2C"/>
    <w:rsid w:val="002404ED"/>
    <w:rsid w:val="00244F7F"/>
    <w:rsid w:val="00247BE8"/>
    <w:rsid w:val="00260ACE"/>
    <w:rsid w:val="00264425"/>
    <w:rsid w:val="00265875"/>
    <w:rsid w:val="0027303B"/>
    <w:rsid w:val="0028109B"/>
    <w:rsid w:val="002A2188"/>
    <w:rsid w:val="002B1F58"/>
    <w:rsid w:val="002C1C7A"/>
    <w:rsid w:val="002C54E2"/>
    <w:rsid w:val="0030160F"/>
    <w:rsid w:val="00320223"/>
    <w:rsid w:val="00322D0D"/>
    <w:rsid w:val="00361465"/>
    <w:rsid w:val="003877F5"/>
    <w:rsid w:val="003942D4"/>
    <w:rsid w:val="003958A8"/>
    <w:rsid w:val="003C2533"/>
    <w:rsid w:val="003D55B9"/>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E2037"/>
    <w:rsid w:val="004E2EA5"/>
    <w:rsid w:val="004E3AEB"/>
    <w:rsid w:val="0050223C"/>
    <w:rsid w:val="00503A00"/>
    <w:rsid w:val="005128D1"/>
    <w:rsid w:val="005203BE"/>
    <w:rsid w:val="005243FF"/>
    <w:rsid w:val="00564FBC"/>
    <w:rsid w:val="005800BC"/>
    <w:rsid w:val="00582442"/>
    <w:rsid w:val="005A335D"/>
    <w:rsid w:val="005E2BD5"/>
    <w:rsid w:val="005F3269"/>
    <w:rsid w:val="006157BD"/>
    <w:rsid w:val="00623AE3"/>
    <w:rsid w:val="0063535B"/>
    <w:rsid w:val="0064737F"/>
    <w:rsid w:val="006535F1"/>
    <w:rsid w:val="0065557D"/>
    <w:rsid w:val="00660D50"/>
    <w:rsid w:val="00662984"/>
    <w:rsid w:val="006716BB"/>
    <w:rsid w:val="00676C7D"/>
    <w:rsid w:val="006A74A1"/>
    <w:rsid w:val="006B1859"/>
    <w:rsid w:val="006B6680"/>
    <w:rsid w:val="006B6DCC"/>
    <w:rsid w:val="00702DEF"/>
    <w:rsid w:val="00706861"/>
    <w:rsid w:val="0073553F"/>
    <w:rsid w:val="0075051B"/>
    <w:rsid w:val="00775655"/>
    <w:rsid w:val="00793188"/>
    <w:rsid w:val="00794D34"/>
    <w:rsid w:val="00813E5E"/>
    <w:rsid w:val="00833F70"/>
    <w:rsid w:val="0083581B"/>
    <w:rsid w:val="00863874"/>
    <w:rsid w:val="00864AFF"/>
    <w:rsid w:val="00865925"/>
    <w:rsid w:val="008662C2"/>
    <w:rsid w:val="00891503"/>
    <w:rsid w:val="008964B4"/>
    <w:rsid w:val="008B4A6A"/>
    <w:rsid w:val="008C7E27"/>
    <w:rsid w:val="008F7448"/>
    <w:rsid w:val="0090147A"/>
    <w:rsid w:val="009173EF"/>
    <w:rsid w:val="00932906"/>
    <w:rsid w:val="00961B0B"/>
    <w:rsid w:val="00962D33"/>
    <w:rsid w:val="00971C28"/>
    <w:rsid w:val="009B2D4B"/>
    <w:rsid w:val="009B38C3"/>
    <w:rsid w:val="009C253A"/>
    <w:rsid w:val="009E17BD"/>
    <w:rsid w:val="009E485A"/>
    <w:rsid w:val="009F347C"/>
    <w:rsid w:val="00A04CEC"/>
    <w:rsid w:val="00A073EA"/>
    <w:rsid w:val="00A26C1B"/>
    <w:rsid w:val="00A27F92"/>
    <w:rsid w:val="00A32257"/>
    <w:rsid w:val="00A34664"/>
    <w:rsid w:val="00A36D20"/>
    <w:rsid w:val="00A467DF"/>
    <w:rsid w:val="00A514A4"/>
    <w:rsid w:val="00A52C84"/>
    <w:rsid w:val="00A55622"/>
    <w:rsid w:val="00A83502"/>
    <w:rsid w:val="00A94376"/>
    <w:rsid w:val="00AD15B3"/>
    <w:rsid w:val="00AD226A"/>
    <w:rsid w:val="00AD3606"/>
    <w:rsid w:val="00AD4A3D"/>
    <w:rsid w:val="00AE78C0"/>
    <w:rsid w:val="00AF5235"/>
    <w:rsid w:val="00AF6E49"/>
    <w:rsid w:val="00B04A67"/>
    <w:rsid w:val="00B0583C"/>
    <w:rsid w:val="00B358B2"/>
    <w:rsid w:val="00B40A81"/>
    <w:rsid w:val="00B44910"/>
    <w:rsid w:val="00B72267"/>
    <w:rsid w:val="00B76EB6"/>
    <w:rsid w:val="00B7737B"/>
    <w:rsid w:val="00B824C8"/>
    <w:rsid w:val="00B84B9D"/>
    <w:rsid w:val="00BB7C37"/>
    <w:rsid w:val="00BC251A"/>
    <w:rsid w:val="00BD032B"/>
    <w:rsid w:val="00BD1693"/>
    <w:rsid w:val="00BE2640"/>
    <w:rsid w:val="00BF455D"/>
    <w:rsid w:val="00C01189"/>
    <w:rsid w:val="00C374DE"/>
    <w:rsid w:val="00C47AD4"/>
    <w:rsid w:val="00C51846"/>
    <w:rsid w:val="00C52D81"/>
    <w:rsid w:val="00C55198"/>
    <w:rsid w:val="00CA6393"/>
    <w:rsid w:val="00CA7C3F"/>
    <w:rsid w:val="00CA7CB8"/>
    <w:rsid w:val="00CB18FF"/>
    <w:rsid w:val="00CD0C08"/>
    <w:rsid w:val="00CE03FB"/>
    <w:rsid w:val="00CE433C"/>
    <w:rsid w:val="00CF0161"/>
    <w:rsid w:val="00CF33F3"/>
    <w:rsid w:val="00D06183"/>
    <w:rsid w:val="00D22961"/>
    <w:rsid w:val="00D22C42"/>
    <w:rsid w:val="00D45D0C"/>
    <w:rsid w:val="00D464CC"/>
    <w:rsid w:val="00D53C61"/>
    <w:rsid w:val="00D65041"/>
    <w:rsid w:val="00DB00D5"/>
    <w:rsid w:val="00DB1936"/>
    <w:rsid w:val="00DB384B"/>
    <w:rsid w:val="00DD59EE"/>
    <w:rsid w:val="00DE067B"/>
    <w:rsid w:val="00DF0189"/>
    <w:rsid w:val="00E03C3D"/>
    <w:rsid w:val="00E04CE5"/>
    <w:rsid w:val="00E06FD5"/>
    <w:rsid w:val="00E10E80"/>
    <w:rsid w:val="00E124F0"/>
    <w:rsid w:val="00E227F3"/>
    <w:rsid w:val="00E545C6"/>
    <w:rsid w:val="00E60F04"/>
    <w:rsid w:val="00E65B24"/>
    <w:rsid w:val="00E854E4"/>
    <w:rsid w:val="00E86DBF"/>
    <w:rsid w:val="00EB0D6F"/>
    <w:rsid w:val="00EB2232"/>
    <w:rsid w:val="00EC5337"/>
    <w:rsid w:val="00ED454D"/>
    <w:rsid w:val="00EE49E8"/>
    <w:rsid w:val="00EF1CD4"/>
    <w:rsid w:val="00F16BAB"/>
    <w:rsid w:val="00F2150A"/>
    <w:rsid w:val="00F231D8"/>
    <w:rsid w:val="00F44C00"/>
    <w:rsid w:val="00F45D2C"/>
    <w:rsid w:val="00F46C5F"/>
    <w:rsid w:val="00F46F77"/>
    <w:rsid w:val="00F632C0"/>
    <w:rsid w:val="00F74694"/>
    <w:rsid w:val="00F94A63"/>
    <w:rsid w:val="00FA1C28"/>
    <w:rsid w:val="00FB1279"/>
    <w:rsid w:val="00FB6B76"/>
    <w:rsid w:val="00FB7596"/>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E3B6B8E2-1670-4659-A2C2-DB3830E9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uiPriority w:val="9"/>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paragraph" w:styleId="ListParagraph">
    <w:name w:val="List Paragraph"/>
    <w:basedOn w:val="Normal"/>
    <w:uiPriority w:val="34"/>
    <w:qFormat/>
    <w:rsid w:val="00CA7C3F"/>
    <w:pPr>
      <w:tabs>
        <w:tab w:val="clear" w:pos="567"/>
        <w:tab w:val="clear" w:pos="1134"/>
        <w:tab w:val="clear" w:pos="1701"/>
        <w:tab w:val="clear" w:pos="2268"/>
        <w:tab w:val="clear" w:pos="2835"/>
      </w:tabs>
      <w:overflowPunct/>
      <w:autoSpaceDE/>
      <w:autoSpaceDN/>
      <w:adjustRightInd/>
      <w:spacing w:before="0" w:after="160" w:line="278" w:lineRule="auto"/>
      <w:ind w:left="720"/>
      <w:contextualSpacing/>
      <w:textAlignment w:val="auto"/>
    </w:pPr>
    <w:rPr>
      <w:rFonts w:asciiTheme="minorHAnsi" w:eastAsiaTheme="minorHAnsi" w:hAnsiTheme="minorHAnsi" w:cstheme="minorBidi"/>
      <w:kern w:val="2"/>
      <w:szCs w:val="24"/>
      <w:lang w:val="en-US"/>
      <w14:ligatures w14:val="standardContextual"/>
    </w:rPr>
  </w:style>
  <w:style w:type="paragraph" w:customStyle="1" w:styleId="Summary">
    <w:name w:val="Summary"/>
    <w:basedOn w:val="Normal"/>
    <w:link w:val="SummaryChar"/>
    <w:qFormat/>
    <w:rsid w:val="001B5E4F"/>
    <w:pPr>
      <w:keepLines/>
      <w:tabs>
        <w:tab w:val="clear" w:pos="567"/>
        <w:tab w:val="clear" w:pos="1134"/>
        <w:tab w:val="clear" w:pos="1701"/>
        <w:tab w:val="clear" w:pos="2268"/>
        <w:tab w:val="clear" w:pos="2835"/>
      </w:tabs>
      <w:overflowPunct/>
      <w:autoSpaceDE/>
      <w:autoSpaceDN/>
      <w:adjustRightInd/>
      <w:spacing w:after="120"/>
      <w:jc w:val="both"/>
      <w:textAlignment w:val="auto"/>
    </w:pPr>
    <w:rPr>
      <w:rFonts w:eastAsiaTheme="minorHAnsi" w:cstheme="minorBidi"/>
      <w:kern w:val="2"/>
      <w:szCs w:val="22"/>
      <w:lang w:val="en-US"/>
      <w14:ligatures w14:val="standardContextual"/>
    </w:rPr>
  </w:style>
  <w:style w:type="character" w:customStyle="1" w:styleId="SummaryChar">
    <w:name w:val="Summary Char"/>
    <w:basedOn w:val="DefaultParagraphFont"/>
    <w:link w:val="Summary"/>
    <w:rsid w:val="001B5E4F"/>
    <w:rPr>
      <w:rFonts w:ascii="Calibri" w:eastAsiaTheme="minorHAnsi" w:hAnsi="Calibri" w:cstheme="minorBidi"/>
      <w:kern w:val="2"/>
      <w:sz w:val="24"/>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1584</Words>
  <Characters>8026</Characters>
  <Application>Microsoft Office Word</Application>
  <DocSecurity>0</DocSecurity>
  <Lines>136</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9568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of the 22nd meeting of CWG-FHR</dc:title>
  <dc:subject>ITU Council Working Group on Financial and Human Resources</dc:subject>
  <dc:creator>GBS</dc:creator>
  <cp:keywords>CWG-FHR; C26; Council-26</cp:keywords>
  <dc:description/>
  <cp:lastModifiedBy>GBS</cp:lastModifiedBy>
  <cp:revision>3</cp:revision>
  <dcterms:created xsi:type="dcterms:W3CDTF">2026-02-04T12:58:00Z</dcterms:created>
  <dcterms:modified xsi:type="dcterms:W3CDTF">2026-02-04T13:00:00Z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ies>
</file>