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23F29" w14:paraId="0043AC80" w14:textId="77777777" w:rsidTr="5C52F191">
        <w:trPr>
          <w:cantSplit/>
          <w:trHeight w:val="23"/>
        </w:trPr>
        <w:tc>
          <w:tcPr>
            <w:tcW w:w="3969" w:type="dxa"/>
            <w:vMerge w:val="restart"/>
            <w:tcMar>
              <w:left w:w="0" w:type="dxa"/>
            </w:tcMar>
          </w:tcPr>
          <w:p w14:paraId="60A806D3" w14:textId="6316C87D" w:rsidR="00AD3606" w:rsidRPr="00021AAE"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F7598B3" w:rsidR="00AD3606" w:rsidRPr="00A23F29" w:rsidRDefault="00AD3606" w:rsidP="00472BAD">
            <w:pPr>
              <w:tabs>
                <w:tab w:val="left" w:pos="851"/>
              </w:tabs>
              <w:spacing w:before="0" w:line="240" w:lineRule="atLeast"/>
              <w:jc w:val="right"/>
              <w:rPr>
                <w:b/>
                <w:bCs/>
                <w:lang w:val="fr-FR"/>
              </w:rPr>
            </w:pPr>
            <w:r w:rsidRPr="00A23F29">
              <w:rPr>
                <w:b/>
                <w:bCs/>
                <w:lang w:val="fr-FR"/>
              </w:rPr>
              <w:t>Document C</w:t>
            </w:r>
            <w:r w:rsidR="00A52C84" w:rsidRPr="00A23F29">
              <w:rPr>
                <w:b/>
                <w:bCs/>
                <w:lang w:val="fr-FR"/>
              </w:rPr>
              <w:t>WG-</w:t>
            </w:r>
            <w:r w:rsidR="009F347C" w:rsidRPr="00A23F29">
              <w:rPr>
                <w:b/>
                <w:bCs/>
                <w:lang w:val="fr-FR"/>
              </w:rPr>
              <w:t>FHR</w:t>
            </w:r>
            <w:r w:rsidR="00A52C84" w:rsidRPr="00A23F29">
              <w:rPr>
                <w:b/>
                <w:bCs/>
                <w:lang w:val="fr-FR"/>
              </w:rPr>
              <w:t>-</w:t>
            </w:r>
            <w:r w:rsidR="001C540D" w:rsidRPr="00A23F29">
              <w:rPr>
                <w:b/>
                <w:bCs/>
                <w:lang w:val="fr-FR"/>
              </w:rPr>
              <w:t>22</w:t>
            </w:r>
            <w:r w:rsidRPr="00A23F29">
              <w:rPr>
                <w:b/>
                <w:bCs/>
                <w:lang w:val="fr-FR"/>
              </w:rPr>
              <w:t>/</w:t>
            </w:r>
            <w:r w:rsidR="004F5EC4" w:rsidRPr="00A23F29">
              <w:rPr>
                <w:b/>
                <w:bCs/>
                <w:lang w:val="fr-FR"/>
              </w:rPr>
              <w:t>INF/</w:t>
            </w:r>
            <w:r w:rsidR="00A23F29">
              <w:rPr>
                <w:b/>
                <w:bCs/>
                <w:lang w:val="fr-FR"/>
              </w:rPr>
              <w:t>1</w:t>
            </w:r>
          </w:p>
        </w:tc>
      </w:tr>
      <w:tr w:rsidR="00AD3606" w:rsidRPr="00021AAE" w14:paraId="789B45BA" w14:textId="77777777" w:rsidTr="5C52F191">
        <w:trPr>
          <w:cantSplit/>
        </w:trPr>
        <w:tc>
          <w:tcPr>
            <w:tcW w:w="3969" w:type="dxa"/>
            <w:vMerge/>
          </w:tcPr>
          <w:p w14:paraId="3F3D4E17" w14:textId="77777777" w:rsidR="00AD3606" w:rsidRPr="00A23F29"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43868FC3" w:rsidR="00AD3606" w:rsidRPr="00021AAE" w:rsidRDefault="001C3EC0" w:rsidP="00AD3606">
            <w:pPr>
              <w:tabs>
                <w:tab w:val="left" w:pos="851"/>
              </w:tabs>
              <w:spacing w:before="0"/>
              <w:jc w:val="right"/>
              <w:rPr>
                <w:b/>
              </w:rPr>
            </w:pPr>
            <w:r w:rsidRPr="00021AAE">
              <w:rPr>
                <w:b/>
              </w:rPr>
              <w:t>1</w:t>
            </w:r>
            <w:r w:rsidR="0043492E">
              <w:rPr>
                <w:b/>
              </w:rPr>
              <w:t>5</w:t>
            </w:r>
            <w:r w:rsidRPr="00021AAE">
              <w:rPr>
                <w:b/>
              </w:rPr>
              <w:t xml:space="preserve"> December 2025</w:t>
            </w:r>
          </w:p>
        </w:tc>
      </w:tr>
      <w:tr w:rsidR="00AD3606" w:rsidRPr="00021AAE" w14:paraId="58A84C4A" w14:textId="77777777" w:rsidTr="5C52F191">
        <w:trPr>
          <w:cantSplit/>
          <w:trHeight w:val="23"/>
        </w:trPr>
        <w:tc>
          <w:tcPr>
            <w:tcW w:w="3969" w:type="dxa"/>
            <w:vMerge/>
          </w:tcPr>
          <w:p w14:paraId="77CEDDAA" w14:textId="77777777" w:rsidR="00AD3606" w:rsidRPr="00021AA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21AAE" w:rsidRDefault="00891503" w:rsidP="00AD3606">
            <w:pPr>
              <w:tabs>
                <w:tab w:val="left" w:pos="851"/>
              </w:tabs>
              <w:spacing w:before="0" w:line="240" w:lineRule="atLeast"/>
              <w:jc w:val="right"/>
              <w:rPr>
                <w:b/>
              </w:rPr>
            </w:pPr>
            <w:r w:rsidRPr="00021AAE">
              <w:rPr>
                <w:b/>
              </w:rPr>
              <w:t>English</w:t>
            </w:r>
            <w:r w:rsidR="009B2D4B" w:rsidRPr="00021AAE">
              <w:rPr>
                <w:b/>
              </w:rPr>
              <w:t xml:space="preserve"> only</w:t>
            </w:r>
          </w:p>
        </w:tc>
      </w:tr>
      <w:tr w:rsidR="00472BAD" w:rsidRPr="00021AAE" w14:paraId="12C5EF5F" w14:textId="77777777" w:rsidTr="5C52F191">
        <w:trPr>
          <w:cantSplit/>
          <w:trHeight w:val="23"/>
        </w:trPr>
        <w:tc>
          <w:tcPr>
            <w:tcW w:w="3969" w:type="dxa"/>
          </w:tcPr>
          <w:p w14:paraId="4B839BA2" w14:textId="77777777" w:rsidR="00472BAD" w:rsidRPr="00021AAE" w:rsidRDefault="00472BAD" w:rsidP="00AD3606">
            <w:pPr>
              <w:tabs>
                <w:tab w:val="left" w:pos="851"/>
              </w:tabs>
              <w:spacing w:line="240" w:lineRule="atLeast"/>
              <w:rPr>
                <w:b/>
              </w:rPr>
            </w:pPr>
          </w:p>
        </w:tc>
        <w:tc>
          <w:tcPr>
            <w:tcW w:w="5245" w:type="dxa"/>
          </w:tcPr>
          <w:p w14:paraId="12F66D25" w14:textId="77777777" w:rsidR="00472BAD" w:rsidRPr="00021AAE" w:rsidRDefault="00472BAD" w:rsidP="00AD3606">
            <w:pPr>
              <w:tabs>
                <w:tab w:val="left" w:pos="851"/>
              </w:tabs>
              <w:spacing w:before="0" w:line="240" w:lineRule="atLeast"/>
              <w:jc w:val="right"/>
              <w:rPr>
                <w:b/>
              </w:rPr>
            </w:pPr>
          </w:p>
        </w:tc>
      </w:tr>
      <w:tr w:rsidR="00AD3606" w:rsidRPr="00021AAE" w14:paraId="27000B2A" w14:textId="77777777" w:rsidTr="5C52F191">
        <w:trPr>
          <w:cantSplit/>
        </w:trPr>
        <w:tc>
          <w:tcPr>
            <w:tcW w:w="9214" w:type="dxa"/>
            <w:gridSpan w:val="2"/>
            <w:tcMar>
              <w:left w:w="0" w:type="dxa"/>
            </w:tcMar>
          </w:tcPr>
          <w:p w14:paraId="4E7CDB90" w14:textId="357061CC" w:rsidR="00AD3606" w:rsidRPr="00021AAE" w:rsidRDefault="004F5EC4" w:rsidP="00676C7D">
            <w:pPr>
              <w:pStyle w:val="Source"/>
              <w:framePr w:hSpace="0" w:wrap="auto" w:vAnchor="margin" w:hAnchor="text" w:xAlign="left" w:yAlign="inline"/>
            </w:pPr>
            <w:bookmarkStart w:id="8" w:name="dsource" w:colFirst="0" w:colLast="0"/>
            <w:bookmarkEnd w:id="7"/>
            <w:r w:rsidRPr="00021AAE">
              <w:t>Note</w:t>
            </w:r>
            <w:r w:rsidR="00AD3606" w:rsidRPr="00021AAE">
              <w:t xml:space="preserve"> by the </w:t>
            </w:r>
            <w:r w:rsidR="00273D84" w:rsidRPr="00021AAE">
              <w:t>Secretary-General</w:t>
            </w:r>
          </w:p>
        </w:tc>
      </w:tr>
      <w:tr w:rsidR="00AD3606" w:rsidRPr="00021AAE" w14:paraId="2340750D" w14:textId="77777777" w:rsidTr="5C52F191">
        <w:trPr>
          <w:cantSplit/>
        </w:trPr>
        <w:tc>
          <w:tcPr>
            <w:tcW w:w="9214" w:type="dxa"/>
            <w:gridSpan w:val="2"/>
            <w:tcMar>
              <w:left w:w="0" w:type="dxa"/>
            </w:tcMar>
          </w:tcPr>
          <w:p w14:paraId="47B91AA8" w14:textId="1D28D402" w:rsidR="00AD3606" w:rsidRPr="00021AAE" w:rsidRDefault="004B3007" w:rsidP="00676C7D">
            <w:pPr>
              <w:pStyle w:val="Subtitle"/>
              <w:framePr w:hSpace="0" w:wrap="auto" w:xAlign="left" w:yAlign="inline"/>
            </w:pPr>
            <w:bookmarkStart w:id="9" w:name="dtitle1" w:colFirst="0" w:colLast="0"/>
            <w:bookmarkEnd w:id="8"/>
            <w:r w:rsidRPr="00021AAE">
              <w:t>STRENGTHENING THE ITU REGIONAL PRESENCE</w:t>
            </w:r>
          </w:p>
        </w:tc>
      </w:tr>
      <w:tr w:rsidR="00AD3606" w:rsidRPr="00021AAE" w14:paraId="1F564D2D" w14:textId="77777777" w:rsidTr="5C52F191">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21AAE" w:rsidRDefault="00F16BAB" w:rsidP="00F16BAB">
            <w:pPr>
              <w:spacing w:before="160"/>
              <w:rPr>
                <w:b/>
                <w:bCs/>
                <w:sz w:val="26"/>
                <w:szCs w:val="26"/>
              </w:rPr>
            </w:pPr>
            <w:r w:rsidRPr="00021AAE">
              <w:rPr>
                <w:b/>
                <w:bCs/>
                <w:sz w:val="26"/>
                <w:szCs w:val="26"/>
              </w:rPr>
              <w:t>Purpose</w:t>
            </w:r>
          </w:p>
          <w:p w14:paraId="2E09FE8B" w14:textId="2F412D0C" w:rsidR="00AD3606" w:rsidRPr="00021AAE" w:rsidRDefault="001C3EC0" w:rsidP="001C3EC0">
            <w:pPr>
              <w:jc w:val="both"/>
            </w:pPr>
            <w:r w:rsidRPr="00021AAE">
              <w:t>This document provides information on the initiatives launched by the Telecommunication Development Bureau (BDT) to enhance and strengthen the Regional Presence in accordance with specific Resolutions and Regional Initiatives. The funding of these initiatives is from Member States’ investments and extrabudgetary funding benefitting from resource mobilization efforts and partnerships.</w:t>
            </w:r>
          </w:p>
          <w:p w14:paraId="5076D5C4" w14:textId="28F00572" w:rsidR="00AD3606" w:rsidRPr="00021AAE" w:rsidRDefault="00AD3606" w:rsidP="00F16BAB">
            <w:pPr>
              <w:spacing w:before="160"/>
              <w:rPr>
                <w:b/>
                <w:bCs/>
                <w:sz w:val="26"/>
                <w:szCs w:val="26"/>
              </w:rPr>
            </w:pPr>
            <w:r w:rsidRPr="00021AAE">
              <w:rPr>
                <w:b/>
                <w:bCs/>
                <w:sz w:val="26"/>
                <w:szCs w:val="26"/>
              </w:rPr>
              <w:t>Action required</w:t>
            </w:r>
          </w:p>
          <w:p w14:paraId="53A776F1" w14:textId="3548DE37" w:rsidR="00891503" w:rsidRPr="00021AAE" w:rsidRDefault="004F5EC4" w:rsidP="001C3EC0">
            <w:pPr>
              <w:spacing w:before="160"/>
              <w:jc w:val="both"/>
            </w:pPr>
            <w:r w:rsidRPr="00021AAE">
              <w:t xml:space="preserve">This </w:t>
            </w:r>
            <w:r w:rsidR="00EA427B" w:rsidRPr="00021AAE">
              <w:t>document</w:t>
            </w:r>
            <w:r w:rsidRPr="00021AAE">
              <w:t xml:space="preserve"> is transmitted to the Council Working Group on </w:t>
            </w:r>
            <w:r w:rsidR="001C1EAF" w:rsidRPr="00021AAE">
              <w:t xml:space="preserve">financial </w:t>
            </w:r>
            <w:r w:rsidRPr="00021AAE">
              <w:t xml:space="preserve">and </w:t>
            </w:r>
            <w:r w:rsidR="001C1EAF" w:rsidRPr="00021AAE">
              <w:t xml:space="preserve">human resources </w:t>
            </w:r>
            <w:r w:rsidRPr="00021AAE">
              <w:rPr>
                <w:b/>
                <w:bCs/>
              </w:rPr>
              <w:t>for information</w:t>
            </w:r>
            <w:r w:rsidRPr="00021AAE">
              <w:t>.</w:t>
            </w:r>
          </w:p>
          <w:p w14:paraId="5FBA6FD5" w14:textId="77777777" w:rsidR="009B5104" w:rsidRPr="00021AAE" w:rsidRDefault="009B5104">
            <w:r w:rsidRPr="00021AAE">
              <w:t>_______________</w:t>
            </w:r>
          </w:p>
          <w:p w14:paraId="00DEE14C" w14:textId="77777777" w:rsidR="00AD3606" w:rsidRPr="00021AAE" w:rsidRDefault="00AD3606" w:rsidP="00F16BAB">
            <w:pPr>
              <w:spacing w:before="160"/>
              <w:rPr>
                <w:b/>
                <w:bCs/>
                <w:sz w:val="26"/>
                <w:szCs w:val="26"/>
              </w:rPr>
            </w:pPr>
            <w:r w:rsidRPr="00021AAE">
              <w:rPr>
                <w:b/>
                <w:bCs/>
                <w:sz w:val="26"/>
                <w:szCs w:val="26"/>
              </w:rPr>
              <w:t>References</w:t>
            </w:r>
          </w:p>
          <w:p w14:paraId="0175CD6C" w14:textId="5C628C65" w:rsidR="00AD3606" w:rsidRPr="0043492E" w:rsidRDefault="373DBE4E" w:rsidP="5C52F191">
            <w:pPr>
              <w:spacing w:after="160"/>
              <w:rPr>
                <w:i/>
                <w:iCs/>
                <w:sz w:val="22"/>
                <w:szCs w:val="22"/>
              </w:rPr>
            </w:pPr>
            <w:hyperlink r:id="rId11">
              <w:r w:rsidRPr="0043492E">
                <w:rPr>
                  <w:rStyle w:val="Hyperlink"/>
                  <w:i/>
                  <w:iCs/>
                  <w:sz w:val="22"/>
                  <w:szCs w:val="22"/>
                </w:rPr>
                <w:t>CWG-FHR website</w:t>
              </w:r>
            </w:hyperlink>
            <w:r w:rsidRPr="0043492E">
              <w:rPr>
                <w:i/>
                <w:iCs/>
                <w:sz w:val="22"/>
                <w:szCs w:val="22"/>
              </w:rPr>
              <w:t xml:space="preserve">; </w:t>
            </w:r>
            <w:hyperlink r:id="rId12">
              <w:r w:rsidR="19457049" w:rsidRPr="0043492E">
                <w:rPr>
                  <w:rStyle w:val="Hyperlink"/>
                  <w:i/>
                  <w:iCs/>
                  <w:sz w:val="22"/>
                  <w:szCs w:val="22"/>
                </w:rPr>
                <w:t>Resolution 25 (Rev. Bucharest, 2022)</w:t>
              </w:r>
            </w:hyperlink>
            <w:r w:rsidR="19457049" w:rsidRPr="0043492E">
              <w:rPr>
                <w:i/>
                <w:iCs/>
                <w:sz w:val="22"/>
                <w:szCs w:val="22"/>
              </w:rPr>
              <w:t xml:space="preserve"> of the Plenipotentiary Conference; Documents </w:t>
            </w:r>
            <w:hyperlink r:id="rId13">
              <w:r w:rsidR="19457049" w:rsidRPr="0043492E">
                <w:rPr>
                  <w:rStyle w:val="Hyperlink"/>
                  <w:i/>
                  <w:iCs/>
                  <w:sz w:val="22"/>
                  <w:szCs w:val="22"/>
                </w:rPr>
                <w:t>C25/25</w:t>
              </w:r>
            </w:hyperlink>
            <w:r w:rsidR="19457049" w:rsidRPr="0043492E">
              <w:rPr>
                <w:i/>
                <w:iCs/>
                <w:sz w:val="22"/>
                <w:szCs w:val="22"/>
              </w:rPr>
              <w:t xml:space="preserve">, </w:t>
            </w:r>
            <w:hyperlink r:id="rId14">
              <w:r w:rsidR="19457049" w:rsidRPr="0043492E">
                <w:rPr>
                  <w:rStyle w:val="Hyperlink"/>
                  <w:i/>
                  <w:iCs/>
                  <w:sz w:val="22"/>
                  <w:szCs w:val="22"/>
                </w:rPr>
                <w:t>C25/50</w:t>
              </w:r>
            </w:hyperlink>
            <w:r w:rsidR="19457049" w:rsidRPr="0043492E">
              <w:rPr>
                <w:i/>
                <w:iCs/>
                <w:sz w:val="22"/>
                <w:szCs w:val="22"/>
              </w:rPr>
              <w:t>,</w:t>
            </w:r>
            <w:r w:rsidR="0043492E" w:rsidRPr="0043492E">
              <w:rPr>
                <w:i/>
                <w:iCs/>
                <w:sz w:val="22"/>
                <w:szCs w:val="22"/>
              </w:rPr>
              <w:t xml:space="preserve"> </w:t>
            </w:r>
            <w:hyperlink r:id="rId15">
              <w:r w:rsidR="0043492E" w:rsidRPr="0043492E">
                <w:rPr>
                  <w:rStyle w:val="Hyperlink"/>
                  <w:i/>
                  <w:iCs/>
                  <w:sz w:val="22"/>
                  <w:szCs w:val="22"/>
                </w:rPr>
                <w:t>C25/69(Rev.1)</w:t>
              </w:r>
            </w:hyperlink>
            <w:r w:rsidR="0043492E" w:rsidRPr="0043492E">
              <w:rPr>
                <w:i/>
                <w:iCs/>
                <w:sz w:val="22"/>
                <w:szCs w:val="22"/>
              </w:rPr>
              <w:t xml:space="preserve">, </w:t>
            </w:r>
            <w:hyperlink r:id="rId16">
              <w:r w:rsidR="0043492E" w:rsidRPr="0043492E">
                <w:rPr>
                  <w:rStyle w:val="Hyperlink"/>
                  <w:i/>
                  <w:iCs/>
                  <w:sz w:val="22"/>
                  <w:szCs w:val="22"/>
                </w:rPr>
                <w:t>C25/105</w:t>
              </w:r>
            </w:hyperlink>
            <w:r w:rsidR="0043492E" w:rsidRPr="0043492E">
              <w:rPr>
                <w:i/>
                <w:iCs/>
                <w:sz w:val="22"/>
                <w:szCs w:val="22"/>
              </w:rPr>
              <w:t xml:space="preserve"> (page 33 and Annex H),</w:t>
            </w:r>
            <w:r w:rsidR="0D6C21C9" w:rsidRPr="0043492E">
              <w:rPr>
                <w:i/>
                <w:iCs/>
                <w:sz w:val="22"/>
                <w:szCs w:val="22"/>
              </w:rPr>
              <w:t xml:space="preserve"> </w:t>
            </w:r>
            <w:hyperlink r:id="rId17" w:history="1">
              <w:r w:rsidR="0D6C21C9" w:rsidRPr="0043492E">
                <w:rPr>
                  <w:rStyle w:val="Hyperlink"/>
                  <w:i/>
                  <w:iCs/>
                  <w:sz w:val="22"/>
                  <w:szCs w:val="22"/>
                </w:rPr>
                <w:t>C25/114</w:t>
              </w:r>
            </w:hyperlink>
            <w:r w:rsidR="0043492E" w:rsidRPr="0043492E">
              <w:rPr>
                <w:i/>
                <w:iCs/>
                <w:sz w:val="22"/>
                <w:szCs w:val="22"/>
              </w:rPr>
              <w:t>;</w:t>
            </w:r>
            <w:r w:rsidR="0D6C21C9" w:rsidRPr="0043492E">
              <w:rPr>
                <w:i/>
                <w:iCs/>
                <w:sz w:val="22"/>
                <w:szCs w:val="22"/>
              </w:rPr>
              <w:t xml:space="preserve"> </w:t>
            </w:r>
            <w:hyperlink r:id="rId18">
              <w:r w:rsidR="19457049" w:rsidRPr="0043492E">
                <w:rPr>
                  <w:rStyle w:val="Hyperlink"/>
                  <w:rFonts w:eastAsia="Aptos"/>
                  <w:i/>
                  <w:iCs/>
                  <w:sz w:val="22"/>
                  <w:szCs w:val="22"/>
                </w:rPr>
                <w:t>CWG-FHR-21/4</w:t>
              </w:r>
            </w:hyperlink>
            <w:r w:rsidR="19457049" w:rsidRPr="0043492E">
              <w:rPr>
                <w:i/>
                <w:iCs/>
                <w:sz w:val="22"/>
                <w:szCs w:val="22"/>
              </w:rPr>
              <w:t xml:space="preserve">, </w:t>
            </w:r>
            <w:hyperlink r:id="rId19" w:history="1">
              <w:r w:rsidR="19457049" w:rsidRPr="0043492E">
                <w:rPr>
                  <w:rStyle w:val="Hyperlink"/>
                  <w:i/>
                  <w:iCs/>
                  <w:sz w:val="22"/>
                  <w:szCs w:val="22"/>
                </w:rPr>
                <w:t>CWG-FHR-22/4</w:t>
              </w:r>
            </w:hyperlink>
            <w:r w:rsidR="0043492E">
              <w:rPr>
                <w:i/>
                <w:iCs/>
                <w:sz w:val="22"/>
                <w:szCs w:val="22"/>
              </w:rPr>
              <w:t>.</w:t>
            </w:r>
          </w:p>
        </w:tc>
      </w:tr>
    </w:tbl>
    <w:p w14:paraId="4CDB8B60" w14:textId="77777777" w:rsidR="00E227F3" w:rsidRPr="00021AA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021AA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21AAE">
        <w:br w:type="page"/>
      </w:r>
    </w:p>
    <w:bookmarkEnd w:id="5"/>
    <w:bookmarkEnd w:id="10"/>
    <w:p w14:paraId="3572CCCE" w14:textId="6722AFF1" w:rsidR="001C3EC0" w:rsidRPr="00021AAE" w:rsidRDefault="001C3EC0" w:rsidP="00DF2DB8">
      <w:pPr>
        <w:spacing w:before="0"/>
        <w:jc w:val="both"/>
        <w:rPr>
          <w:rFonts w:cs="Calibri"/>
        </w:rPr>
      </w:pPr>
      <w:r w:rsidRPr="00021AAE">
        <w:rPr>
          <w:rFonts w:cs="Calibri"/>
        </w:rPr>
        <w:lastRenderedPageBreak/>
        <w:t>The Telecommunication Development Bureau (BDT) has embarked on the following initiatives</w:t>
      </w:r>
      <w:r w:rsidR="77A2A601" w:rsidRPr="035F0240">
        <w:rPr>
          <w:rFonts w:cs="Calibri"/>
        </w:rPr>
        <w:t xml:space="preserve"> </w:t>
      </w:r>
      <w:r w:rsidR="6F2A581C" w:rsidRPr="035F0240">
        <w:rPr>
          <w:rFonts w:cs="Calibri"/>
        </w:rPr>
        <w:t>in support of</w:t>
      </w:r>
      <w:r w:rsidRPr="00021AAE">
        <w:rPr>
          <w:rFonts w:cs="Calibri"/>
        </w:rPr>
        <w:t xml:space="preserve"> Regional Presence:</w:t>
      </w:r>
    </w:p>
    <w:p w14:paraId="1027B895" w14:textId="5EDD2F03" w:rsidR="001C3EC0" w:rsidRPr="00A23F29" w:rsidRDefault="00755C2C" w:rsidP="005B2708">
      <w:pPr>
        <w:pStyle w:val="enumlev1"/>
        <w:rPr>
          <w:lang w:val="fr-FR"/>
        </w:rPr>
      </w:pPr>
      <w:r w:rsidRPr="00A23F29">
        <w:rPr>
          <w:lang w:val="fr-FR"/>
        </w:rPr>
        <w:t>1</w:t>
      </w:r>
      <w:r w:rsidRPr="00A23F29">
        <w:rPr>
          <w:lang w:val="fr-FR"/>
        </w:rPr>
        <w:tab/>
      </w:r>
      <w:proofErr w:type="spellStart"/>
      <w:r w:rsidR="001C3EC0" w:rsidRPr="00A23F29">
        <w:rPr>
          <w:lang w:val="fr-FR"/>
        </w:rPr>
        <w:t>Acceleration</w:t>
      </w:r>
      <w:proofErr w:type="spellEnd"/>
      <w:r w:rsidR="001C3EC0" w:rsidRPr="00A23F29">
        <w:rPr>
          <w:lang w:val="fr-FR"/>
        </w:rPr>
        <w:t xml:space="preserve"> Centres</w:t>
      </w:r>
    </w:p>
    <w:p w14:paraId="5EE0D304" w14:textId="666170C9" w:rsidR="001C3EC0" w:rsidRPr="00A23F29" w:rsidRDefault="00755C2C" w:rsidP="005B2708">
      <w:pPr>
        <w:pStyle w:val="enumlev1"/>
        <w:rPr>
          <w:lang w:val="fr-FR"/>
        </w:rPr>
      </w:pPr>
      <w:r w:rsidRPr="00A23F29">
        <w:rPr>
          <w:lang w:val="fr-FR"/>
        </w:rPr>
        <w:t>2</w:t>
      </w:r>
      <w:r w:rsidRPr="00A23F29">
        <w:rPr>
          <w:lang w:val="fr-FR"/>
        </w:rPr>
        <w:tab/>
      </w:r>
      <w:r w:rsidR="001C3EC0" w:rsidRPr="00A23F29">
        <w:rPr>
          <w:lang w:val="fr-FR"/>
        </w:rPr>
        <w:t>Open Source Programme Offices (</w:t>
      </w:r>
      <w:proofErr w:type="spellStart"/>
      <w:r w:rsidR="001C3EC0" w:rsidRPr="00A23F29">
        <w:rPr>
          <w:lang w:val="fr-FR"/>
        </w:rPr>
        <w:t>OSPOs</w:t>
      </w:r>
      <w:proofErr w:type="spellEnd"/>
      <w:r w:rsidR="001C3EC0" w:rsidRPr="00A23F29">
        <w:rPr>
          <w:lang w:val="fr-FR"/>
        </w:rPr>
        <w:t>)</w:t>
      </w:r>
    </w:p>
    <w:p w14:paraId="720C24B4" w14:textId="4330C209" w:rsidR="001C3EC0" w:rsidRPr="00021AAE" w:rsidRDefault="00755C2C" w:rsidP="005B2708">
      <w:pPr>
        <w:pStyle w:val="enumlev1"/>
      </w:pPr>
      <w:r w:rsidRPr="00021AAE">
        <w:t>3</w:t>
      </w:r>
      <w:r w:rsidRPr="00021AAE">
        <w:tab/>
      </w:r>
      <w:r w:rsidR="001C3EC0" w:rsidRPr="00021AAE">
        <w:t>Digital Transformation Centres (DTCs) and the ITU Academy Training Centres (ATCs)</w:t>
      </w:r>
    </w:p>
    <w:p w14:paraId="56E90EF1" w14:textId="084288E0" w:rsidR="001C3EC0" w:rsidRPr="00021AAE" w:rsidRDefault="00755C2C" w:rsidP="005B2708">
      <w:pPr>
        <w:pStyle w:val="enumlev1"/>
      </w:pPr>
      <w:r w:rsidRPr="00021AAE">
        <w:t>4</w:t>
      </w:r>
      <w:r w:rsidRPr="00021AAE">
        <w:tab/>
      </w:r>
      <w:r w:rsidR="001C3EC0" w:rsidRPr="00021AAE">
        <w:t>Relocation of ITU Area Office from Honduras to Panama</w:t>
      </w:r>
      <w:r w:rsidR="005B2708" w:rsidRPr="00021AAE">
        <w:t>.</w:t>
      </w:r>
    </w:p>
    <w:p w14:paraId="7F37C31E" w14:textId="63FF7FA3" w:rsidR="001C3EC0" w:rsidRPr="00021AAE" w:rsidRDefault="00755C2C" w:rsidP="00417265">
      <w:pPr>
        <w:pStyle w:val="Heading1"/>
      </w:pPr>
      <w:r w:rsidRPr="00021AAE">
        <w:t>1</w:t>
      </w:r>
      <w:r w:rsidRPr="00021AAE">
        <w:tab/>
      </w:r>
      <w:r w:rsidR="001C3EC0" w:rsidRPr="00021AAE">
        <w:t xml:space="preserve">Acceleration </w:t>
      </w:r>
      <w:r w:rsidR="00235F25" w:rsidRPr="00021AAE">
        <w:t>centres</w:t>
      </w:r>
    </w:p>
    <w:p w14:paraId="12AC04B7" w14:textId="0A45418D" w:rsidR="001C3EC0" w:rsidRPr="00021AAE" w:rsidRDefault="001C3EC0" w:rsidP="00A86986">
      <w:pPr>
        <w:jc w:val="both"/>
        <w:rPr>
          <w:rFonts w:cs="Calibri"/>
          <w:i/>
          <w:iCs/>
        </w:rPr>
      </w:pPr>
      <w:r w:rsidRPr="00021AAE">
        <w:rPr>
          <w:rFonts w:cs="Calibri"/>
        </w:rPr>
        <w:t xml:space="preserve">The </w:t>
      </w:r>
      <w:hyperlink r:id="rId20">
        <w:r w:rsidRPr="00021AAE">
          <w:rPr>
            <w:rStyle w:val="Hyperlink"/>
            <w:rFonts w:cs="Calibri"/>
          </w:rPr>
          <w:t>Acceleration Centres</w:t>
        </w:r>
      </w:hyperlink>
      <w:r w:rsidRPr="00021AAE">
        <w:rPr>
          <w:rFonts w:cs="Calibri"/>
        </w:rPr>
        <w:t xml:space="preserve"> under the </w:t>
      </w:r>
      <w:hyperlink r:id="rId21">
        <w:r w:rsidRPr="00021AAE">
          <w:rPr>
            <w:rStyle w:val="Hyperlink"/>
            <w:rFonts w:cs="Calibri"/>
          </w:rPr>
          <w:t>Innovation and Entrepreneurship Alliance</w:t>
        </w:r>
      </w:hyperlink>
      <w:r w:rsidRPr="00021AAE">
        <w:rPr>
          <w:rFonts w:cs="Calibri"/>
        </w:rPr>
        <w:t xml:space="preserve"> were launched to optimize the use of available resources following WTDC-22, as all six regions had a Regional Initiative on this topic. These centres have also contributed to the implementation of WTDC</w:t>
      </w:r>
      <w:r w:rsidR="00D530D5">
        <w:rPr>
          <w:rFonts w:cs="Calibri"/>
        </w:rPr>
        <w:noBreakHyphen/>
      </w:r>
      <w:r w:rsidRPr="00021AAE">
        <w:rPr>
          <w:rFonts w:cs="Calibri"/>
        </w:rPr>
        <w:t xml:space="preserve">22 Resolution 90 (Kigali, 2022) on </w:t>
      </w:r>
      <w:r w:rsidR="00A86986" w:rsidRPr="00021AAE">
        <w:rPr>
          <w:rFonts w:cs="Calibri"/>
        </w:rPr>
        <w:t xml:space="preserve">fostering </w:t>
      </w:r>
      <w:r w:rsidRPr="00021AAE">
        <w:rPr>
          <w:rFonts w:cs="Calibri"/>
        </w:rPr>
        <w:t>telecommunication/information and communication technology-centric entrepreneurship and digital innovation ecosystems for sustainable digital development</w:t>
      </w:r>
      <w:r w:rsidRPr="00021AAE">
        <w:rPr>
          <w:rFonts w:cs="Calibri"/>
          <w:i/>
          <w:iCs/>
        </w:rPr>
        <w:t>.</w:t>
      </w:r>
    </w:p>
    <w:p w14:paraId="36D850E9" w14:textId="40839FC9" w:rsidR="004B3007" w:rsidRPr="00021AAE" w:rsidRDefault="001C3EC0" w:rsidP="00A86986">
      <w:pPr>
        <w:jc w:val="both"/>
        <w:rPr>
          <w:rFonts w:cs="Calibri"/>
        </w:rPr>
      </w:pPr>
      <w:r w:rsidRPr="00021AAE">
        <w:rPr>
          <w:rFonts w:cs="Calibri"/>
        </w:rPr>
        <w:t xml:space="preserve">This initiative will continue in the next cycle following the recently adopted </w:t>
      </w:r>
      <w:hyperlink r:id="rId22">
        <w:r w:rsidR="5D6E722D" w:rsidRPr="035F0240">
          <w:rPr>
            <w:rStyle w:val="Hyperlink"/>
            <w:rFonts w:cs="Calibri"/>
          </w:rPr>
          <w:t>WTDC-25</w:t>
        </w:r>
      </w:hyperlink>
      <w:r w:rsidRPr="00021AAE">
        <w:rPr>
          <w:rFonts w:cs="Calibri"/>
        </w:rPr>
        <w:t xml:space="preserve"> Resolution 90 (Rev. Baku, 2025) on </w:t>
      </w:r>
      <w:r w:rsidR="2382E82A" w:rsidRPr="035F0240">
        <w:rPr>
          <w:rFonts w:cs="Calibri"/>
        </w:rPr>
        <w:t>f</w:t>
      </w:r>
      <w:r w:rsidR="5D6E722D" w:rsidRPr="035F0240">
        <w:rPr>
          <w:rFonts w:cs="Calibri"/>
        </w:rPr>
        <w:t>ostering</w:t>
      </w:r>
      <w:r w:rsidRPr="00021AAE">
        <w:rPr>
          <w:rFonts w:cs="Calibri"/>
        </w:rPr>
        <w:t xml:space="preserve"> telecommunication/information and communication technology-centric entrepreneurship and digital innovation ecosystems for sustainable digital development and the new Resolution </w:t>
      </w:r>
      <w:r w:rsidR="00A86986" w:rsidRPr="00021AAE">
        <w:rPr>
          <w:rFonts w:cs="Calibri"/>
        </w:rPr>
        <w:t>COM</w:t>
      </w:r>
      <w:r w:rsidRPr="00021AAE">
        <w:rPr>
          <w:rFonts w:cs="Calibri"/>
        </w:rPr>
        <w:t xml:space="preserve">3/1 (Baku, 2025) on </w:t>
      </w:r>
      <w:r w:rsidR="00A86986" w:rsidRPr="00021AAE">
        <w:rPr>
          <w:rFonts w:cs="Calibri"/>
        </w:rPr>
        <w:t xml:space="preserve">strengthening </w:t>
      </w:r>
      <w:r w:rsidRPr="00021AAE">
        <w:rPr>
          <w:rFonts w:cs="Calibri"/>
        </w:rPr>
        <w:t>the role of ITU regional offices in accelerating digital transformation and leveraging partnership, as well as per the WTDC-25 approved Regional Initiatives in the five regions as listed below.</w:t>
      </w:r>
    </w:p>
    <w:p w14:paraId="7A4480EF" w14:textId="602CB4D6" w:rsidR="004B3007" w:rsidRPr="00021AAE" w:rsidRDefault="00E666B5" w:rsidP="00235F25">
      <w:pPr>
        <w:pStyle w:val="enumlev1"/>
        <w:jc w:val="both"/>
      </w:pPr>
      <w:r w:rsidRPr="00021AAE">
        <w:t>–</w:t>
      </w:r>
      <w:r w:rsidRPr="00021AAE">
        <w:tab/>
      </w:r>
      <w:r w:rsidR="001C3EC0" w:rsidRPr="00021AAE">
        <w:rPr>
          <w:b/>
          <w:bCs/>
        </w:rPr>
        <w:t>Africa (AFR2):</w:t>
      </w:r>
      <w:r w:rsidR="001C3EC0" w:rsidRPr="00021AAE">
        <w:t xml:space="preserve"> Developing an inclusive, trustworthy artificial intelligence ecosystem in Africa for socio-economic development</w:t>
      </w:r>
    </w:p>
    <w:p w14:paraId="3599E302" w14:textId="30099090" w:rsidR="004B3007" w:rsidRPr="00021AAE" w:rsidRDefault="00E666B5" w:rsidP="00235F25">
      <w:pPr>
        <w:pStyle w:val="enumlev1"/>
        <w:jc w:val="both"/>
      </w:pPr>
      <w:r w:rsidRPr="00021AAE">
        <w:t>–</w:t>
      </w:r>
      <w:r w:rsidRPr="00021AAE">
        <w:tab/>
      </w:r>
      <w:r w:rsidR="001C3EC0" w:rsidRPr="00021AAE">
        <w:rPr>
          <w:b/>
          <w:bCs/>
        </w:rPr>
        <w:t>Africa (AFR4):</w:t>
      </w:r>
      <w:r w:rsidR="001C3EC0" w:rsidRPr="00021AAE">
        <w:t xml:space="preserve"> Development of digital applications, micro, small and medium </w:t>
      </w:r>
      <w:r w:rsidR="00D530D5">
        <w:t>enterprises</w:t>
      </w:r>
      <w:r w:rsidR="001C3EC0" w:rsidRPr="00021AAE">
        <w:t xml:space="preserve"> and digital innovation ecosystems</w:t>
      </w:r>
    </w:p>
    <w:p w14:paraId="1B64D0CE" w14:textId="119F4DFC" w:rsidR="004B3007" w:rsidRPr="00021AAE" w:rsidRDefault="00E666B5" w:rsidP="00235F25">
      <w:pPr>
        <w:pStyle w:val="enumlev1"/>
        <w:jc w:val="both"/>
      </w:pPr>
      <w:r w:rsidRPr="00021AAE">
        <w:t>–</w:t>
      </w:r>
      <w:r w:rsidRPr="00021AAE">
        <w:tab/>
      </w:r>
      <w:r w:rsidR="001C3EC0" w:rsidRPr="00021AAE">
        <w:rPr>
          <w:b/>
          <w:bCs/>
        </w:rPr>
        <w:t>Americas (AMS3):</w:t>
      </w:r>
      <w:r w:rsidR="001C3EC0" w:rsidRPr="00021AAE">
        <w:t xml:space="preserve"> Support for innovative digital ecosystems and the adoption and use of emerging technologies</w:t>
      </w:r>
    </w:p>
    <w:p w14:paraId="66547B02" w14:textId="277F805C" w:rsidR="004B3007" w:rsidRPr="00021AAE" w:rsidRDefault="00E666B5" w:rsidP="00235F25">
      <w:pPr>
        <w:pStyle w:val="enumlev1"/>
        <w:jc w:val="both"/>
      </w:pPr>
      <w:r w:rsidRPr="00021AAE">
        <w:t>–</w:t>
      </w:r>
      <w:r w:rsidRPr="00021AAE">
        <w:tab/>
      </w:r>
      <w:r w:rsidR="001C3EC0" w:rsidRPr="00021AAE">
        <w:rPr>
          <w:b/>
          <w:bCs/>
        </w:rPr>
        <w:t>Arab States (ARB4):</w:t>
      </w:r>
      <w:r w:rsidR="001C3EC0" w:rsidRPr="00021AAE">
        <w:t xml:space="preserve"> Innovation ecosystems to support the adoption and growth of emerging technologies, including artificial intelligence</w:t>
      </w:r>
    </w:p>
    <w:p w14:paraId="6DD53E3C" w14:textId="6C44274E" w:rsidR="004B3007" w:rsidRPr="00021AAE" w:rsidRDefault="00E666B5" w:rsidP="00235F25">
      <w:pPr>
        <w:pStyle w:val="enumlev1"/>
        <w:jc w:val="both"/>
      </w:pPr>
      <w:r w:rsidRPr="00021AAE">
        <w:t>–</w:t>
      </w:r>
      <w:r w:rsidRPr="00021AAE">
        <w:tab/>
      </w:r>
      <w:r w:rsidR="001C3EC0" w:rsidRPr="00021AAE">
        <w:rPr>
          <w:b/>
          <w:bCs/>
        </w:rPr>
        <w:t xml:space="preserve">Asia-Pacific (ASP4): </w:t>
      </w:r>
      <w:r w:rsidR="001C3EC0" w:rsidRPr="00021AAE">
        <w:t>Enabling an innovative and sustainable telecommunication/</w:t>
      </w:r>
      <w:r w:rsidR="00EE2D5E">
        <w:t xml:space="preserve"> </w:t>
      </w:r>
      <w:r w:rsidR="001C3EC0" w:rsidRPr="00021AAE">
        <w:t>information and communication technology sector</w:t>
      </w:r>
    </w:p>
    <w:p w14:paraId="6C3D9647" w14:textId="171D67EC" w:rsidR="001C3EC0" w:rsidRPr="00021AAE" w:rsidRDefault="00E666B5" w:rsidP="00235F25">
      <w:pPr>
        <w:pStyle w:val="enumlev1"/>
        <w:jc w:val="both"/>
      </w:pPr>
      <w:r w:rsidRPr="00021AAE">
        <w:t>–</w:t>
      </w:r>
      <w:r w:rsidRPr="00021AAE">
        <w:tab/>
      </w:r>
      <w:r w:rsidR="001C3EC0" w:rsidRPr="00021AAE">
        <w:rPr>
          <w:b/>
          <w:bCs/>
        </w:rPr>
        <w:t>Europe (EUR5):</w:t>
      </w:r>
      <w:r w:rsidR="001C3EC0" w:rsidRPr="00021AAE">
        <w:t xml:space="preserve"> Digital innovation ecosystems</w:t>
      </w:r>
      <w:r w:rsidRPr="00021AAE">
        <w:t>.</w:t>
      </w:r>
    </w:p>
    <w:p w14:paraId="11BB0BAB" w14:textId="69BBB3F7" w:rsidR="001C3EC0" w:rsidRPr="00021AAE" w:rsidRDefault="001C3EC0" w:rsidP="00235F25">
      <w:pPr>
        <w:jc w:val="both"/>
        <w:rPr>
          <w:rFonts w:cs="Calibri"/>
        </w:rPr>
      </w:pPr>
      <w:r w:rsidRPr="00021AAE">
        <w:t>The Acceleration Centres are owned by the countries themselves, guided by the BDT through specific programmatic knowledge in five key areas (strategic foresight, innovation cluster development, policy experimentation, startup growth and scale up and project co-design with beneficiaries), and benefit from the constellation of the rest of the centres including the Area Office and Innovation Centre hosted by the Indian Government in New Delhi.</w:t>
      </w:r>
    </w:p>
    <w:p w14:paraId="4FBB6BEC" w14:textId="77777777" w:rsidR="001C3EC0" w:rsidRPr="00021AAE" w:rsidRDefault="001C3EC0" w:rsidP="00235F25">
      <w:pPr>
        <w:jc w:val="both"/>
      </w:pPr>
      <w:r w:rsidRPr="00021AAE">
        <w:t xml:space="preserve">The Acceleration Centres are granted a programmatic badge and an annual monitoring and evaluation framework to help enhance capabilities. As part of the Innovation Alliance network, these centres also benefit from peer-to-peer learning and mutual support. This network of centres enables ITU to be closer to its membership on innovation ecosystem and entrepreneurship development, which are key drivers of economic growth in the digital age. </w:t>
      </w:r>
    </w:p>
    <w:p w14:paraId="64281D8A" w14:textId="55756052" w:rsidR="001C3EC0" w:rsidRPr="00021AAE" w:rsidRDefault="001C3EC0" w:rsidP="00235F25">
      <w:pPr>
        <w:rPr>
          <w:rFonts w:eastAsia="Aptos"/>
        </w:rPr>
      </w:pPr>
      <w:r w:rsidRPr="00021AAE">
        <w:lastRenderedPageBreak/>
        <w:t>The following lists the Acceleration Centres</w:t>
      </w:r>
      <w:r w:rsidR="00235F25" w:rsidRPr="00021AAE">
        <w:t>:</w:t>
      </w:r>
    </w:p>
    <w:p w14:paraId="39FCBF47" w14:textId="190A81C1" w:rsidR="004B3007" w:rsidRPr="00A23F29" w:rsidRDefault="00235F25" w:rsidP="00EE2D5E">
      <w:pPr>
        <w:pStyle w:val="enumlev1"/>
        <w:jc w:val="both"/>
        <w:rPr>
          <w:rFonts w:eastAsia="Aptos"/>
          <w:lang w:val="fr-FR"/>
        </w:rPr>
      </w:pPr>
      <w:r w:rsidRPr="00A23F29">
        <w:rPr>
          <w:rFonts w:eastAsia="Aptos"/>
          <w:lang w:val="fr-FR"/>
        </w:rPr>
        <w:t>–</w:t>
      </w:r>
      <w:r w:rsidRPr="00A23F29">
        <w:rPr>
          <w:rFonts w:eastAsia="Aptos"/>
          <w:lang w:val="fr-FR"/>
        </w:rPr>
        <w:tab/>
      </w:r>
      <w:r w:rsidR="001C3EC0" w:rsidRPr="00A23F29">
        <w:rPr>
          <w:rFonts w:eastAsia="Aptos"/>
          <w:lang w:val="fr-FR"/>
        </w:rPr>
        <w:t>Africa:</w:t>
      </w:r>
    </w:p>
    <w:p w14:paraId="4B8D6D55" w14:textId="745BFF25" w:rsidR="001017F7" w:rsidRPr="00A23F29" w:rsidRDefault="000460B3" w:rsidP="00EE2D5E">
      <w:pPr>
        <w:pStyle w:val="enumlev1"/>
        <w:jc w:val="both"/>
        <w:rPr>
          <w:lang w:val="fr-FR"/>
        </w:rPr>
      </w:pPr>
      <w:r w:rsidRPr="00A23F29">
        <w:rPr>
          <w:lang w:val="fr-FR"/>
        </w:rPr>
        <w:tab/>
      </w:r>
      <w:hyperlink r:id="rId23">
        <w:r w:rsidR="001C3EC0" w:rsidRPr="00A23F29">
          <w:rPr>
            <w:rStyle w:val="Hyperlink"/>
            <w:rFonts w:eastAsiaTheme="minorEastAsia" w:cs="Calibri"/>
            <w:szCs w:val="24"/>
            <w:lang w:val="fr-FR"/>
          </w:rPr>
          <w:t>Ministère de la Communication, de l'Économie numérique et de la Poste</w:t>
        </w:r>
        <w:r w:rsidR="001C3EC0" w:rsidRPr="00A23F29">
          <w:rPr>
            <w:rStyle w:val="Hyperlink"/>
            <w:rFonts w:eastAsiaTheme="minorEastAsia" w:cs="Calibri"/>
            <w:color w:val="auto"/>
            <w:szCs w:val="24"/>
            <w:u w:val="none"/>
            <w:lang w:val="fr-FR"/>
          </w:rPr>
          <w:t xml:space="preserve">, </w:t>
        </w:r>
        <w:r w:rsidR="001C3EC0" w:rsidRPr="00A23F29">
          <w:rPr>
            <w:rFonts w:eastAsiaTheme="minorEastAsia"/>
            <w:lang w:val="fr-FR"/>
          </w:rPr>
          <w:t>Gabon</w:t>
        </w:r>
      </w:hyperlink>
    </w:p>
    <w:p w14:paraId="187506D0" w14:textId="00E85D21" w:rsidR="001017F7" w:rsidRPr="00021AAE" w:rsidRDefault="000460B3" w:rsidP="00EE2D5E">
      <w:pPr>
        <w:pStyle w:val="enumlev1"/>
        <w:jc w:val="both"/>
      </w:pPr>
      <w:r w:rsidRPr="00A23F29">
        <w:rPr>
          <w:lang w:val="fr-FR"/>
        </w:rPr>
        <w:tab/>
      </w:r>
      <w:hyperlink r:id="rId24">
        <w:r w:rsidR="001C3EC0" w:rsidRPr="00021AAE">
          <w:rPr>
            <w:rStyle w:val="Hyperlink"/>
            <w:rFonts w:eastAsiaTheme="minorEastAsia" w:cs="Calibri"/>
            <w:szCs w:val="24"/>
          </w:rPr>
          <w:t>Communications Authority of Kenya</w:t>
        </w:r>
        <w:r w:rsidR="001C3EC0" w:rsidRPr="00021AAE">
          <w:rPr>
            <w:rFonts w:eastAsiaTheme="minorEastAsia"/>
          </w:rPr>
          <w:t>, Kenya</w:t>
        </w:r>
      </w:hyperlink>
    </w:p>
    <w:p w14:paraId="789F0943" w14:textId="6D495A61" w:rsidR="001017F7" w:rsidRPr="00021AAE" w:rsidRDefault="000460B3" w:rsidP="00EE2D5E">
      <w:pPr>
        <w:pStyle w:val="enumlev1"/>
        <w:jc w:val="both"/>
      </w:pPr>
      <w:r w:rsidRPr="00021AAE">
        <w:tab/>
      </w:r>
      <w:hyperlink r:id="rId25">
        <w:r w:rsidR="001C3EC0" w:rsidRPr="00021AAE">
          <w:rPr>
            <w:rStyle w:val="Hyperlink"/>
            <w:rFonts w:eastAsiaTheme="minorEastAsia" w:cs="Calibri"/>
            <w:szCs w:val="24"/>
          </w:rPr>
          <w:t>Malawi Communications Regulatory Authority</w:t>
        </w:r>
        <w:r w:rsidR="001C3EC0" w:rsidRPr="00021AAE">
          <w:rPr>
            <w:rFonts w:eastAsiaTheme="minorEastAsia"/>
          </w:rPr>
          <w:t>, Malawi</w:t>
        </w:r>
      </w:hyperlink>
    </w:p>
    <w:p w14:paraId="0D045EB9" w14:textId="321D3F90" w:rsidR="001017F7" w:rsidRPr="00021AAE" w:rsidRDefault="000460B3" w:rsidP="00EE2D5E">
      <w:pPr>
        <w:pStyle w:val="enumlev1"/>
        <w:jc w:val="both"/>
      </w:pPr>
      <w:r w:rsidRPr="00021AAE">
        <w:tab/>
      </w:r>
      <w:hyperlink r:id="rId26">
        <w:r w:rsidR="001C3EC0" w:rsidRPr="00021AAE">
          <w:rPr>
            <w:rStyle w:val="Hyperlink"/>
            <w:rFonts w:eastAsiaTheme="minorEastAsia" w:cs="Calibri"/>
            <w:szCs w:val="24"/>
          </w:rPr>
          <w:t xml:space="preserve">Sénégal Numérique SA, </w:t>
        </w:r>
        <w:r w:rsidR="001C3EC0" w:rsidRPr="00021AAE">
          <w:rPr>
            <w:rFonts w:eastAsiaTheme="minorEastAsia"/>
          </w:rPr>
          <w:t>Senegal</w:t>
        </w:r>
      </w:hyperlink>
    </w:p>
    <w:p w14:paraId="182F6F4D" w14:textId="271C5427" w:rsidR="001017F7" w:rsidRPr="00021AAE" w:rsidRDefault="000460B3" w:rsidP="00EE2D5E">
      <w:pPr>
        <w:pStyle w:val="enumlev1"/>
        <w:jc w:val="both"/>
      </w:pPr>
      <w:r w:rsidRPr="00021AAE">
        <w:tab/>
      </w:r>
      <w:hyperlink r:id="rId27">
        <w:r w:rsidR="001C3EC0" w:rsidRPr="00021AAE">
          <w:rPr>
            <w:rStyle w:val="Hyperlink"/>
            <w:rFonts w:eastAsiaTheme="minorEastAsia" w:cs="Calibri"/>
            <w:szCs w:val="24"/>
          </w:rPr>
          <w:t>Ministry of Information, Communication, and Information Technology</w:t>
        </w:r>
        <w:r w:rsidR="001C3EC0" w:rsidRPr="00EE2D5E">
          <w:rPr>
            <w:rStyle w:val="Hyperlink"/>
            <w:rFonts w:eastAsiaTheme="minorEastAsia" w:cs="Calibri"/>
            <w:color w:val="auto"/>
            <w:szCs w:val="24"/>
            <w:u w:val="none"/>
          </w:rPr>
          <w:t>,</w:t>
        </w:r>
        <w:r w:rsidR="001C3EC0" w:rsidRPr="00EE2D5E">
          <w:rPr>
            <w:rFonts w:eastAsiaTheme="minorEastAsia"/>
          </w:rPr>
          <w:t xml:space="preserve"> </w:t>
        </w:r>
        <w:r w:rsidR="001C3EC0" w:rsidRPr="00021AAE">
          <w:rPr>
            <w:rFonts w:eastAsiaTheme="minorEastAsia"/>
          </w:rPr>
          <w:t>Tanzania</w:t>
        </w:r>
      </w:hyperlink>
    </w:p>
    <w:p w14:paraId="72022B0B" w14:textId="76E8C2F5" w:rsidR="001C3EC0" w:rsidRPr="00021AAE" w:rsidRDefault="000460B3" w:rsidP="00EE2D5E">
      <w:pPr>
        <w:pStyle w:val="enumlev1"/>
        <w:jc w:val="both"/>
      </w:pPr>
      <w:r w:rsidRPr="00021AAE">
        <w:tab/>
      </w:r>
      <w:hyperlink r:id="rId28">
        <w:r w:rsidR="001C3EC0" w:rsidRPr="00021AAE">
          <w:rPr>
            <w:rStyle w:val="Hyperlink"/>
            <w:rFonts w:eastAsiaTheme="minorEastAsia" w:cs="Calibri"/>
            <w:szCs w:val="24"/>
          </w:rPr>
          <w:t>Postal &amp; Telecommunications Regulatory Authority of Zimbabwe</w:t>
        </w:r>
      </w:hyperlink>
      <w:r w:rsidR="001C3EC0" w:rsidRPr="00021AAE">
        <w:t xml:space="preserve">, </w:t>
      </w:r>
      <w:r w:rsidR="001C3EC0" w:rsidRPr="00021AAE">
        <w:rPr>
          <w:rFonts w:eastAsiaTheme="minorEastAsia"/>
        </w:rPr>
        <w:t>Zimbabwe</w:t>
      </w:r>
      <w:r w:rsidR="00EE2D5E">
        <w:rPr>
          <w:rFonts w:eastAsiaTheme="minorEastAsia"/>
        </w:rPr>
        <w:t>.</w:t>
      </w:r>
    </w:p>
    <w:p w14:paraId="7C5ED05F" w14:textId="4DD901EA" w:rsidR="001017F7" w:rsidRPr="00021AAE" w:rsidRDefault="00235F25" w:rsidP="00EE2D5E">
      <w:pPr>
        <w:pStyle w:val="enumlev1"/>
        <w:jc w:val="both"/>
      </w:pPr>
      <w:r w:rsidRPr="00021AAE">
        <w:rPr>
          <w:rFonts w:eastAsia="Aptos"/>
        </w:rPr>
        <w:t>–</w:t>
      </w:r>
      <w:r w:rsidRPr="00021AAE">
        <w:rPr>
          <w:rFonts w:eastAsia="Aptos"/>
        </w:rPr>
        <w:tab/>
      </w:r>
      <w:r w:rsidR="001C3EC0" w:rsidRPr="00021AAE">
        <w:rPr>
          <w:rFonts w:eastAsiaTheme="minorEastAsia"/>
        </w:rPr>
        <w:t>Americas:</w:t>
      </w:r>
    </w:p>
    <w:p w14:paraId="583A451F" w14:textId="5A2FCD6D" w:rsidR="001C3EC0" w:rsidRPr="00021AAE" w:rsidRDefault="000460B3" w:rsidP="00EE2D5E">
      <w:pPr>
        <w:pStyle w:val="enumlev1"/>
        <w:jc w:val="both"/>
        <w:rPr>
          <w:rFonts w:eastAsiaTheme="minorEastAsia"/>
        </w:rPr>
      </w:pPr>
      <w:r w:rsidRPr="00021AAE">
        <w:tab/>
      </w:r>
      <w:hyperlink r:id="rId29">
        <w:r w:rsidR="001C3EC0" w:rsidRPr="00021AAE">
          <w:rPr>
            <w:rStyle w:val="Hyperlink"/>
            <w:rFonts w:eastAsiaTheme="minorEastAsia" w:cs="Calibri"/>
          </w:rPr>
          <w:t>Government Office of Information and Communication Technologies</w:t>
        </w:r>
      </w:hyperlink>
      <w:r w:rsidR="001C3EC0" w:rsidRPr="00021AAE">
        <w:t xml:space="preserve">, </w:t>
      </w:r>
      <w:r w:rsidR="001C3EC0" w:rsidRPr="00021AAE">
        <w:rPr>
          <w:rFonts w:eastAsiaTheme="minorEastAsia"/>
        </w:rPr>
        <w:t>Dominican Republic</w:t>
      </w:r>
      <w:r w:rsidR="00EE2D5E">
        <w:rPr>
          <w:rFonts w:eastAsiaTheme="minorEastAsia"/>
        </w:rPr>
        <w:t>.</w:t>
      </w:r>
    </w:p>
    <w:p w14:paraId="4E7AA77A" w14:textId="3DA82E71" w:rsidR="001C3EC0" w:rsidRPr="00021AAE" w:rsidRDefault="00235F25" w:rsidP="00EE2D5E">
      <w:pPr>
        <w:pStyle w:val="enumlev1"/>
        <w:jc w:val="both"/>
        <w:rPr>
          <w:rFonts w:eastAsiaTheme="minorEastAsia"/>
        </w:rPr>
      </w:pPr>
      <w:r w:rsidRPr="00021AAE">
        <w:rPr>
          <w:rFonts w:eastAsia="Aptos"/>
        </w:rPr>
        <w:t>–</w:t>
      </w:r>
      <w:r w:rsidRPr="00021AAE">
        <w:rPr>
          <w:rFonts w:eastAsia="Aptos"/>
        </w:rPr>
        <w:tab/>
      </w:r>
      <w:r w:rsidR="001C3EC0" w:rsidRPr="00021AAE">
        <w:rPr>
          <w:rFonts w:eastAsiaTheme="minorEastAsia"/>
        </w:rPr>
        <w:t>Arab States:</w:t>
      </w:r>
    </w:p>
    <w:p w14:paraId="22A38522" w14:textId="5308ADF3" w:rsidR="001017F7" w:rsidRPr="00021AAE" w:rsidRDefault="000460B3" w:rsidP="00EE2D5E">
      <w:pPr>
        <w:pStyle w:val="enumlev1"/>
        <w:jc w:val="both"/>
        <w:rPr>
          <w:rFonts w:cs="Calibri"/>
        </w:rPr>
      </w:pPr>
      <w:r w:rsidRPr="00021AAE">
        <w:tab/>
      </w:r>
      <w:hyperlink r:id="rId30">
        <w:r w:rsidR="001C3EC0" w:rsidRPr="00021AAE">
          <w:rPr>
            <w:rStyle w:val="Hyperlink"/>
            <w:rFonts w:eastAsiaTheme="minorEastAsia" w:cs="Calibri"/>
          </w:rPr>
          <w:t>National Telecom Regulatory Authority</w:t>
        </w:r>
      </w:hyperlink>
      <w:r w:rsidR="001C3EC0" w:rsidRPr="00EE2D5E">
        <w:rPr>
          <w:rFonts w:eastAsiaTheme="minorEastAsia" w:cs="Calibri"/>
          <w:bCs/>
        </w:rPr>
        <w:t xml:space="preserve">, </w:t>
      </w:r>
      <w:r w:rsidR="001C3EC0" w:rsidRPr="00021AAE">
        <w:rPr>
          <w:rFonts w:eastAsiaTheme="minorEastAsia" w:cs="Calibri"/>
        </w:rPr>
        <w:t>Egypt</w:t>
      </w:r>
      <w:r w:rsidR="00EE2D5E">
        <w:rPr>
          <w:rFonts w:eastAsiaTheme="minorEastAsia" w:cs="Calibri"/>
        </w:rPr>
        <w:t>.</w:t>
      </w:r>
    </w:p>
    <w:p w14:paraId="78C8027E" w14:textId="2C33C439" w:rsidR="001017F7" w:rsidRPr="00021AAE" w:rsidRDefault="00235F25" w:rsidP="00EE2D5E">
      <w:pPr>
        <w:pStyle w:val="enumlev1"/>
        <w:jc w:val="both"/>
      </w:pPr>
      <w:r w:rsidRPr="00021AAE">
        <w:rPr>
          <w:rFonts w:eastAsia="Aptos"/>
        </w:rPr>
        <w:t>–</w:t>
      </w:r>
      <w:r w:rsidRPr="00021AAE">
        <w:rPr>
          <w:rFonts w:eastAsia="Aptos"/>
        </w:rPr>
        <w:tab/>
      </w:r>
      <w:r w:rsidR="001C3EC0" w:rsidRPr="00021AAE">
        <w:rPr>
          <w:rFonts w:eastAsiaTheme="minorEastAsia"/>
        </w:rPr>
        <w:t>Asia-Pacific:</w:t>
      </w:r>
    </w:p>
    <w:p w14:paraId="2666924C" w14:textId="780A8B1A" w:rsidR="001017F7" w:rsidRPr="00021AAE" w:rsidRDefault="000460B3" w:rsidP="00EE2D5E">
      <w:pPr>
        <w:pStyle w:val="enumlev1"/>
        <w:jc w:val="both"/>
      </w:pPr>
      <w:r w:rsidRPr="00021AAE">
        <w:tab/>
      </w:r>
      <w:hyperlink r:id="rId31">
        <w:r w:rsidR="001C3EC0" w:rsidRPr="00021AAE">
          <w:rPr>
            <w:rStyle w:val="Hyperlink"/>
            <w:rFonts w:eastAsiaTheme="minorEastAsia" w:cs="Calibri"/>
          </w:rPr>
          <w:t>China Academy of Information and Communications Technology</w:t>
        </w:r>
        <w:r w:rsidR="001C3EC0" w:rsidRPr="00EE2D5E">
          <w:rPr>
            <w:rStyle w:val="Hyperlink"/>
            <w:rFonts w:eastAsiaTheme="minorEastAsia" w:cs="Calibri"/>
            <w:color w:val="auto"/>
            <w:u w:val="none"/>
          </w:rPr>
          <w:t xml:space="preserve">, </w:t>
        </w:r>
        <w:r w:rsidR="001C3EC0" w:rsidRPr="00021AAE">
          <w:rPr>
            <w:rFonts w:eastAsiaTheme="minorEastAsia"/>
          </w:rPr>
          <w:t>China</w:t>
        </w:r>
      </w:hyperlink>
    </w:p>
    <w:p w14:paraId="43A91910" w14:textId="47874D6B" w:rsidR="001017F7" w:rsidRPr="00021AAE" w:rsidRDefault="000460B3" w:rsidP="00EE2D5E">
      <w:pPr>
        <w:pStyle w:val="enumlev1"/>
        <w:jc w:val="both"/>
      </w:pPr>
      <w:r w:rsidRPr="00021AAE">
        <w:tab/>
      </w:r>
      <w:hyperlink r:id="rId32">
        <w:r w:rsidR="001C3EC0" w:rsidRPr="00021AAE">
          <w:rPr>
            <w:rStyle w:val="Hyperlink"/>
            <w:rFonts w:eastAsiaTheme="minorEastAsia" w:cs="Calibri"/>
          </w:rPr>
          <w:t>China Branch of BRICS Institute of Future Networks</w:t>
        </w:r>
        <w:r w:rsidR="001C3EC0" w:rsidRPr="00EE2D5E">
          <w:rPr>
            <w:rStyle w:val="Hyperlink"/>
            <w:rFonts w:eastAsiaTheme="minorEastAsia" w:cs="Calibri"/>
            <w:color w:val="auto"/>
            <w:u w:val="none"/>
          </w:rPr>
          <w:t xml:space="preserve">, </w:t>
        </w:r>
        <w:r w:rsidR="001C3EC0" w:rsidRPr="00021AAE">
          <w:rPr>
            <w:rFonts w:eastAsiaTheme="minorEastAsia"/>
          </w:rPr>
          <w:t>China</w:t>
        </w:r>
      </w:hyperlink>
    </w:p>
    <w:p w14:paraId="7596136D" w14:textId="2CB1EE25" w:rsidR="001017F7" w:rsidRPr="00021AAE" w:rsidRDefault="000460B3" w:rsidP="00EE2D5E">
      <w:pPr>
        <w:pStyle w:val="enumlev1"/>
        <w:jc w:val="both"/>
      </w:pPr>
      <w:r w:rsidRPr="00021AAE">
        <w:tab/>
      </w:r>
      <w:hyperlink r:id="rId33">
        <w:r w:rsidR="001C3EC0" w:rsidRPr="00021AAE">
          <w:rPr>
            <w:rStyle w:val="Hyperlink"/>
            <w:rFonts w:eastAsiaTheme="minorEastAsia" w:cs="Calibri"/>
          </w:rPr>
          <w:t>Ignite – Ministry of IT &amp; Telecom</w:t>
        </w:r>
        <w:r w:rsidR="001C3EC0" w:rsidRPr="00EE2D5E">
          <w:rPr>
            <w:rStyle w:val="Hyperlink"/>
            <w:rFonts w:eastAsiaTheme="minorEastAsia" w:cs="Calibri"/>
            <w:color w:val="auto"/>
            <w:u w:val="none"/>
          </w:rPr>
          <w:t xml:space="preserve">, </w:t>
        </w:r>
        <w:r w:rsidR="001C3EC0" w:rsidRPr="00021AAE">
          <w:rPr>
            <w:rFonts w:eastAsiaTheme="minorEastAsia"/>
          </w:rPr>
          <w:t>Pakistan</w:t>
        </w:r>
      </w:hyperlink>
    </w:p>
    <w:p w14:paraId="5277DEC4" w14:textId="574A28B6" w:rsidR="001C3EC0" w:rsidRPr="00021AAE" w:rsidRDefault="000460B3" w:rsidP="00EE2D5E">
      <w:pPr>
        <w:pStyle w:val="enumlev1"/>
        <w:jc w:val="both"/>
        <w:rPr>
          <w:rFonts w:eastAsiaTheme="minorEastAsia"/>
        </w:rPr>
      </w:pPr>
      <w:r w:rsidRPr="00021AAE">
        <w:tab/>
      </w:r>
      <w:hyperlink r:id="rId34">
        <w:r w:rsidR="001C3EC0" w:rsidRPr="00021AAE">
          <w:rPr>
            <w:rStyle w:val="Hyperlink"/>
            <w:rFonts w:eastAsiaTheme="minorEastAsia" w:cs="Calibri"/>
          </w:rPr>
          <w:t>Department of Information and Communications Technology</w:t>
        </w:r>
      </w:hyperlink>
      <w:r w:rsidR="001C3EC0" w:rsidRPr="00021AAE">
        <w:t xml:space="preserve">, </w:t>
      </w:r>
      <w:r w:rsidR="001C3EC0" w:rsidRPr="00021AAE">
        <w:rPr>
          <w:rFonts w:eastAsiaTheme="minorEastAsia"/>
        </w:rPr>
        <w:t>Philippines</w:t>
      </w:r>
      <w:r w:rsidR="00EE2D5E">
        <w:rPr>
          <w:rFonts w:eastAsiaTheme="minorEastAsia"/>
        </w:rPr>
        <w:t>.</w:t>
      </w:r>
    </w:p>
    <w:p w14:paraId="0B2EA5AA" w14:textId="58FB7B8C" w:rsidR="001017F7" w:rsidRPr="00021AAE" w:rsidRDefault="00235F25" w:rsidP="00EE2D5E">
      <w:pPr>
        <w:pStyle w:val="enumlev1"/>
        <w:jc w:val="both"/>
      </w:pPr>
      <w:r w:rsidRPr="00021AAE">
        <w:rPr>
          <w:rFonts w:eastAsia="Aptos"/>
        </w:rPr>
        <w:t>–</w:t>
      </w:r>
      <w:r w:rsidRPr="00021AAE">
        <w:rPr>
          <w:rFonts w:eastAsia="Aptos"/>
        </w:rPr>
        <w:tab/>
      </w:r>
      <w:r w:rsidR="001C3EC0" w:rsidRPr="00021AAE">
        <w:rPr>
          <w:rFonts w:eastAsiaTheme="minorEastAsia"/>
        </w:rPr>
        <w:t>CIS:</w:t>
      </w:r>
    </w:p>
    <w:p w14:paraId="5BA9F12C" w14:textId="2F232DE0" w:rsidR="001C3EC0" w:rsidRPr="00021AAE" w:rsidRDefault="000460B3" w:rsidP="00EE2D5E">
      <w:pPr>
        <w:pStyle w:val="enumlev1"/>
        <w:jc w:val="both"/>
        <w:rPr>
          <w:rFonts w:eastAsiaTheme="minorEastAsia"/>
        </w:rPr>
      </w:pPr>
      <w:r w:rsidRPr="00021AAE">
        <w:tab/>
      </w:r>
      <w:hyperlink r:id="rId35">
        <w:r w:rsidR="001C3EC0" w:rsidRPr="00021AAE">
          <w:rPr>
            <w:rStyle w:val="Hyperlink"/>
            <w:rFonts w:eastAsiaTheme="minorEastAsia" w:cs="Calibri"/>
          </w:rPr>
          <w:t>Innovation &amp; Digital Development Agency</w:t>
        </w:r>
      </w:hyperlink>
      <w:r w:rsidR="001C3EC0" w:rsidRPr="00021AAE">
        <w:t xml:space="preserve">, </w:t>
      </w:r>
      <w:r w:rsidR="001C3EC0" w:rsidRPr="00021AAE">
        <w:rPr>
          <w:rFonts w:eastAsiaTheme="minorEastAsia"/>
        </w:rPr>
        <w:t>Azerbaijan</w:t>
      </w:r>
    </w:p>
    <w:p w14:paraId="4DB2BFCE" w14:textId="6D3DDD0E" w:rsidR="001017F7" w:rsidRPr="00021AAE" w:rsidRDefault="00235F25" w:rsidP="00EE2D5E">
      <w:pPr>
        <w:pStyle w:val="enumlev1"/>
        <w:jc w:val="both"/>
      </w:pPr>
      <w:r w:rsidRPr="00021AAE">
        <w:rPr>
          <w:rFonts w:eastAsia="Aptos"/>
        </w:rPr>
        <w:t>–</w:t>
      </w:r>
      <w:r w:rsidRPr="00021AAE">
        <w:rPr>
          <w:rFonts w:eastAsia="Aptos"/>
        </w:rPr>
        <w:tab/>
      </w:r>
      <w:r w:rsidR="001C3EC0" w:rsidRPr="00021AAE">
        <w:rPr>
          <w:rFonts w:eastAsiaTheme="minorEastAsia"/>
        </w:rPr>
        <w:t>Europe:</w:t>
      </w:r>
    </w:p>
    <w:p w14:paraId="21961B60" w14:textId="28B8DEDA" w:rsidR="001C3EC0" w:rsidRPr="00021AAE" w:rsidRDefault="000460B3" w:rsidP="00EE2D5E">
      <w:pPr>
        <w:pStyle w:val="enumlev1"/>
        <w:jc w:val="both"/>
        <w:rPr>
          <w:rFonts w:eastAsiaTheme="minorEastAsia" w:cs="Calibri"/>
        </w:rPr>
      </w:pPr>
      <w:r w:rsidRPr="00021AAE">
        <w:tab/>
      </w:r>
      <w:hyperlink r:id="rId36">
        <w:r w:rsidR="001C3EC0" w:rsidRPr="00021AAE">
          <w:rPr>
            <w:rStyle w:val="Hyperlink"/>
            <w:rFonts w:eastAsiaTheme="minorEastAsia" w:cs="Calibri"/>
          </w:rPr>
          <w:t>Ministry of Infrastructure and Energy of Albania</w:t>
        </w:r>
      </w:hyperlink>
      <w:r w:rsidR="001C3EC0" w:rsidRPr="00021AAE">
        <w:t xml:space="preserve">, </w:t>
      </w:r>
      <w:r w:rsidR="001C3EC0" w:rsidRPr="00021AAE">
        <w:rPr>
          <w:rFonts w:eastAsiaTheme="minorEastAsia" w:cs="Calibri"/>
        </w:rPr>
        <w:t>Albania</w:t>
      </w:r>
      <w:r w:rsidR="00EE2D5E">
        <w:rPr>
          <w:rFonts w:eastAsiaTheme="minorEastAsia" w:cs="Calibri"/>
        </w:rPr>
        <w:t>.</w:t>
      </w:r>
    </w:p>
    <w:p w14:paraId="01AC6AFB" w14:textId="01D1178B" w:rsidR="001C3EC0" w:rsidRPr="00021AAE" w:rsidRDefault="00755C2C" w:rsidP="00417265">
      <w:pPr>
        <w:pStyle w:val="Heading1"/>
      </w:pPr>
      <w:r w:rsidRPr="00021AAE">
        <w:t>2</w:t>
      </w:r>
      <w:r w:rsidRPr="00021AAE">
        <w:tab/>
      </w:r>
      <w:proofErr w:type="gramStart"/>
      <w:r w:rsidR="001C3EC0" w:rsidRPr="00021AAE">
        <w:t>Open Source</w:t>
      </w:r>
      <w:proofErr w:type="gramEnd"/>
      <w:r w:rsidR="001C3EC0" w:rsidRPr="00021AAE">
        <w:t xml:space="preserve"> Programme Offices (OSPOs)</w:t>
      </w:r>
    </w:p>
    <w:p w14:paraId="22F765B4" w14:textId="74E073AE" w:rsidR="001C3EC0" w:rsidRPr="00021AAE" w:rsidRDefault="001C3EC0" w:rsidP="00DA3B01">
      <w:pPr>
        <w:jc w:val="both"/>
        <w:rPr>
          <w:rFonts w:asciiTheme="minorHAnsi" w:hAnsiTheme="minorHAnsi" w:cstheme="minorHAnsi"/>
        </w:rPr>
      </w:pPr>
      <w:r w:rsidRPr="00021AAE">
        <w:t xml:space="preserve">Contributing to the implementation of WTDC-22 Resolution 23 (Rev. Buenos Aires, 2017) and Resolution 37 (Rev. Kigali, 2022), the BDT advanced a structured approach to supporting Member States in strengthening their national digital ecosystems through open, interoperable, and sustainable digital solutions. This work is being undertaken through the </w:t>
      </w:r>
      <w:hyperlink r:id="rId37" w:history="1">
        <w:r w:rsidRPr="00021AAE">
          <w:rPr>
            <w:rStyle w:val="Hyperlink"/>
            <w:rFonts w:cs="Calibri"/>
          </w:rPr>
          <w:t xml:space="preserve">Open Source Ecosystem Enablement for Public Services Innovation </w:t>
        </w:r>
        <w:r w:rsidRPr="00021AAE">
          <w:rPr>
            <w:rStyle w:val="Hyperlink"/>
            <w:rFonts w:asciiTheme="minorHAnsi" w:hAnsiTheme="minorHAnsi" w:cstheme="minorBidi"/>
          </w:rPr>
          <w:t>programme</w:t>
        </w:r>
      </w:hyperlink>
      <w:r w:rsidRPr="00021AAE">
        <w:rPr>
          <w:rFonts w:asciiTheme="minorHAnsi" w:hAnsiTheme="minorHAnsi" w:cstheme="minorHAnsi"/>
        </w:rPr>
        <w:t xml:space="preserve"> (CRIS 445-635 – ITU reference OSEE 9GLO23129), coordinated by BDT, implemented in collaboration with UNDP, and funded by the European Commission for EUR 3 million. The programme began on</w:t>
      </w:r>
      <w:r w:rsidR="00E969BB">
        <w:rPr>
          <w:rFonts w:asciiTheme="minorHAnsi" w:hAnsiTheme="minorHAnsi" w:cstheme="minorHAnsi"/>
        </w:rPr>
        <w:t> </w:t>
      </w:r>
      <w:r w:rsidRPr="00021AAE">
        <w:rPr>
          <w:rFonts w:asciiTheme="minorHAnsi" w:hAnsiTheme="minorHAnsi" w:cstheme="minorHAnsi"/>
        </w:rPr>
        <w:t>1</w:t>
      </w:r>
      <w:r w:rsidR="00E969BB">
        <w:rPr>
          <w:rFonts w:asciiTheme="minorHAnsi" w:hAnsiTheme="minorHAnsi" w:cstheme="minorHAnsi"/>
        </w:rPr>
        <w:t> </w:t>
      </w:r>
      <w:r w:rsidRPr="00021AAE">
        <w:rPr>
          <w:rFonts w:asciiTheme="minorHAnsi" w:hAnsiTheme="minorHAnsi" w:cstheme="minorHAnsi"/>
        </w:rPr>
        <w:t>September 2023, representing a major extrabudgetary initiative translating BDT’s commitments to open collaboration, capacity building, and digital cooperation into operational support for Member States. This initiative will continue to contribute to the implementation of WTDC-25 Resolutions 23 and 37 (Rev. Baku, 2025).</w:t>
      </w:r>
    </w:p>
    <w:p w14:paraId="532805B7" w14:textId="77777777" w:rsidR="001C3EC0" w:rsidRPr="00021AAE" w:rsidRDefault="001C3EC0" w:rsidP="00DA3B01">
      <w:pPr>
        <w:jc w:val="both"/>
        <w:rPr>
          <w:rFonts w:asciiTheme="minorHAnsi" w:hAnsiTheme="minorHAnsi" w:cstheme="minorHAnsi"/>
        </w:rPr>
      </w:pPr>
      <w:r w:rsidRPr="00021AAE">
        <w:rPr>
          <w:rFonts w:asciiTheme="minorHAnsi" w:eastAsia="-webkit-standard" w:hAnsiTheme="minorHAnsi" w:cstheme="minorHAnsi"/>
        </w:rPr>
        <w:t xml:space="preserve">As part of </w:t>
      </w:r>
      <w:r w:rsidRPr="00021AAE">
        <w:rPr>
          <w:rFonts w:asciiTheme="minorHAnsi" w:hAnsiTheme="minorHAnsi" w:cstheme="minorHAnsi"/>
        </w:rPr>
        <w:t>this</w:t>
      </w:r>
      <w:r w:rsidRPr="00021AAE">
        <w:rPr>
          <w:rFonts w:asciiTheme="minorHAnsi" w:eastAsia="-webkit-standard" w:hAnsiTheme="minorHAnsi" w:cstheme="minorHAnsi"/>
        </w:rPr>
        <w:t xml:space="preserve"> effort to strengthen Regional Presence and provide Member States with practical instruments for advancing digital transformation, the BDT has initiated the development of national </w:t>
      </w:r>
      <w:proofErr w:type="gramStart"/>
      <w:r w:rsidRPr="00021AAE">
        <w:rPr>
          <w:rFonts w:asciiTheme="minorHAnsi" w:eastAsia="-webkit-standard" w:hAnsiTheme="minorHAnsi" w:cstheme="minorHAnsi"/>
        </w:rPr>
        <w:t>Open Source</w:t>
      </w:r>
      <w:proofErr w:type="gramEnd"/>
      <w:r w:rsidRPr="00021AAE">
        <w:rPr>
          <w:rFonts w:asciiTheme="minorHAnsi" w:eastAsia="-webkit-standard" w:hAnsiTheme="minorHAnsi" w:cstheme="minorHAnsi"/>
        </w:rPr>
        <w:t xml:space="preserve"> Programme Offices (OSPOs) in selected countries.</w:t>
      </w:r>
      <w:r w:rsidRPr="00021AAE">
        <w:rPr>
          <w:rFonts w:asciiTheme="minorHAnsi" w:hAnsiTheme="minorHAnsi" w:cstheme="minorHAnsi"/>
        </w:rPr>
        <w:t xml:space="preserve">  An OSPO is an institutional mechanism dedicated to coordinating a government’s strategic approach to </w:t>
      </w:r>
      <w:proofErr w:type="gramStart"/>
      <w:r w:rsidRPr="00021AAE">
        <w:rPr>
          <w:rFonts w:asciiTheme="minorHAnsi" w:hAnsiTheme="minorHAnsi" w:cstheme="minorHAnsi"/>
        </w:rPr>
        <w:t>open source</w:t>
      </w:r>
      <w:proofErr w:type="gramEnd"/>
      <w:r w:rsidRPr="00021AAE">
        <w:rPr>
          <w:rFonts w:asciiTheme="minorHAnsi" w:hAnsiTheme="minorHAnsi" w:cstheme="minorHAnsi"/>
        </w:rPr>
        <w:t xml:space="preserve"> technologies. It provides guidance on policy and governance, </w:t>
      </w:r>
      <w:r w:rsidRPr="00021AAE">
        <w:rPr>
          <w:rFonts w:asciiTheme="minorHAnsi" w:hAnsiTheme="minorHAnsi" w:cstheme="minorHAnsi"/>
        </w:rPr>
        <w:lastRenderedPageBreak/>
        <w:t xml:space="preserve">supports the adoption and reuse of Digital Public Goods (DPGs), ensures alignment with national Digital Public Infrastructure (DPI) strategies, fosters collaboration with local and international ecosystems, and strengthens the technical and organizational capacities required for sustainable </w:t>
      </w:r>
      <w:proofErr w:type="gramStart"/>
      <w:r w:rsidRPr="00021AAE">
        <w:rPr>
          <w:rFonts w:asciiTheme="minorHAnsi" w:hAnsiTheme="minorHAnsi" w:cstheme="minorHAnsi"/>
        </w:rPr>
        <w:t>open source</w:t>
      </w:r>
      <w:proofErr w:type="gramEnd"/>
      <w:r w:rsidRPr="00021AAE">
        <w:rPr>
          <w:rFonts w:asciiTheme="minorHAnsi" w:hAnsiTheme="minorHAnsi" w:cstheme="minorHAnsi"/>
        </w:rPr>
        <w:t xml:space="preserve"> adoption. As such, OSPOs act as long-term enablers of sovereign, interoperable, and cost-effective digital public services. </w:t>
      </w:r>
      <w:r w:rsidRPr="00021AAE">
        <w:rPr>
          <w:rFonts w:asciiTheme="minorHAnsi" w:eastAsia="-webkit-standard" w:hAnsiTheme="minorHAnsi" w:cstheme="minorHAnsi"/>
          <w:color w:val="000000" w:themeColor="text1"/>
        </w:rPr>
        <w:t>By anchoring open source as a core enabler of DPI and DPGs, OSPOs provide Member States with a long-term strategic capability to build interoperable, reusable, and future-ready digital services, in line with the vision of the 2026 Baku Action Plan.</w:t>
      </w:r>
    </w:p>
    <w:p w14:paraId="029D8917" w14:textId="77777777" w:rsidR="001C3EC0" w:rsidRPr="00021AAE" w:rsidRDefault="001C3EC0" w:rsidP="00DA3B01">
      <w:pPr>
        <w:jc w:val="both"/>
        <w:rPr>
          <w:rFonts w:asciiTheme="minorHAnsi" w:eastAsia="-webkit-standard" w:hAnsiTheme="minorHAnsi" w:cstheme="minorHAnsi"/>
          <w:color w:val="000000" w:themeColor="text1"/>
        </w:rPr>
      </w:pPr>
      <w:r w:rsidRPr="00021AAE">
        <w:rPr>
          <w:rFonts w:asciiTheme="minorHAnsi" w:hAnsiTheme="minorHAnsi" w:cstheme="minorHAnsi"/>
        </w:rPr>
        <w:t xml:space="preserve">Within the OSEE programme, BDT is developing national OSPOs specifically designed to leverage and nurture local ecosystems, ensuring that </w:t>
      </w:r>
      <w:proofErr w:type="gramStart"/>
      <w:r w:rsidRPr="00021AAE">
        <w:rPr>
          <w:rFonts w:asciiTheme="minorHAnsi" w:hAnsiTheme="minorHAnsi" w:cstheme="minorHAnsi"/>
        </w:rPr>
        <w:t>open source</w:t>
      </w:r>
      <w:proofErr w:type="gramEnd"/>
      <w:r w:rsidRPr="00021AAE">
        <w:rPr>
          <w:rFonts w:asciiTheme="minorHAnsi" w:hAnsiTheme="minorHAnsi" w:cstheme="minorHAnsi"/>
        </w:rPr>
        <w:t xml:space="preserve"> innovation is grounded in local context, driven by national expertise, and positioned for long-term sustainability. By embedding OSPOs within existing national institutions, the model reinforces national ownership and ensures continuity beyond the programme’s duration. </w:t>
      </w:r>
      <w:r w:rsidRPr="00021AAE">
        <w:rPr>
          <w:rFonts w:asciiTheme="minorHAnsi" w:eastAsia="-webkit-standard" w:hAnsiTheme="minorHAnsi" w:cstheme="minorHAnsi"/>
          <w:color w:val="000000" w:themeColor="text1"/>
        </w:rPr>
        <w:t>This approach allows OSEE to support Member States in progressively evolving from individual digital solutions to coherent digital public infrastructure ecosystems. The programme therefore responds directly to growing demand for structured national guidance on open source, DPG adoption, and the operationalization of DPI principles across sectors.</w:t>
      </w:r>
    </w:p>
    <w:p w14:paraId="653EA301" w14:textId="77777777" w:rsidR="001C3EC0" w:rsidRPr="00021AAE" w:rsidRDefault="001C3EC0" w:rsidP="00DA3B01">
      <w:pPr>
        <w:jc w:val="both"/>
        <w:rPr>
          <w:rFonts w:asciiTheme="minorHAnsi" w:hAnsiTheme="minorHAnsi" w:cstheme="minorBidi"/>
        </w:rPr>
      </w:pPr>
      <w:r w:rsidRPr="00021AAE">
        <w:rPr>
          <w:rFonts w:asciiTheme="minorHAnsi" w:eastAsia="-webkit-standard" w:hAnsiTheme="minorHAnsi" w:cstheme="minorBidi"/>
          <w:color w:val="000000" w:themeColor="text1"/>
        </w:rPr>
        <w:t xml:space="preserve">In 2024, OSEE issued an </w:t>
      </w:r>
      <w:hyperlink r:id="rId38" w:history="1">
        <w:r w:rsidRPr="00021AAE">
          <w:rPr>
            <w:rStyle w:val="Hyperlink"/>
            <w:rFonts w:asciiTheme="minorHAnsi" w:eastAsia="-webkit-standard" w:hAnsiTheme="minorHAnsi" w:cstheme="minorBidi"/>
          </w:rPr>
          <w:t>open call for participation</w:t>
        </w:r>
      </w:hyperlink>
      <w:r w:rsidRPr="00021AAE">
        <w:rPr>
          <w:rFonts w:asciiTheme="minorHAnsi" w:eastAsia="-webkit-standard" w:hAnsiTheme="minorHAnsi" w:cstheme="minorBidi"/>
          <w:color w:val="000000" w:themeColor="text1"/>
        </w:rPr>
        <w:t xml:space="preserve"> and received an exceptionally high number of strong applications. Two countries: Kenya, led by ITU, and Trinidad and Tobago, led by UNDP, were selected as pilots for their readiness and potential to demonstrate meaningful national impact, while the remaining high-quality candidates were invited to join a newly created Affiliate Countries Programme, ensuring their continued engagement and building a broader pool for future OSPO replication.</w:t>
      </w:r>
    </w:p>
    <w:p w14:paraId="38ED798F" w14:textId="3C2A04B9" w:rsidR="001C3EC0" w:rsidRPr="00021AAE" w:rsidRDefault="00DA3B01" w:rsidP="00DA3B01">
      <w:pPr>
        <w:pStyle w:val="enumlev1"/>
        <w:jc w:val="both"/>
      </w:pPr>
      <w:r w:rsidRPr="00021AAE">
        <w:t>–</w:t>
      </w:r>
      <w:r w:rsidRPr="00021AAE">
        <w:tab/>
      </w:r>
      <w:r w:rsidR="001C3EC0" w:rsidRPr="00021AAE">
        <w:rPr>
          <w:b/>
          <w:bCs/>
        </w:rPr>
        <w:t>Kenya:</w:t>
      </w:r>
      <w:r w:rsidR="001C3EC0" w:rsidRPr="00021AAE">
        <w:t xml:space="preserve"> Over the past year, the Ministry of ICT and the Digital Economy (</w:t>
      </w:r>
      <w:proofErr w:type="spellStart"/>
      <w:r w:rsidR="001C3EC0" w:rsidRPr="00021AAE">
        <w:t>MoICDE</w:t>
      </w:r>
      <w:proofErr w:type="spellEnd"/>
      <w:r w:rsidR="001C3EC0" w:rsidRPr="00021AAE">
        <w:t xml:space="preserve">) has collaborated closely with ITU to co-develop a comprehensive thirty-page OSPO Implementation Framework that defines governance, roles, responsibilities, and the OSPO’s integration within the national digital service architecture. This framework is now finalized and signed as of 24 October 2025, with public announcement made at the Global DPI Summit 2025. In parallel, a working group was established to define Kenya’s DPI roadmap and the first government training activities under OSEE took place in November 2025. Kenya is now positioned to become a regional anchor for </w:t>
      </w:r>
      <w:proofErr w:type="gramStart"/>
      <w:r w:rsidR="001C3EC0" w:rsidRPr="00021AAE">
        <w:t>open source</w:t>
      </w:r>
      <w:proofErr w:type="gramEnd"/>
      <w:r w:rsidR="001C3EC0" w:rsidRPr="00021AAE">
        <w:t xml:space="preserve"> adoption in Africa, advancing a model for institutionalizing </w:t>
      </w:r>
      <w:proofErr w:type="gramStart"/>
      <w:r w:rsidR="001C3EC0" w:rsidRPr="00021AAE">
        <w:t>open source</w:t>
      </w:r>
      <w:proofErr w:type="gramEnd"/>
      <w:r w:rsidR="001C3EC0" w:rsidRPr="00021AAE">
        <w:t xml:space="preserve"> governance as part of its national DPI strategy.</w:t>
      </w:r>
    </w:p>
    <w:p w14:paraId="0C8DED62" w14:textId="70CC6CA3" w:rsidR="003C023D" w:rsidRPr="00E969BB" w:rsidRDefault="00DA3B01" w:rsidP="00DA3B01">
      <w:pPr>
        <w:pStyle w:val="enumlev1"/>
        <w:jc w:val="both"/>
        <w:rPr>
          <w:spacing w:val="-2"/>
        </w:rPr>
      </w:pPr>
      <w:r w:rsidRPr="00E969BB">
        <w:rPr>
          <w:spacing w:val="-2"/>
        </w:rPr>
        <w:t>–</w:t>
      </w:r>
      <w:r w:rsidRPr="00E969BB">
        <w:rPr>
          <w:spacing w:val="-2"/>
        </w:rPr>
        <w:tab/>
      </w:r>
      <w:r w:rsidR="001C3EC0" w:rsidRPr="00E969BB">
        <w:rPr>
          <w:b/>
          <w:bCs/>
          <w:spacing w:val="-2"/>
        </w:rPr>
        <w:t>Trinidad and Tobago:</w:t>
      </w:r>
      <w:r w:rsidR="001C3EC0" w:rsidRPr="00E969BB">
        <w:rPr>
          <w:spacing w:val="-2"/>
        </w:rPr>
        <w:t xml:space="preserve"> The OSPO Project Document was finalized and is scheduled for approval by the Local Project Action Committee. The government has appointed a dedicated OSPO Project Officer, established working arrangements within the ministry, and begun national stakeholder engagement. Supported by complementary financing from the Inter-American Development Bank and an academic hosting arrangement at the University of the West Indies, Trinidad and Tobago is laying the foundation for one of the region’s first national OSPOs. This OSPO is expected to serve as a model for Small Island Developing States seeking to adopt open, interoperable, and sustainable digital solutions.</w:t>
      </w:r>
    </w:p>
    <w:p w14:paraId="59539EA8" w14:textId="2C0756C7" w:rsidR="001C3EC0" w:rsidRPr="00021AAE" w:rsidRDefault="00DA3B01" w:rsidP="00DA3B01">
      <w:pPr>
        <w:pStyle w:val="enumlev1"/>
        <w:jc w:val="both"/>
      </w:pPr>
      <w:r w:rsidRPr="00021AAE">
        <w:t>–</w:t>
      </w:r>
      <w:r w:rsidRPr="00021AAE">
        <w:tab/>
      </w:r>
      <w:r w:rsidR="001C3EC0" w:rsidRPr="00021AAE">
        <w:rPr>
          <w:b/>
          <w:bCs/>
        </w:rPr>
        <w:t xml:space="preserve">Affiliate </w:t>
      </w:r>
      <w:r w:rsidR="006F0356" w:rsidRPr="00021AAE">
        <w:rPr>
          <w:b/>
          <w:bCs/>
        </w:rPr>
        <w:t>Countries</w:t>
      </w:r>
      <w:r w:rsidR="001C3EC0" w:rsidRPr="006F0356">
        <w:rPr>
          <w:b/>
          <w:bCs/>
        </w:rPr>
        <w:t>:</w:t>
      </w:r>
      <w:r w:rsidR="001C3EC0" w:rsidRPr="00021AAE">
        <w:t xml:space="preserve"> Officially launched in August 2025, the OSEE Affiliate Countries Programme broadens the reach of OSEE to twenty-three Member States, with additional countries expressing early interest. The Affiliate Programme strengthens national readiness for </w:t>
      </w:r>
      <w:proofErr w:type="gramStart"/>
      <w:r w:rsidR="001C3EC0" w:rsidRPr="00021AAE">
        <w:t>open source</w:t>
      </w:r>
      <w:proofErr w:type="gramEnd"/>
      <w:r w:rsidR="001C3EC0" w:rsidRPr="00021AAE">
        <w:t xml:space="preserve"> adoption by providing structured support through quarterly educational webinars, bi-annual one-on-one consultations with the OSEE team, and priority access to specialised resources, such as the OSEE framework, and global networks. Affiliate countries also receive early access to complementary tools and methodologies developed by ITU and UNDP. Designed as a strategic pipeline, the Affiliate Programme functions as a pool of countries that can progressively transition to full OSPO implementation as their institutional maturity, political readiness, and resource availability evolve. This approach ensures continuity, scalability, and a sustainable ecosystem of future national OSPOs aligned with the goals of digital sovereignty, DPI strengthening, and the adoption of DPGs. </w:t>
      </w:r>
    </w:p>
    <w:p w14:paraId="4F9A6FAD" w14:textId="78DF2B39" w:rsidR="003C023D" w:rsidRPr="00021AAE" w:rsidRDefault="001C3EC0" w:rsidP="00DA3B01">
      <w:r w:rsidRPr="00021AAE">
        <w:t>The following lists the OSPO Affiliate Countries</w:t>
      </w:r>
      <w:r w:rsidR="00DA3B01" w:rsidRPr="00021AAE">
        <w:t>:</w:t>
      </w:r>
    </w:p>
    <w:p w14:paraId="071F09E9" w14:textId="101179F3" w:rsidR="003C023D" w:rsidRPr="00A23F29" w:rsidRDefault="00021AAE" w:rsidP="00021AAE">
      <w:pPr>
        <w:pStyle w:val="enumlev1"/>
        <w:jc w:val="both"/>
        <w:rPr>
          <w:lang w:val="es-ES"/>
        </w:rPr>
      </w:pPr>
      <w:r w:rsidRPr="00A23F29">
        <w:rPr>
          <w:lang w:val="es-ES"/>
        </w:rPr>
        <w:t>–</w:t>
      </w:r>
      <w:r w:rsidRPr="00A23F29">
        <w:rPr>
          <w:lang w:val="es-ES"/>
        </w:rPr>
        <w:tab/>
      </w:r>
      <w:r w:rsidR="001C3EC0" w:rsidRPr="00A23F29">
        <w:rPr>
          <w:b/>
          <w:bCs/>
          <w:lang w:val="es-ES"/>
        </w:rPr>
        <w:t>Africa:</w:t>
      </w:r>
      <w:r w:rsidR="001C3EC0" w:rsidRPr="00A23F29">
        <w:rPr>
          <w:lang w:val="es-ES"/>
        </w:rPr>
        <w:t> </w:t>
      </w:r>
      <w:proofErr w:type="spellStart"/>
      <w:r w:rsidR="001C3EC0" w:rsidRPr="00A23F29">
        <w:rPr>
          <w:lang w:val="es-ES"/>
        </w:rPr>
        <w:t>Botswana</w:t>
      </w:r>
      <w:proofErr w:type="spellEnd"/>
      <w:r w:rsidR="001C3EC0" w:rsidRPr="00A23F29">
        <w:rPr>
          <w:lang w:val="es-ES"/>
        </w:rPr>
        <w:t>, Côte d’Ivoire, The Gambia, Ghana, Malawi, Niger, Nigeria, Rwanda, Somalia, Tanzania, Zambia</w:t>
      </w:r>
    </w:p>
    <w:p w14:paraId="5925EE43" w14:textId="5A6A946E" w:rsidR="003C023D" w:rsidRPr="00A23F29" w:rsidRDefault="00021AAE" w:rsidP="00021AAE">
      <w:pPr>
        <w:pStyle w:val="enumlev1"/>
        <w:jc w:val="both"/>
        <w:rPr>
          <w:lang w:val="es-ES"/>
        </w:rPr>
      </w:pPr>
      <w:r w:rsidRPr="00A23F29">
        <w:rPr>
          <w:lang w:val="es-ES"/>
        </w:rPr>
        <w:t>–</w:t>
      </w:r>
      <w:r w:rsidRPr="00A23F29">
        <w:rPr>
          <w:lang w:val="es-ES"/>
        </w:rPr>
        <w:tab/>
      </w:r>
      <w:proofErr w:type="spellStart"/>
      <w:r w:rsidR="001C3EC0" w:rsidRPr="00A23F29">
        <w:rPr>
          <w:b/>
          <w:bCs/>
          <w:lang w:val="es-ES"/>
        </w:rPr>
        <w:t>Americas</w:t>
      </w:r>
      <w:proofErr w:type="spellEnd"/>
      <w:r w:rsidR="001C3EC0" w:rsidRPr="00A23F29">
        <w:rPr>
          <w:b/>
          <w:bCs/>
          <w:lang w:val="es-ES"/>
        </w:rPr>
        <w:t>:</w:t>
      </w:r>
      <w:r w:rsidR="001C3EC0" w:rsidRPr="00A23F29">
        <w:rPr>
          <w:lang w:val="es-ES"/>
        </w:rPr>
        <w:t> </w:t>
      </w:r>
      <w:proofErr w:type="spellStart"/>
      <w:r w:rsidR="001C3EC0" w:rsidRPr="00A23F29">
        <w:rPr>
          <w:lang w:val="es-ES"/>
        </w:rPr>
        <w:t>Dominican</w:t>
      </w:r>
      <w:proofErr w:type="spellEnd"/>
      <w:r w:rsidR="001C3EC0" w:rsidRPr="00A23F29">
        <w:rPr>
          <w:lang w:val="es-ES"/>
        </w:rPr>
        <w:t xml:space="preserve"> </w:t>
      </w:r>
      <w:proofErr w:type="spellStart"/>
      <w:r w:rsidR="001C3EC0" w:rsidRPr="00A23F29">
        <w:rPr>
          <w:lang w:val="es-ES"/>
        </w:rPr>
        <w:t>Republic</w:t>
      </w:r>
      <w:proofErr w:type="spellEnd"/>
      <w:r w:rsidR="001C3EC0" w:rsidRPr="00A23F29">
        <w:rPr>
          <w:lang w:val="es-ES"/>
        </w:rPr>
        <w:t>, Jamaica</w:t>
      </w:r>
    </w:p>
    <w:p w14:paraId="11C30B2E" w14:textId="1EEAC9FA" w:rsidR="003C023D" w:rsidRPr="00A23F29" w:rsidRDefault="00021AAE" w:rsidP="00021AAE">
      <w:pPr>
        <w:pStyle w:val="enumlev1"/>
        <w:jc w:val="both"/>
        <w:rPr>
          <w:lang w:val="es-ES"/>
        </w:rPr>
      </w:pPr>
      <w:r w:rsidRPr="00A23F29">
        <w:rPr>
          <w:lang w:val="es-ES"/>
        </w:rPr>
        <w:t>–</w:t>
      </w:r>
      <w:r w:rsidRPr="00A23F29">
        <w:rPr>
          <w:lang w:val="es-ES"/>
        </w:rPr>
        <w:tab/>
      </w:r>
      <w:proofErr w:type="spellStart"/>
      <w:r w:rsidR="001C3EC0" w:rsidRPr="00A23F29">
        <w:rPr>
          <w:b/>
          <w:bCs/>
          <w:lang w:val="es-ES"/>
        </w:rPr>
        <w:t>Arab</w:t>
      </w:r>
      <w:proofErr w:type="spellEnd"/>
      <w:r w:rsidR="001C3EC0" w:rsidRPr="00A23F29">
        <w:rPr>
          <w:b/>
          <w:bCs/>
          <w:lang w:val="es-ES"/>
        </w:rPr>
        <w:t xml:space="preserve"> States: </w:t>
      </w:r>
      <w:proofErr w:type="spellStart"/>
      <w:r w:rsidR="001C3EC0" w:rsidRPr="00A23F29">
        <w:rPr>
          <w:lang w:val="es-ES"/>
        </w:rPr>
        <w:t>Egypt</w:t>
      </w:r>
      <w:proofErr w:type="spellEnd"/>
      <w:r w:rsidR="001C3EC0" w:rsidRPr="00A23F29">
        <w:rPr>
          <w:lang w:val="es-ES"/>
        </w:rPr>
        <w:t>, </w:t>
      </w:r>
      <w:proofErr w:type="spellStart"/>
      <w:r w:rsidR="001C3EC0" w:rsidRPr="00A23F29">
        <w:rPr>
          <w:lang w:val="es-ES"/>
        </w:rPr>
        <w:t>Tunisia</w:t>
      </w:r>
      <w:proofErr w:type="spellEnd"/>
    </w:p>
    <w:p w14:paraId="0A79FF78" w14:textId="545546CC" w:rsidR="003C023D" w:rsidRPr="00A23F29" w:rsidRDefault="00021AAE" w:rsidP="00021AAE">
      <w:pPr>
        <w:pStyle w:val="enumlev1"/>
        <w:jc w:val="both"/>
        <w:rPr>
          <w:lang w:val="es-ES"/>
        </w:rPr>
      </w:pPr>
      <w:r w:rsidRPr="00A23F29">
        <w:rPr>
          <w:lang w:val="es-ES"/>
        </w:rPr>
        <w:t>–</w:t>
      </w:r>
      <w:r w:rsidRPr="00A23F29">
        <w:rPr>
          <w:lang w:val="es-ES"/>
        </w:rPr>
        <w:tab/>
      </w:r>
      <w:r w:rsidR="001C3EC0" w:rsidRPr="00A23F29">
        <w:rPr>
          <w:b/>
          <w:bCs/>
          <w:lang w:val="es-ES"/>
        </w:rPr>
        <w:t>Asia-Pacific: </w:t>
      </w:r>
      <w:r w:rsidR="001C3EC0" w:rsidRPr="00A23F29">
        <w:rPr>
          <w:lang w:val="es-ES"/>
        </w:rPr>
        <w:t>Bangladesh, </w:t>
      </w:r>
      <w:proofErr w:type="spellStart"/>
      <w:r w:rsidR="001C3EC0" w:rsidRPr="00A23F29">
        <w:rPr>
          <w:lang w:val="es-ES"/>
        </w:rPr>
        <w:t>Bhutan</w:t>
      </w:r>
      <w:proofErr w:type="spellEnd"/>
      <w:r w:rsidR="001C3EC0" w:rsidRPr="00A23F29">
        <w:rPr>
          <w:lang w:val="es-ES"/>
        </w:rPr>
        <w:t>, </w:t>
      </w:r>
      <w:proofErr w:type="spellStart"/>
      <w:r w:rsidR="001C3EC0" w:rsidRPr="00A23F29">
        <w:rPr>
          <w:lang w:val="es-ES"/>
        </w:rPr>
        <w:t>Cambodia</w:t>
      </w:r>
      <w:proofErr w:type="spellEnd"/>
      <w:r w:rsidR="001C3EC0" w:rsidRPr="00A23F29">
        <w:rPr>
          <w:lang w:val="es-ES"/>
        </w:rPr>
        <w:t>, India, Nepal, Samoa</w:t>
      </w:r>
    </w:p>
    <w:p w14:paraId="45151B34" w14:textId="49425D86" w:rsidR="003C023D" w:rsidRPr="00A23F29" w:rsidRDefault="00021AAE" w:rsidP="00021AAE">
      <w:pPr>
        <w:pStyle w:val="enumlev1"/>
        <w:jc w:val="both"/>
        <w:rPr>
          <w:lang w:val="es-ES"/>
        </w:rPr>
      </w:pPr>
      <w:r w:rsidRPr="00A23F29">
        <w:rPr>
          <w:lang w:val="es-ES"/>
        </w:rPr>
        <w:t>–</w:t>
      </w:r>
      <w:r w:rsidRPr="00A23F29">
        <w:rPr>
          <w:lang w:val="es-ES"/>
        </w:rPr>
        <w:tab/>
      </w:r>
      <w:r w:rsidR="001C3EC0" w:rsidRPr="00A23F29">
        <w:rPr>
          <w:b/>
          <w:bCs/>
          <w:lang w:val="es-ES"/>
        </w:rPr>
        <w:t>CIS: </w:t>
      </w:r>
      <w:proofErr w:type="spellStart"/>
      <w:r w:rsidR="001C3EC0" w:rsidRPr="00A23F29">
        <w:rPr>
          <w:lang w:val="es-ES"/>
        </w:rPr>
        <w:t>Kazakhstan</w:t>
      </w:r>
      <w:proofErr w:type="spellEnd"/>
      <w:r w:rsidR="001C3EC0" w:rsidRPr="00A23F29">
        <w:rPr>
          <w:lang w:val="es-ES"/>
        </w:rPr>
        <w:t>, Moldova </w:t>
      </w:r>
    </w:p>
    <w:p w14:paraId="77FA79C1" w14:textId="6A53C266" w:rsidR="001C3EC0" w:rsidRPr="00A23F29" w:rsidRDefault="00021AAE" w:rsidP="00021AAE">
      <w:pPr>
        <w:pStyle w:val="enumlev1"/>
        <w:jc w:val="both"/>
        <w:rPr>
          <w:lang w:val="es-ES"/>
        </w:rPr>
      </w:pPr>
      <w:r w:rsidRPr="00A23F29">
        <w:rPr>
          <w:lang w:val="es-ES"/>
        </w:rPr>
        <w:t>–</w:t>
      </w:r>
      <w:r w:rsidRPr="00A23F29">
        <w:rPr>
          <w:lang w:val="es-ES"/>
        </w:rPr>
        <w:tab/>
      </w:r>
      <w:r w:rsidR="001C3EC0" w:rsidRPr="00A23F29">
        <w:rPr>
          <w:b/>
          <w:bCs/>
          <w:lang w:val="es-ES"/>
        </w:rPr>
        <w:t>Europe: </w:t>
      </w:r>
      <w:r w:rsidR="001C3EC0" w:rsidRPr="00A23F29">
        <w:rPr>
          <w:lang w:val="es-ES"/>
        </w:rPr>
        <w:t xml:space="preserve">No </w:t>
      </w:r>
      <w:proofErr w:type="spellStart"/>
      <w:r w:rsidR="001C3EC0" w:rsidRPr="00A23F29">
        <w:rPr>
          <w:lang w:val="es-ES"/>
        </w:rPr>
        <w:t>countries</w:t>
      </w:r>
      <w:proofErr w:type="spellEnd"/>
      <w:r w:rsidR="001C3EC0" w:rsidRPr="00A23F29">
        <w:rPr>
          <w:lang w:val="es-ES"/>
        </w:rPr>
        <w:t xml:space="preserve"> </w:t>
      </w:r>
      <w:proofErr w:type="spellStart"/>
      <w:r w:rsidR="001C3EC0" w:rsidRPr="00A23F29">
        <w:rPr>
          <w:lang w:val="es-ES"/>
        </w:rPr>
        <w:t>currently</w:t>
      </w:r>
      <w:proofErr w:type="spellEnd"/>
      <w:r w:rsidR="001C3EC0" w:rsidRPr="00A23F29">
        <w:rPr>
          <w:lang w:val="es-ES"/>
        </w:rPr>
        <w:t> </w:t>
      </w:r>
      <w:proofErr w:type="spellStart"/>
      <w:r w:rsidR="001C3EC0" w:rsidRPr="00A23F29">
        <w:rPr>
          <w:lang w:val="es-ES"/>
        </w:rPr>
        <w:t>participating</w:t>
      </w:r>
      <w:proofErr w:type="spellEnd"/>
      <w:r w:rsidR="006F0356" w:rsidRPr="00A23F29">
        <w:rPr>
          <w:lang w:val="es-ES"/>
        </w:rPr>
        <w:t>.</w:t>
      </w:r>
    </w:p>
    <w:p w14:paraId="0E02393F" w14:textId="77777777" w:rsidR="003C023D" w:rsidRPr="00021AAE" w:rsidRDefault="001C3EC0" w:rsidP="00021AAE">
      <w:pPr>
        <w:jc w:val="both"/>
        <w:rPr>
          <w:rFonts w:eastAsia="-webkit-standard"/>
        </w:rPr>
      </w:pPr>
      <w:r w:rsidRPr="00021AAE">
        <w:rPr>
          <w:rFonts w:eastAsia="-webkit-standard"/>
        </w:rPr>
        <w:t xml:space="preserve">The programme has begun addressing emerging needs in </w:t>
      </w:r>
      <w:proofErr w:type="gramStart"/>
      <w:r w:rsidRPr="00021AAE">
        <w:rPr>
          <w:rFonts w:eastAsia="-webkit-standard"/>
        </w:rPr>
        <w:t>open source</w:t>
      </w:r>
      <w:proofErr w:type="gramEnd"/>
      <w:r w:rsidRPr="00021AAE">
        <w:rPr>
          <w:rFonts w:eastAsia="-webkit-standard"/>
        </w:rPr>
        <w:t xml:space="preserve"> artificial intelligence. In Kenya, this includes support to the development of a national open source chatbot to facilitate access to digital public services, complemented by capacity building on </w:t>
      </w:r>
      <w:proofErr w:type="gramStart"/>
      <w:r w:rsidRPr="00021AAE">
        <w:rPr>
          <w:rFonts w:eastAsia="-webkit-standard"/>
        </w:rPr>
        <w:t>open source</w:t>
      </w:r>
      <w:proofErr w:type="gramEnd"/>
      <w:r w:rsidRPr="00021AAE">
        <w:rPr>
          <w:rFonts w:eastAsia="-webkit-standard"/>
        </w:rPr>
        <w:t xml:space="preserve"> AI for government teams. Early dialogues with other Member States indicate an increased interest in understanding how transparent and adaptable AI approaches can support their digital transformation efforts, particularly in connection with the development of DPI and user-centric public service delivery.</w:t>
      </w:r>
    </w:p>
    <w:p w14:paraId="3A383693" w14:textId="295AC1ED" w:rsidR="001C3EC0" w:rsidRPr="00021AAE" w:rsidRDefault="00755C2C" w:rsidP="00417265">
      <w:pPr>
        <w:pStyle w:val="Heading1"/>
      </w:pPr>
      <w:r w:rsidRPr="00021AAE">
        <w:t>3</w:t>
      </w:r>
      <w:r w:rsidRPr="00021AAE">
        <w:tab/>
      </w:r>
      <w:r w:rsidR="001C3EC0" w:rsidRPr="00021AAE">
        <w:t>Digital Transformation Centres and the ITU Academy Training Centres</w:t>
      </w:r>
    </w:p>
    <w:p w14:paraId="220617C5" w14:textId="4A891238" w:rsidR="001C3EC0" w:rsidRPr="00021AAE" w:rsidRDefault="001C3EC0" w:rsidP="00021AAE">
      <w:pPr>
        <w:jc w:val="both"/>
      </w:pPr>
      <w:r w:rsidRPr="00021AAE">
        <w:rPr>
          <w:rFonts w:eastAsia="Calibri"/>
        </w:rPr>
        <w:t xml:space="preserve">The </w:t>
      </w:r>
      <w:hyperlink r:id="rId39">
        <w:r w:rsidRPr="00021AAE">
          <w:rPr>
            <w:rStyle w:val="Hyperlink"/>
            <w:rFonts w:eastAsia="Calibri" w:cs="Calibri"/>
            <w:color w:val="0000FF"/>
            <w:szCs w:val="24"/>
          </w:rPr>
          <w:t>Digital Transformation Centres (DTC) Initiative</w:t>
        </w:r>
      </w:hyperlink>
      <w:r w:rsidRPr="00417265">
        <w:rPr>
          <w:rFonts w:eastAsia="Calibri"/>
          <w:color w:val="0000FF"/>
        </w:rPr>
        <w:t xml:space="preserve"> </w:t>
      </w:r>
      <w:r w:rsidRPr="00021AAE">
        <w:rPr>
          <w:rFonts w:eastAsia="Calibri"/>
        </w:rPr>
        <w:t xml:space="preserve">was launched in September 2019 by ITU in partnership with Cisco, with the objective of supporting countries to strengthen the digital capacities of citizens, particularly those in rural and the underserved communities. The Initiative operates through a global network of national institutions, the DTCs, which have a mandate to deliver digital skills programmes in their countries. The DTCs operate nationally and demonstrate proven capacity, infrastructure and experience to implement training at basic and intermediate levels. </w:t>
      </w:r>
    </w:p>
    <w:p w14:paraId="5ECAA353" w14:textId="3579588B" w:rsidR="001C3EC0" w:rsidRPr="00021AAE" w:rsidRDefault="001C3EC0" w:rsidP="00021AAE">
      <w:pPr>
        <w:jc w:val="both"/>
        <w:rPr>
          <w:rFonts w:eastAsia="Calibri"/>
        </w:rPr>
      </w:pPr>
      <w:r w:rsidRPr="00021AAE">
        <w:rPr>
          <w:rFonts w:eastAsia="Calibri"/>
        </w:rPr>
        <w:t xml:space="preserve">The number of DTCs has grown to 15 in total, covering Africa, the Americas, the Arab States and the Asia-Pacific regions. Project 7GLO23133 on </w:t>
      </w:r>
      <w:r w:rsidRPr="00E969BB">
        <w:rPr>
          <w:rFonts w:eastAsia="Calibri"/>
        </w:rPr>
        <w:t xml:space="preserve">Boosting Digital Skills through DTCs, </w:t>
      </w:r>
      <w:r w:rsidRPr="00021AAE">
        <w:rPr>
          <w:rFonts w:eastAsia="Calibri"/>
        </w:rPr>
        <w:t xml:space="preserve">funded by ITU and the Norwegian </w:t>
      </w:r>
      <w:proofErr w:type="spellStart"/>
      <w:r w:rsidRPr="00021AAE">
        <w:rPr>
          <w:rFonts w:eastAsia="Calibri"/>
        </w:rPr>
        <w:t>Goverment</w:t>
      </w:r>
      <w:proofErr w:type="spellEnd"/>
      <w:r w:rsidRPr="00021AAE">
        <w:rPr>
          <w:rFonts w:eastAsia="Calibri"/>
        </w:rPr>
        <w:t xml:space="preserve"> has supported the implementation of activities under the DTC Initiative and to scale the work of the DTCs since 2023. The project will close in June 2026. Cisco has also provided funding to the Initiative. </w:t>
      </w:r>
    </w:p>
    <w:p w14:paraId="1EE8A14A" w14:textId="77777777" w:rsidR="001C3EC0" w:rsidRPr="00021AAE" w:rsidRDefault="001C3EC0" w:rsidP="00021AAE">
      <w:pPr>
        <w:jc w:val="both"/>
        <w:rPr>
          <w:rFonts w:eastAsiaTheme="minorEastAsia"/>
          <w:color w:val="000000" w:themeColor="text1"/>
        </w:rPr>
      </w:pPr>
      <w:r w:rsidRPr="00021AAE">
        <w:rPr>
          <w:rFonts w:eastAsia="Calibri"/>
        </w:rPr>
        <w:t>The DTC Initiative has contributed to the following WTDC-22 Resolutions and will continue to contribute to WTDC (Rev. Baku, 2025) Resolutions related to capacity development:</w:t>
      </w:r>
      <w:r w:rsidRPr="00021AAE">
        <w:rPr>
          <w:rFonts w:eastAsiaTheme="minorEastAsia"/>
        </w:rPr>
        <w:t xml:space="preserve"> </w:t>
      </w:r>
      <w:r w:rsidRPr="00021AAE">
        <w:rPr>
          <w:rFonts w:eastAsiaTheme="minorEastAsia"/>
          <w:color w:val="000000" w:themeColor="text1"/>
        </w:rPr>
        <w:t>Resolutions 37, 40, 55, 58, 64, 73, 76, 82 and 89.</w:t>
      </w:r>
    </w:p>
    <w:p w14:paraId="1DABA12F" w14:textId="77777777" w:rsidR="001C3EC0" w:rsidRPr="00021AAE" w:rsidRDefault="001C3EC0" w:rsidP="00021AAE">
      <w:pPr>
        <w:keepNext/>
        <w:jc w:val="both"/>
        <w:rPr>
          <w:rFonts w:eastAsiaTheme="minorEastAsia"/>
        </w:rPr>
      </w:pPr>
      <w:r w:rsidRPr="00021AAE">
        <w:rPr>
          <w:rFonts w:eastAsiaTheme="minorEastAsia"/>
        </w:rPr>
        <w:t>Relevant Regional Initiatives resulting from WTDC-25:</w:t>
      </w:r>
    </w:p>
    <w:p w14:paraId="5C5337F4" w14:textId="3363AA95" w:rsidR="001C3EC0" w:rsidRPr="00A23F29" w:rsidRDefault="00021AAE" w:rsidP="00021AAE">
      <w:pPr>
        <w:pStyle w:val="enumlev1"/>
        <w:jc w:val="both"/>
        <w:rPr>
          <w:rFonts w:eastAsiaTheme="minorEastAsia"/>
          <w:lang w:val="es-ES"/>
        </w:rPr>
      </w:pPr>
      <w:r w:rsidRPr="00A23F29">
        <w:rPr>
          <w:lang w:val="es-ES"/>
        </w:rPr>
        <w:t>–</w:t>
      </w:r>
      <w:r w:rsidRPr="00A23F29">
        <w:rPr>
          <w:lang w:val="es-ES"/>
        </w:rPr>
        <w:tab/>
      </w:r>
      <w:proofErr w:type="spellStart"/>
      <w:r w:rsidR="001C3EC0" w:rsidRPr="00A23F29">
        <w:rPr>
          <w:rFonts w:eastAsiaTheme="minorEastAsia"/>
          <w:b/>
          <w:bCs/>
          <w:lang w:val="es-ES"/>
        </w:rPr>
        <w:t>Americas</w:t>
      </w:r>
      <w:proofErr w:type="spellEnd"/>
      <w:r w:rsidR="001C3EC0" w:rsidRPr="00A23F29">
        <w:rPr>
          <w:rFonts w:eastAsiaTheme="minorEastAsia"/>
          <w:b/>
          <w:bCs/>
          <w:lang w:val="es-ES"/>
        </w:rPr>
        <w:t xml:space="preserve"> (AMS2):</w:t>
      </w:r>
      <w:r w:rsidR="001C3EC0" w:rsidRPr="00A23F29">
        <w:rPr>
          <w:rFonts w:eastAsiaTheme="minorEastAsia"/>
          <w:lang w:val="es-ES"/>
        </w:rPr>
        <w:t xml:space="preserve"> Digital </w:t>
      </w:r>
      <w:proofErr w:type="spellStart"/>
      <w:r w:rsidR="001C3EC0" w:rsidRPr="00A23F29">
        <w:rPr>
          <w:rFonts w:eastAsiaTheme="minorEastAsia"/>
          <w:lang w:val="es-ES"/>
        </w:rPr>
        <w:t>inclusion</w:t>
      </w:r>
      <w:proofErr w:type="spellEnd"/>
      <w:r w:rsidR="001C3EC0" w:rsidRPr="00A23F29">
        <w:rPr>
          <w:rFonts w:eastAsiaTheme="minorEastAsia"/>
          <w:lang w:val="es-ES"/>
        </w:rPr>
        <w:t xml:space="preserve">, digital </w:t>
      </w:r>
      <w:proofErr w:type="spellStart"/>
      <w:r w:rsidR="001C3EC0" w:rsidRPr="00A23F29">
        <w:rPr>
          <w:rFonts w:eastAsiaTheme="minorEastAsia"/>
          <w:lang w:val="es-ES"/>
        </w:rPr>
        <w:t>skills</w:t>
      </w:r>
      <w:proofErr w:type="spellEnd"/>
      <w:r w:rsidR="001C3EC0" w:rsidRPr="00A23F29">
        <w:rPr>
          <w:rFonts w:eastAsiaTheme="minorEastAsia"/>
          <w:lang w:val="es-ES"/>
        </w:rPr>
        <w:t xml:space="preserve"> / </w:t>
      </w:r>
      <w:proofErr w:type="spellStart"/>
      <w:r w:rsidR="001C3EC0" w:rsidRPr="00A23F29">
        <w:rPr>
          <w:rFonts w:eastAsiaTheme="minorEastAsia"/>
          <w:lang w:val="es-ES"/>
        </w:rPr>
        <w:t>competencies</w:t>
      </w:r>
      <w:proofErr w:type="spellEnd"/>
    </w:p>
    <w:p w14:paraId="7F966819" w14:textId="1193D3CC" w:rsidR="001C3EC0" w:rsidRPr="00021AAE" w:rsidRDefault="00021AAE" w:rsidP="00021AAE">
      <w:pPr>
        <w:pStyle w:val="enumlev1"/>
        <w:jc w:val="both"/>
        <w:rPr>
          <w:rFonts w:eastAsiaTheme="minorEastAsia"/>
        </w:rPr>
      </w:pPr>
      <w:r w:rsidRPr="00DA3B01">
        <w:t>–</w:t>
      </w:r>
      <w:r w:rsidRPr="00DA3B01">
        <w:tab/>
      </w:r>
      <w:r w:rsidR="001C3EC0" w:rsidRPr="00021AAE">
        <w:rPr>
          <w:rFonts w:eastAsiaTheme="minorEastAsia"/>
          <w:b/>
          <w:bCs/>
        </w:rPr>
        <w:t>Arab States (ARB1):</w:t>
      </w:r>
      <w:r w:rsidR="001C3EC0" w:rsidRPr="00021AAE">
        <w:rPr>
          <w:rFonts w:eastAsiaTheme="minorEastAsia"/>
        </w:rPr>
        <w:t xml:space="preserve"> Universal meaningful connectivity for inclusive growth</w:t>
      </w:r>
    </w:p>
    <w:p w14:paraId="48248CD4" w14:textId="6F30FF64" w:rsidR="001C3EC0" w:rsidRPr="00021AAE" w:rsidRDefault="00021AAE" w:rsidP="00021AAE">
      <w:pPr>
        <w:pStyle w:val="enumlev1"/>
        <w:jc w:val="both"/>
        <w:rPr>
          <w:rFonts w:eastAsiaTheme="minorEastAsia"/>
        </w:rPr>
      </w:pPr>
      <w:r w:rsidRPr="00DA3B01">
        <w:t>–</w:t>
      </w:r>
      <w:r w:rsidRPr="00DA3B01">
        <w:tab/>
      </w:r>
      <w:r w:rsidR="001C3EC0" w:rsidRPr="00021AAE">
        <w:rPr>
          <w:rFonts w:eastAsiaTheme="minorEastAsia"/>
          <w:b/>
          <w:bCs/>
        </w:rPr>
        <w:t>Asia-Pacific (ASP2)</w:t>
      </w:r>
      <w:r w:rsidR="001C3EC0" w:rsidRPr="00021AAE">
        <w:rPr>
          <w:rFonts w:eastAsiaTheme="minorEastAsia"/>
        </w:rPr>
        <w:t>: Harnessing telecommunications/ICTs to support inclusive and sustainable digital transformation</w:t>
      </w:r>
    </w:p>
    <w:p w14:paraId="3D3B83B2" w14:textId="45C287B4" w:rsidR="001C3EC0" w:rsidRPr="00021AAE" w:rsidRDefault="00021AAE" w:rsidP="00021AAE">
      <w:pPr>
        <w:pStyle w:val="enumlev1"/>
        <w:jc w:val="both"/>
        <w:rPr>
          <w:rFonts w:eastAsiaTheme="minorEastAsia"/>
        </w:rPr>
      </w:pPr>
      <w:r w:rsidRPr="00DA3B01">
        <w:t>–</w:t>
      </w:r>
      <w:r w:rsidRPr="00DA3B01">
        <w:tab/>
      </w:r>
      <w:r w:rsidR="001C3EC0" w:rsidRPr="00021AAE">
        <w:rPr>
          <w:rFonts w:eastAsiaTheme="minorEastAsia"/>
          <w:b/>
          <w:bCs/>
        </w:rPr>
        <w:t xml:space="preserve">CIS (CIS2): </w:t>
      </w:r>
      <w:r w:rsidR="001C3EC0" w:rsidRPr="00021AAE">
        <w:rPr>
          <w:rFonts w:eastAsiaTheme="minorEastAsia"/>
        </w:rPr>
        <w:t>Telecommunication/information and communication technology education and skills, including for persons with disabilities and persons with specific needs</w:t>
      </w:r>
    </w:p>
    <w:p w14:paraId="2F3825F9" w14:textId="40B39358" w:rsidR="001C3EC0" w:rsidRPr="00021AAE" w:rsidRDefault="00021AAE" w:rsidP="00021AAE">
      <w:pPr>
        <w:pStyle w:val="enumlev1"/>
        <w:jc w:val="both"/>
        <w:rPr>
          <w:rFonts w:eastAsiaTheme="minorEastAsia"/>
          <w:highlight w:val="yellow"/>
        </w:rPr>
      </w:pPr>
      <w:r w:rsidRPr="00DA3B01">
        <w:t>–</w:t>
      </w:r>
      <w:r w:rsidRPr="00DA3B01">
        <w:tab/>
      </w:r>
      <w:r w:rsidR="001C3EC0" w:rsidRPr="00021AAE">
        <w:rPr>
          <w:rFonts w:eastAsiaTheme="minorEastAsia"/>
          <w:b/>
          <w:bCs/>
        </w:rPr>
        <w:t>Europe (EUR3):</w:t>
      </w:r>
      <w:r w:rsidR="001C3EC0" w:rsidRPr="00021AAE">
        <w:rPr>
          <w:rFonts w:eastAsiaTheme="minorEastAsia"/>
        </w:rPr>
        <w:t xml:space="preserve"> Digital inclusion and skills development</w:t>
      </w:r>
      <w:r>
        <w:rPr>
          <w:rFonts w:eastAsiaTheme="minorEastAsia"/>
        </w:rPr>
        <w:t>.</w:t>
      </w:r>
    </w:p>
    <w:p w14:paraId="0BFFB1CF" w14:textId="77777777" w:rsidR="001C3EC0" w:rsidRPr="00021AAE" w:rsidRDefault="001C3EC0" w:rsidP="00021AAE">
      <w:pPr>
        <w:jc w:val="both"/>
        <w:rPr>
          <w:rFonts w:eastAsiaTheme="minorEastAsia"/>
        </w:rPr>
      </w:pPr>
      <w:r w:rsidRPr="00021AAE">
        <w:rPr>
          <w:rFonts w:eastAsia="Calibri"/>
        </w:rPr>
        <w:t xml:space="preserve">In 2023, the BDT launched the </w:t>
      </w:r>
      <w:hyperlink r:id="rId40">
        <w:r w:rsidRPr="00021AAE">
          <w:rPr>
            <w:rStyle w:val="Hyperlink"/>
            <w:rFonts w:eastAsia="Calibri" w:cs="Calibri"/>
          </w:rPr>
          <w:t>ITU Academy Training Centres (ATCs) programme</w:t>
        </w:r>
      </w:hyperlink>
      <w:r w:rsidRPr="00021AAE">
        <w:rPr>
          <w:rFonts w:eastAsia="Calibri"/>
        </w:rPr>
        <w:t xml:space="preserve"> following the outcomes of WTDC-22 on Resolution 73 to replace the previous Centres of Excellence (</w:t>
      </w:r>
      <w:proofErr w:type="spellStart"/>
      <w:r w:rsidRPr="00021AAE">
        <w:rPr>
          <w:rFonts w:eastAsia="Calibri"/>
        </w:rPr>
        <w:t>CoE</w:t>
      </w:r>
      <w:proofErr w:type="spellEnd"/>
      <w:r w:rsidRPr="00021AAE">
        <w:rPr>
          <w:rFonts w:eastAsia="Calibri"/>
        </w:rPr>
        <w:t xml:space="preserve">) programme. ATCs are </w:t>
      </w:r>
      <w:r w:rsidRPr="00021AAE">
        <w:rPr>
          <w:rFonts w:eastAsiaTheme="minorEastAsia"/>
        </w:rPr>
        <w:t xml:space="preserve">internationally recognized institutions that offer high-quality training to intermediate and senior personnel, with a strong focus on the needs of developing countries. The institutions participating in the programme remain the core capacity development partners of the ITU, delivering nearly 45 per cent of all courses of the ITU Academy platform (the remaining ones being organized by ITU, followed by other partners). This network anchors the ITU Academy in a diverse ecosystem that combines global reach with regional expertise. ATCs deliver courses on the most important topics identified by ITU’s membership, including policy and regulation, network infrastructure, spectrum management, cybersecurity, emerging technologies, digital inclusion, and digital services. </w:t>
      </w:r>
    </w:p>
    <w:p w14:paraId="36A25CB6" w14:textId="77777777" w:rsidR="001C3EC0" w:rsidRPr="00021AAE" w:rsidRDefault="001C3EC0" w:rsidP="00021AAE">
      <w:pPr>
        <w:jc w:val="both"/>
        <w:rPr>
          <w:rFonts w:eastAsiaTheme="minorEastAsia"/>
        </w:rPr>
      </w:pPr>
      <w:r w:rsidRPr="00021AAE">
        <w:rPr>
          <w:rFonts w:eastAsiaTheme="minorEastAsia"/>
        </w:rPr>
        <w:t xml:space="preserve">Project 9GLO23128 funded the European Union (EU) for EUR 4 million on </w:t>
      </w:r>
      <w:r w:rsidRPr="00021AAE">
        <w:rPr>
          <w:rFonts w:eastAsiaTheme="minorEastAsia"/>
          <w:i/>
          <w:iCs/>
        </w:rPr>
        <w:t>“Capacity development for digital transformation”</w:t>
      </w:r>
      <w:r w:rsidRPr="00021AAE">
        <w:rPr>
          <w:rFonts w:eastAsiaTheme="minorEastAsia"/>
        </w:rPr>
        <w:t>, aims at training 5,000 policymakers and government officials, mainly from developing countries, to strengthen their capacity for human-centric digital transformation. Courses are offered online and in-person through the ITU Academy, in collaboration with 14 ITU ATCs and other UN agencies.</w:t>
      </w:r>
    </w:p>
    <w:p w14:paraId="54748B4C" w14:textId="5E37CA12" w:rsidR="001C3EC0" w:rsidRPr="00021AAE" w:rsidRDefault="001C3EC0" w:rsidP="00021AAE">
      <w:pPr>
        <w:jc w:val="both"/>
        <w:rPr>
          <w:rFonts w:eastAsia="Calibri"/>
        </w:rPr>
      </w:pPr>
      <w:r w:rsidRPr="00021AAE">
        <w:rPr>
          <w:rFonts w:eastAsia="Calibri"/>
        </w:rPr>
        <w:t xml:space="preserve">The implementation of the ATCs will continue under WTDC-25 Resolution 73 (Rev. Baku 2025) on </w:t>
      </w:r>
      <w:r w:rsidRPr="00417265">
        <w:rPr>
          <w:rFonts w:eastAsia="Calibri"/>
        </w:rPr>
        <w:t>ITU</w:t>
      </w:r>
      <w:r w:rsidRPr="00021AAE">
        <w:rPr>
          <w:rFonts w:eastAsia="Calibri"/>
          <w:i/>
          <w:iCs/>
        </w:rPr>
        <w:t xml:space="preserve"> </w:t>
      </w:r>
      <w:r w:rsidRPr="0075035D">
        <w:rPr>
          <w:rFonts w:eastAsia="Calibri"/>
        </w:rPr>
        <w:t>Academy Training Centres</w:t>
      </w:r>
      <w:r w:rsidRPr="00021AAE">
        <w:rPr>
          <w:rFonts w:eastAsia="Calibri"/>
        </w:rPr>
        <w:t>. Related capacity development Resolutions pertaining to the ATC programme are the following WTDC Resolutions: 8, 9, 10, 11, 15, 17, 23, 30, 34, 37, 40, 43, 45, 46, 47, 48, 55, 58, 60, 63, 64, 66, 67, 69, 76, 77, 78, 82, 85 and 89.</w:t>
      </w:r>
    </w:p>
    <w:p w14:paraId="1B1499B6" w14:textId="77777777" w:rsidR="001C3EC0" w:rsidRPr="00021AAE" w:rsidRDefault="001C3EC0" w:rsidP="00021AAE">
      <w:pPr>
        <w:jc w:val="both"/>
        <w:rPr>
          <w:rFonts w:eastAsia="Calibri"/>
        </w:rPr>
      </w:pPr>
      <w:r w:rsidRPr="00021AAE">
        <w:rPr>
          <w:rFonts w:eastAsia="Calibri"/>
        </w:rPr>
        <w:t xml:space="preserve">Since capacity development is a topic that cuts across all Regional Initiatives, the ATC programme is relevant to </w:t>
      </w:r>
      <w:proofErr w:type="gramStart"/>
      <w:r w:rsidRPr="00021AAE">
        <w:rPr>
          <w:rFonts w:eastAsia="Calibri"/>
        </w:rPr>
        <w:t>all of</w:t>
      </w:r>
      <w:proofErr w:type="gramEnd"/>
      <w:r w:rsidRPr="00021AAE">
        <w:rPr>
          <w:rFonts w:eastAsia="Calibri"/>
        </w:rPr>
        <w:t xml:space="preserve"> the Regional Initiatives. </w:t>
      </w:r>
    </w:p>
    <w:p w14:paraId="07EB2172" w14:textId="7682D718" w:rsidR="001C3EC0" w:rsidRPr="00021AAE" w:rsidRDefault="001C3EC0" w:rsidP="00021AAE">
      <w:pPr>
        <w:rPr>
          <w:rFonts w:eastAsia="Aptos"/>
        </w:rPr>
      </w:pPr>
      <w:r w:rsidRPr="00021AAE">
        <w:rPr>
          <w:rFonts w:eastAsia="Aptos"/>
        </w:rPr>
        <w:t>The following lists the DTCs</w:t>
      </w:r>
      <w:r w:rsidR="00021AAE">
        <w:rPr>
          <w:rFonts w:eastAsia="Aptos"/>
        </w:rPr>
        <w:t>:</w:t>
      </w:r>
    </w:p>
    <w:p w14:paraId="626EBED9" w14:textId="59604CEB" w:rsidR="001C3EC0" w:rsidRPr="00A23F29" w:rsidRDefault="00021AAE" w:rsidP="00021AAE">
      <w:pPr>
        <w:pStyle w:val="enumlev1"/>
        <w:rPr>
          <w:lang w:val="fr-FR"/>
        </w:rPr>
      </w:pPr>
      <w:r w:rsidRPr="00A23F29">
        <w:rPr>
          <w:rFonts w:eastAsia="Aptos"/>
          <w:lang w:val="fr-FR"/>
        </w:rPr>
        <w:t>–</w:t>
      </w:r>
      <w:r w:rsidRPr="00A23F29">
        <w:rPr>
          <w:rFonts w:eastAsia="Aptos"/>
          <w:lang w:val="fr-FR"/>
        </w:rPr>
        <w:tab/>
      </w:r>
      <w:r w:rsidR="001C3EC0" w:rsidRPr="00A23F29">
        <w:rPr>
          <w:rFonts w:eastAsia="Aptos"/>
          <w:lang w:val="fr-FR"/>
        </w:rPr>
        <w:t>Africa:</w:t>
      </w:r>
    </w:p>
    <w:p w14:paraId="4D9C6808" w14:textId="5E123E34" w:rsidR="001C3EC0" w:rsidRPr="00A23F29" w:rsidRDefault="00021AAE" w:rsidP="00021AAE">
      <w:pPr>
        <w:pStyle w:val="enumlev1"/>
        <w:jc w:val="both"/>
        <w:rPr>
          <w:rFonts w:eastAsia="Aptos" w:cs="Calibri"/>
          <w:lang w:val="fr-FR"/>
        </w:rPr>
      </w:pPr>
      <w:r w:rsidRPr="00A23F29">
        <w:rPr>
          <w:lang w:val="fr-FR"/>
        </w:rPr>
        <w:tab/>
      </w:r>
      <w:hyperlink r:id="rId41">
        <w:proofErr w:type="spellStart"/>
        <w:r w:rsidR="001C3EC0" w:rsidRPr="00A23F29">
          <w:rPr>
            <w:rStyle w:val="Hyperlink"/>
            <w:rFonts w:eastAsia="Aptos" w:cs="Calibri"/>
            <w:color w:val="467886"/>
            <w:lang w:val="fr-FR"/>
          </w:rPr>
          <w:t>Ecole</w:t>
        </w:r>
        <w:proofErr w:type="spellEnd"/>
        <w:r w:rsidR="001C3EC0" w:rsidRPr="00A23F29">
          <w:rPr>
            <w:rStyle w:val="Hyperlink"/>
            <w:rFonts w:eastAsia="Aptos" w:cs="Calibri"/>
            <w:color w:val="467886"/>
            <w:lang w:val="fr-FR"/>
          </w:rPr>
          <w:t xml:space="preserve"> Multinationale Supérieure des Postes d'Abidjan</w:t>
        </w:r>
      </w:hyperlink>
      <w:r w:rsidR="001C3EC0" w:rsidRPr="00A23F29">
        <w:rPr>
          <w:rFonts w:eastAsia="Arial" w:cs="Calibri"/>
          <w:lang w:val="fr-FR"/>
        </w:rPr>
        <w:t> </w:t>
      </w:r>
      <w:r w:rsidR="001C3EC0" w:rsidRPr="00A23F29">
        <w:rPr>
          <w:rFonts w:eastAsia="Aptos" w:cs="Calibri"/>
          <w:lang w:val="fr-FR"/>
        </w:rPr>
        <w:t>(EMSP), Côte d'Ivoire</w:t>
      </w:r>
    </w:p>
    <w:p w14:paraId="044FEA54" w14:textId="7CE938D0" w:rsidR="001C3EC0" w:rsidRPr="006A7407" w:rsidRDefault="00021AAE" w:rsidP="00021AAE">
      <w:pPr>
        <w:pStyle w:val="enumlev1"/>
        <w:jc w:val="both"/>
        <w:rPr>
          <w:rFonts w:eastAsia="Aptos" w:cs="Calibri"/>
        </w:rPr>
      </w:pPr>
      <w:r w:rsidRPr="00A23F29">
        <w:rPr>
          <w:lang w:val="fr-FR"/>
        </w:rPr>
        <w:tab/>
      </w:r>
      <w:hyperlink r:id="rId42">
        <w:r w:rsidR="001C3EC0" w:rsidRPr="006A7407">
          <w:rPr>
            <w:rStyle w:val="Hyperlink"/>
            <w:rFonts w:eastAsia="Aptos" w:cs="Calibri"/>
            <w:color w:val="467886"/>
          </w:rPr>
          <w:t xml:space="preserve">Secretariat National pour le </w:t>
        </w:r>
        <w:proofErr w:type="spellStart"/>
        <w:r w:rsidR="001C3EC0" w:rsidRPr="006A7407">
          <w:rPr>
            <w:rStyle w:val="Hyperlink"/>
            <w:rFonts w:eastAsia="Aptos" w:cs="Calibri"/>
            <w:color w:val="467886"/>
          </w:rPr>
          <w:t>Renforcement</w:t>
        </w:r>
        <w:proofErr w:type="spellEnd"/>
        <w:r w:rsidR="001C3EC0" w:rsidRPr="006A7407">
          <w:rPr>
            <w:rStyle w:val="Hyperlink"/>
            <w:rFonts w:eastAsia="Aptos" w:cs="Calibri"/>
            <w:color w:val="467886"/>
          </w:rPr>
          <w:t xml:space="preserve"> des </w:t>
        </w:r>
        <w:proofErr w:type="spellStart"/>
        <w:r w:rsidR="001C3EC0" w:rsidRPr="006A7407">
          <w:rPr>
            <w:rStyle w:val="Hyperlink"/>
            <w:rFonts w:eastAsia="Aptos" w:cs="Calibri"/>
            <w:color w:val="467886"/>
          </w:rPr>
          <w:t>Capacités</w:t>
        </w:r>
        <w:proofErr w:type="spellEnd"/>
      </w:hyperlink>
      <w:r w:rsidR="001C3EC0" w:rsidRPr="006A7407">
        <w:rPr>
          <w:rFonts w:eastAsia="Aptos" w:cs="Calibri"/>
        </w:rPr>
        <w:t xml:space="preserve"> (SENAREC), Democratic Republic of the Congo</w:t>
      </w:r>
    </w:p>
    <w:p w14:paraId="08DD4FD1" w14:textId="1A35814B" w:rsidR="001C3EC0" w:rsidRPr="00021AAE" w:rsidRDefault="00021AAE" w:rsidP="00021AAE">
      <w:pPr>
        <w:pStyle w:val="enumlev1"/>
        <w:jc w:val="both"/>
        <w:rPr>
          <w:rFonts w:eastAsia="Aptos" w:cs="Calibri"/>
        </w:rPr>
      </w:pPr>
      <w:r w:rsidRPr="006A7407">
        <w:tab/>
      </w:r>
      <w:hyperlink r:id="rId43">
        <w:r w:rsidR="001C3EC0" w:rsidRPr="00021AAE">
          <w:rPr>
            <w:rStyle w:val="Hyperlink"/>
            <w:rFonts w:eastAsia="Aptos" w:cs="Calibri"/>
            <w:color w:val="467886"/>
          </w:rPr>
          <w:t>Ghana Investment Fund for Electronic Communications</w:t>
        </w:r>
      </w:hyperlink>
      <w:r w:rsidR="001C3EC0" w:rsidRPr="00021AAE">
        <w:rPr>
          <w:rFonts w:eastAsia="Arial" w:cs="Calibri"/>
        </w:rPr>
        <w:t> </w:t>
      </w:r>
      <w:r w:rsidR="001C3EC0" w:rsidRPr="00021AAE">
        <w:rPr>
          <w:rFonts w:eastAsia="Aptos" w:cs="Calibri"/>
        </w:rPr>
        <w:t>(GIFEC), Ghana</w:t>
      </w:r>
    </w:p>
    <w:p w14:paraId="2D4BBA5A" w14:textId="11ADEC4C" w:rsidR="001C3EC0" w:rsidRPr="00021AAE" w:rsidRDefault="00021AAE" w:rsidP="00021AAE">
      <w:pPr>
        <w:pStyle w:val="enumlev1"/>
        <w:jc w:val="both"/>
        <w:rPr>
          <w:rFonts w:eastAsia="Aptos" w:cs="Calibri"/>
        </w:rPr>
      </w:pPr>
      <w:r>
        <w:tab/>
      </w:r>
      <w:hyperlink r:id="rId44">
        <w:r w:rsidR="001C3EC0" w:rsidRPr="00021AAE">
          <w:rPr>
            <w:rStyle w:val="Hyperlink"/>
            <w:rFonts w:eastAsia="Aptos" w:cs="Calibri"/>
            <w:color w:val="467886"/>
          </w:rPr>
          <w:t>Rwanda Information Society Authority</w:t>
        </w:r>
      </w:hyperlink>
      <w:r w:rsidR="001C3EC0" w:rsidRPr="00021AAE">
        <w:rPr>
          <w:rFonts w:eastAsia="Arial" w:cs="Calibri"/>
        </w:rPr>
        <w:t> </w:t>
      </w:r>
      <w:r w:rsidR="001C3EC0" w:rsidRPr="00021AAE">
        <w:rPr>
          <w:rFonts w:eastAsia="Aptos" w:cs="Calibri"/>
        </w:rPr>
        <w:t>(RISA), Rwanda</w:t>
      </w:r>
    </w:p>
    <w:p w14:paraId="4D38D5BA" w14:textId="584ECF1D" w:rsidR="001C3EC0" w:rsidRPr="00021AAE" w:rsidRDefault="00021AAE" w:rsidP="00021AAE">
      <w:pPr>
        <w:pStyle w:val="enumlev1"/>
        <w:jc w:val="both"/>
        <w:rPr>
          <w:rFonts w:eastAsia="Aptos" w:cs="Calibri"/>
        </w:rPr>
      </w:pPr>
      <w:r>
        <w:tab/>
      </w:r>
      <w:hyperlink r:id="rId45">
        <w:r w:rsidR="001C3EC0" w:rsidRPr="00021AAE">
          <w:rPr>
            <w:rStyle w:val="Hyperlink"/>
            <w:rFonts w:eastAsia="Aptos" w:cs="Calibri"/>
            <w:color w:val="467886"/>
          </w:rPr>
          <w:t xml:space="preserve">Concept </w:t>
        </w:r>
      </w:hyperlink>
      <w:r w:rsidR="001C3EC0" w:rsidRPr="00021AAE">
        <w:rPr>
          <w:rFonts w:eastAsia="Aptos" w:cs="Calibri"/>
        </w:rPr>
        <w:t>(ONG Concept), Senegal</w:t>
      </w:r>
    </w:p>
    <w:p w14:paraId="186C21E8" w14:textId="626C6B84" w:rsidR="001C3EC0" w:rsidRPr="00021AAE" w:rsidRDefault="00021AAE" w:rsidP="00021AAE">
      <w:pPr>
        <w:pStyle w:val="enumlev1"/>
        <w:jc w:val="both"/>
        <w:rPr>
          <w:rFonts w:eastAsia="Aptos" w:cs="Calibri"/>
        </w:rPr>
      </w:pPr>
      <w:r>
        <w:tab/>
      </w:r>
      <w:hyperlink r:id="rId46">
        <w:r w:rsidR="001C3EC0" w:rsidRPr="00021AAE">
          <w:rPr>
            <w:rStyle w:val="Hyperlink"/>
            <w:rFonts w:eastAsia="Aptos" w:cs="Calibri"/>
            <w:color w:val="467886"/>
          </w:rPr>
          <w:t xml:space="preserve">Bridge the Digital Divide Sierra Leone </w:t>
        </w:r>
      </w:hyperlink>
      <w:r w:rsidR="001C3EC0" w:rsidRPr="00021AAE">
        <w:rPr>
          <w:rFonts w:eastAsia="Aptos" w:cs="Calibri"/>
        </w:rPr>
        <w:t>(BDDSL), Sierra Leone</w:t>
      </w:r>
    </w:p>
    <w:p w14:paraId="075D72E3" w14:textId="74659AF0" w:rsidR="001C3EC0" w:rsidRPr="00021AAE" w:rsidRDefault="00021AAE" w:rsidP="00021AAE">
      <w:pPr>
        <w:pStyle w:val="enumlev1"/>
        <w:jc w:val="both"/>
        <w:rPr>
          <w:rFonts w:eastAsia="Aptos" w:cs="Calibri"/>
        </w:rPr>
      </w:pPr>
      <w:r>
        <w:tab/>
      </w:r>
      <w:hyperlink r:id="rId47">
        <w:r w:rsidR="001C3EC0" w:rsidRPr="00021AAE">
          <w:rPr>
            <w:rStyle w:val="Hyperlink"/>
            <w:rFonts w:eastAsia="Aptos" w:cs="Calibri"/>
            <w:color w:val="467886"/>
          </w:rPr>
          <w:t>Uganda Institute of Information and Communications Technology</w:t>
        </w:r>
      </w:hyperlink>
      <w:r w:rsidR="001C3EC0" w:rsidRPr="00021AAE">
        <w:rPr>
          <w:rFonts w:eastAsia="Aptos" w:cs="Calibri"/>
        </w:rPr>
        <w:t xml:space="preserve"> (UICT), Uganda</w:t>
      </w:r>
    </w:p>
    <w:p w14:paraId="270D2B62" w14:textId="41CA6CEF" w:rsidR="001C3EC0" w:rsidRPr="00417265" w:rsidRDefault="00021AAE" w:rsidP="00021AAE">
      <w:pPr>
        <w:pStyle w:val="enumlev1"/>
        <w:jc w:val="both"/>
        <w:rPr>
          <w:rFonts w:eastAsia="Aptos" w:cs="Calibri"/>
          <w:lang w:val="es-ES"/>
        </w:rPr>
      </w:pPr>
      <w:r>
        <w:tab/>
      </w:r>
      <w:hyperlink r:id="rId48">
        <w:r w:rsidR="001C3EC0" w:rsidRPr="00417265">
          <w:rPr>
            <w:rStyle w:val="Hyperlink"/>
            <w:rFonts w:eastAsia="Aptos" w:cs="Calibri"/>
            <w:color w:val="467886"/>
            <w:lang w:val="es-ES"/>
          </w:rPr>
          <w:t xml:space="preserve">Smart Zambia </w:t>
        </w:r>
        <w:proofErr w:type="spellStart"/>
        <w:r w:rsidR="001C3EC0" w:rsidRPr="00417265">
          <w:rPr>
            <w:rStyle w:val="Hyperlink"/>
            <w:rFonts w:eastAsia="Aptos" w:cs="Calibri"/>
            <w:color w:val="467886"/>
            <w:lang w:val="es-ES"/>
          </w:rPr>
          <w:t>Institute</w:t>
        </w:r>
        <w:proofErr w:type="spellEnd"/>
      </w:hyperlink>
      <w:r w:rsidR="001C3EC0" w:rsidRPr="00417265">
        <w:rPr>
          <w:rFonts w:eastAsia="Arial" w:cs="Calibri"/>
          <w:lang w:val="es-ES"/>
        </w:rPr>
        <w:t> </w:t>
      </w:r>
      <w:r w:rsidR="001C3EC0" w:rsidRPr="00417265">
        <w:rPr>
          <w:rFonts w:eastAsia="Aptos" w:cs="Calibri"/>
          <w:lang w:val="es-ES"/>
        </w:rPr>
        <w:t>(SZI), Zambia</w:t>
      </w:r>
      <w:r w:rsidR="00417265" w:rsidRPr="00417265">
        <w:rPr>
          <w:rFonts w:eastAsia="Aptos" w:cs="Calibri"/>
          <w:lang w:val="es-ES"/>
        </w:rPr>
        <w:t>.</w:t>
      </w:r>
    </w:p>
    <w:p w14:paraId="3F461BEE" w14:textId="369EE4F1" w:rsidR="001C3EC0" w:rsidRPr="00A23F29" w:rsidRDefault="00021AAE" w:rsidP="00021AAE">
      <w:pPr>
        <w:pStyle w:val="enumlev1"/>
        <w:rPr>
          <w:rFonts w:eastAsia="Aptos"/>
          <w:lang w:val="es-ES"/>
        </w:rPr>
      </w:pPr>
      <w:r w:rsidRPr="00A23F29">
        <w:rPr>
          <w:rFonts w:eastAsia="Aptos"/>
          <w:lang w:val="es-ES"/>
        </w:rPr>
        <w:t>–</w:t>
      </w:r>
      <w:r w:rsidRPr="00A23F29">
        <w:rPr>
          <w:rFonts w:eastAsia="Aptos"/>
          <w:lang w:val="es-ES"/>
        </w:rPr>
        <w:tab/>
      </w:r>
      <w:proofErr w:type="spellStart"/>
      <w:r w:rsidR="001C3EC0" w:rsidRPr="00A23F29">
        <w:rPr>
          <w:rFonts w:eastAsia="Aptos"/>
          <w:lang w:val="es-ES"/>
        </w:rPr>
        <w:t>Americas</w:t>
      </w:r>
      <w:proofErr w:type="spellEnd"/>
      <w:r w:rsidR="001C3EC0" w:rsidRPr="00A23F29">
        <w:rPr>
          <w:rFonts w:eastAsia="Aptos"/>
          <w:lang w:val="es-ES"/>
        </w:rPr>
        <w:t>:</w:t>
      </w:r>
    </w:p>
    <w:p w14:paraId="7FAA3E51" w14:textId="0E0FE72E" w:rsidR="001C3EC0" w:rsidRPr="00A23F29" w:rsidRDefault="00021AAE" w:rsidP="00021AAE">
      <w:pPr>
        <w:pStyle w:val="enumlev1"/>
        <w:jc w:val="both"/>
        <w:rPr>
          <w:rFonts w:eastAsia="Aptos" w:cs="Calibri"/>
          <w:lang w:val="es-ES"/>
        </w:rPr>
      </w:pPr>
      <w:r w:rsidRPr="00A23F29">
        <w:rPr>
          <w:lang w:val="es-ES"/>
        </w:rPr>
        <w:tab/>
      </w:r>
      <w:hyperlink r:id="rId49">
        <w:r w:rsidR="001C3EC0" w:rsidRPr="00A23F29">
          <w:rPr>
            <w:rStyle w:val="Hyperlink"/>
            <w:rFonts w:eastAsia="Aptos" w:cs="Calibri"/>
            <w:color w:val="467886"/>
            <w:lang w:val="es-ES"/>
          </w:rPr>
          <w:t>Centros Tecnológicos Comunitarios</w:t>
        </w:r>
      </w:hyperlink>
      <w:r w:rsidR="001C3EC0" w:rsidRPr="00A23F29">
        <w:rPr>
          <w:rFonts w:eastAsia="Arial" w:cs="Calibri"/>
          <w:lang w:val="es-ES"/>
        </w:rPr>
        <w:t> </w:t>
      </w:r>
      <w:r w:rsidR="001C3EC0" w:rsidRPr="00A23F29">
        <w:rPr>
          <w:rFonts w:eastAsia="Aptos" w:cs="Calibri"/>
          <w:lang w:val="es-ES"/>
        </w:rPr>
        <w:t xml:space="preserve">(CTC), </w:t>
      </w:r>
      <w:proofErr w:type="spellStart"/>
      <w:r w:rsidR="001C3EC0" w:rsidRPr="00A23F29">
        <w:rPr>
          <w:rFonts w:eastAsia="Aptos" w:cs="Calibri"/>
          <w:lang w:val="es-ES"/>
        </w:rPr>
        <w:t>Dominican</w:t>
      </w:r>
      <w:proofErr w:type="spellEnd"/>
      <w:r w:rsidR="001C3EC0" w:rsidRPr="00A23F29">
        <w:rPr>
          <w:rFonts w:eastAsia="Aptos" w:cs="Calibri"/>
          <w:lang w:val="es-ES"/>
        </w:rPr>
        <w:t xml:space="preserve"> </w:t>
      </w:r>
      <w:proofErr w:type="spellStart"/>
      <w:r w:rsidR="001C3EC0" w:rsidRPr="00A23F29">
        <w:rPr>
          <w:rFonts w:eastAsia="Aptos" w:cs="Calibri"/>
          <w:lang w:val="es-ES"/>
        </w:rPr>
        <w:t>Republic</w:t>
      </w:r>
      <w:proofErr w:type="spellEnd"/>
    </w:p>
    <w:p w14:paraId="4125A6DB" w14:textId="092064D3" w:rsidR="001C3EC0" w:rsidRPr="00021AAE" w:rsidRDefault="00021AAE" w:rsidP="00021AAE">
      <w:pPr>
        <w:pStyle w:val="enumlev1"/>
        <w:jc w:val="both"/>
        <w:rPr>
          <w:rFonts w:eastAsia="Aptos" w:cs="Calibri"/>
        </w:rPr>
      </w:pPr>
      <w:r w:rsidRPr="00A23F29">
        <w:rPr>
          <w:lang w:val="es-ES"/>
        </w:rPr>
        <w:tab/>
      </w:r>
      <w:hyperlink r:id="rId50">
        <w:r w:rsidR="001C3EC0" w:rsidRPr="00021AAE">
          <w:rPr>
            <w:rStyle w:val="Hyperlink"/>
            <w:rFonts w:eastAsia="Aptos" w:cs="Calibri"/>
            <w:color w:val="467886"/>
          </w:rPr>
          <w:t>Ministry of Public Administration and Artificial Intelligence</w:t>
        </w:r>
      </w:hyperlink>
      <w:r w:rsidR="001C3EC0" w:rsidRPr="00021AAE">
        <w:rPr>
          <w:rFonts w:eastAsia="Aptos" w:cs="Calibri"/>
        </w:rPr>
        <w:t xml:space="preserve"> (MPAAI), Trinidad and Tobago</w:t>
      </w:r>
      <w:r w:rsidR="00417265">
        <w:rPr>
          <w:rFonts w:eastAsia="Aptos" w:cs="Calibri"/>
        </w:rPr>
        <w:t>.</w:t>
      </w:r>
    </w:p>
    <w:p w14:paraId="5C7EFC18" w14:textId="0E1787D5" w:rsidR="001C3EC0" w:rsidRPr="00021AAE" w:rsidRDefault="00021AAE" w:rsidP="00021AAE">
      <w:pPr>
        <w:pStyle w:val="enumlev1"/>
      </w:pPr>
      <w:r>
        <w:rPr>
          <w:rFonts w:eastAsia="Aptos"/>
        </w:rPr>
        <w:t>–</w:t>
      </w:r>
      <w:r>
        <w:rPr>
          <w:rFonts w:eastAsia="Aptos"/>
        </w:rPr>
        <w:tab/>
      </w:r>
      <w:r w:rsidR="001C3EC0" w:rsidRPr="00021AAE">
        <w:rPr>
          <w:rFonts w:eastAsia="Aptos"/>
        </w:rPr>
        <w:t>Arab States:</w:t>
      </w:r>
    </w:p>
    <w:p w14:paraId="0E9A0B13" w14:textId="3AAC9016" w:rsidR="001C3EC0" w:rsidRPr="00021AAE" w:rsidRDefault="0075035D" w:rsidP="0075035D">
      <w:pPr>
        <w:pStyle w:val="enumlev1"/>
        <w:rPr>
          <w:rFonts w:eastAsia="Aptos" w:cs="Calibri"/>
        </w:rPr>
      </w:pPr>
      <w:r>
        <w:tab/>
      </w:r>
      <w:hyperlink r:id="rId51">
        <w:r w:rsidR="001C3EC0" w:rsidRPr="00021AAE">
          <w:rPr>
            <w:rStyle w:val="Hyperlink"/>
            <w:rFonts w:eastAsia="Aptos" w:cs="Calibri"/>
            <w:color w:val="467886"/>
          </w:rPr>
          <w:t>Agency for Digital Development</w:t>
        </w:r>
      </w:hyperlink>
      <w:r w:rsidR="001C3EC0" w:rsidRPr="00021AAE">
        <w:rPr>
          <w:rFonts w:eastAsia="Aptos" w:cs="Calibri"/>
        </w:rPr>
        <w:t xml:space="preserve"> (ADD), Morocco</w:t>
      </w:r>
      <w:r w:rsidR="00417265">
        <w:rPr>
          <w:rFonts w:eastAsia="Aptos" w:cs="Calibri"/>
        </w:rPr>
        <w:t>.</w:t>
      </w:r>
    </w:p>
    <w:p w14:paraId="46A79006" w14:textId="4034DCAA" w:rsidR="001C3EC0" w:rsidRPr="00021AAE" w:rsidRDefault="00021AAE" w:rsidP="00021AAE">
      <w:pPr>
        <w:pStyle w:val="enumlev1"/>
      </w:pPr>
      <w:r>
        <w:rPr>
          <w:rFonts w:eastAsia="Aptos"/>
        </w:rPr>
        <w:t>–</w:t>
      </w:r>
      <w:r>
        <w:rPr>
          <w:rFonts w:eastAsia="Aptos"/>
        </w:rPr>
        <w:tab/>
      </w:r>
      <w:r w:rsidR="001C3EC0" w:rsidRPr="00021AAE">
        <w:rPr>
          <w:rFonts w:eastAsia="Aptos"/>
        </w:rPr>
        <w:t>Asia-Pacific:</w:t>
      </w:r>
    </w:p>
    <w:p w14:paraId="254D11E5" w14:textId="44412816" w:rsidR="001C3EC0" w:rsidRPr="00021AAE" w:rsidRDefault="0075035D" w:rsidP="0075035D">
      <w:pPr>
        <w:pStyle w:val="enumlev1"/>
        <w:rPr>
          <w:rFonts w:eastAsia="Aptos" w:cs="Calibri"/>
        </w:rPr>
      </w:pPr>
      <w:r>
        <w:tab/>
      </w:r>
      <w:hyperlink r:id="rId52">
        <w:r w:rsidR="001C3EC0" w:rsidRPr="00021AAE">
          <w:rPr>
            <w:rStyle w:val="Hyperlink"/>
            <w:rFonts w:eastAsia="Aptos" w:cs="Calibri"/>
            <w:color w:val="467886"/>
          </w:rPr>
          <w:t>ICT Training and Development Center</w:t>
        </w:r>
      </w:hyperlink>
      <w:r w:rsidR="001C3EC0" w:rsidRPr="00021AAE">
        <w:rPr>
          <w:rFonts w:eastAsia="Arial" w:cs="Calibri"/>
        </w:rPr>
        <w:t> </w:t>
      </w:r>
      <w:r w:rsidR="001C3EC0" w:rsidRPr="00021AAE">
        <w:rPr>
          <w:rFonts w:eastAsia="Aptos" w:cs="Calibri"/>
        </w:rPr>
        <w:t>(BPPTIK), Indonesia</w:t>
      </w:r>
    </w:p>
    <w:p w14:paraId="18B43E42" w14:textId="12ABA14D" w:rsidR="001C3EC0" w:rsidRPr="00021AAE" w:rsidRDefault="0075035D" w:rsidP="0075035D">
      <w:pPr>
        <w:pStyle w:val="enumlev1"/>
        <w:rPr>
          <w:rFonts w:eastAsia="Aptos" w:cs="Calibri"/>
        </w:rPr>
      </w:pPr>
      <w:r>
        <w:tab/>
      </w:r>
      <w:hyperlink r:id="rId53">
        <w:r w:rsidR="001C3EC0" w:rsidRPr="00021AAE">
          <w:rPr>
            <w:rStyle w:val="Hyperlink"/>
            <w:rFonts w:eastAsia="Aptos" w:cs="Calibri"/>
            <w:color w:val="467886"/>
          </w:rPr>
          <w:t>Virtual University of Pakistan</w:t>
        </w:r>
      </w:hyperlink>
      <w:r w:rsidR="001C3EC0" w:rsidRPr="00021AAE">
        <w:rPr>
          <w:rFonts w:eastAsia="Aptos" w:cs="Calibri"/>
        </w:rPr>
        <w:t xml:space="preserve"> (VU), Pakistan</w:t>
      </w:r>
    </w:p>
    <w:p w14:paraId="55C52911" w14:textId="5D57D3B3" w:rsidR="001C3EC0" w:rsidRPr="00021AAE" w:rsidRDefault="0075035D" w:rsidP="0075035D">
      <w:pPr>
        <w:pStyle w:val="enumlev1"/>
        <w:rPr>
          <w:rFonts w:eastAsia="Aptos" w:cs="Calibri"/>
        </w:rPr>
      </w:pPr>
      <w:r>
        <w:tab/>
      </w:r>
      <w:hyperlink r:id="rId54">
        <w:r w:rsidR="001C3EC0" w:rsidRPr="00021AAE">
          <w:rPr>
            <w:rStyle w:val="Hyperlink"/>
            <w:rFonts w:eastAsia="Aptos" w:cs="Calibri"/>
            <w:color w:val="467886"/>
          </w:rPr>
          <w:t>Papua New Guinea University of Technology</w:t>
        </w:r>
      </w:hyperlink>
      <w:r w:rsidR="001C3EC0" w:rsidRPr="00021AAE">
        <w:rPr>
          <w:rFonts w:eastAsia="Aptos" w:cs="Calibri"/>
        </w:rPr>
        <w:t xml:space="preserve"> (UNITECH), Papua New Guinea</w:t>
      </w:r>
    </w:p>
    <w:p w14:paraId="07C548C5" w14:textId="51A8914A" w:rsidR="001C3EC0" w:rsidRPr="00021AAE" w:rsidRDefault="0075035D" w:rsidP="0075035D">
      <w:pPr>
        <w:pStyle w:val="enumlev1"/>
        <w:rPr>
          <w:rFonts w:eastAsia="Aptos" w:cs="Calibri"/>
        </w:rPr>
      </w:pPr>
      <w:r>
        <w:tab/>
      </w:r>
      <w:hyperlink r:id="rId55">
        <w:r w:rsidR="001C3EC0" w:rsidRPr="00021AAE">
          <w:rPr>
            <w:rStyle w:val="Hyperlink"/>
            <w:rFonts w:eastAsia="Aptos" w:cs="Calibri"/>
            <w:color w:val="467886"/>
          </w:rPr>
          <w:t>Department of Information and Communication Technology</w:t>
        </w:r>
      </w:hyperlink>
      <w:r w:rsidR="001C3EC0" w:rsidRPr="00021AAE">
        <w:rPr>
          <w:rFonts w:eastAsia="Aptos" w:cs="Calibri"/>
        </w:rPr>
        <w:t xml:space="preserve"> </w:t>
      </w:r>
      <w:r w:rsidR="001C3EC0" w:rsidRPr="00021AAE">
        <w:rPr>
          <w:rFonts w:eastAsia="Arial" w:cs="Calibri"/>
        </w:rPr>
        <w:t> </w:t>
      </w:r>
      <w:r w:rsidR="001C3EC0" w:rsidRPr="00021AAE">
        <w:rPr>
          <w:rFonts w:eastAsia="Aptos" w:cs="Calibri"/>
        </w:rPr>
        <w:t>(DICT), Philippines</w:t>
      </w:r>
      <w:r w:rsidR="00417265">
        <w:rPr>
          <w:rFonts w:eastAsia="Aptos" w:cs="Calibri"/>
        </w:rPr>
        <w:t>.</w:t>
      </w:r>
    </w:p>
    <w:p w14:paraId="37D9FE4C" w14:textId="021FB03C" w:rsidR="001C3EC0" w:rsidRPr="00021AAE" w:rsidRDefault="001C3EC0" w:rsidP="00D15A58">
      <w:pPr>
        <w:rPr>
          <w:rFonts w:eastAsia="Aptos"/>
        </w:rPr>
      </w:pPr>
      <w:r w:rsidRPr="00021AAE">
        <w:rPr>
          <w:rFonts w:eastAsia="Aptos"/>
        </w:rPr>
        <w:t>The following lists the ATCs</w:t>
      </w:r>
      <w:r w:rsidR="00D15A58">
        <w:rPr>
          <w:rFonts w:eastAsia="Aptos"/>
        </w:rPr>
        <w:t>:</w:t>
      </w:r>
    </w:p>
    <w:p w14:paraId="40FD6C98" w14:textId="3C1524D7" w:rsidR="001C3EC0" w:rsidRPr="00021AAE" w:rsidRDefault="00021AAE" w:rsidP="00021AAE">
      <w:pPr>
        <w:pStyle w:val="enumlev1"/>
      </w:pPr>
      <w:r>
        <w:rPr>
          <w:rFonts w:eastAsia="Aptos"/>
        </w:rPr>
        <w:t>–</w:t>
      </w:r>
      <w:r>
        <w:rPr>
          <w:rFonts w:eastAsia="Aptos"/>
        </w:rPr>
        <w:tab/>
      </w:r>
      <w:r w:rsidR="001C3EC0" w:rsidRPr="00021AAE">
        <w:rPr>
          <w:rFonts w:eastAsia="Aptos"/>
        </w:rPr>
        <w:t>Africa:</w:t>
      </w:r>
    </w:p>
    <w:p w14:paraId="553BEBE5" w14:textId="5DF8F824" w:rsidR="001C3EC0" w:rsidRPr="00021AAE" w:rsidRDefault="0075035D" w:rsidP="0075035D">
      <w:pPr>
        <w:pStyle w:val="enumlev1"/>
      </w:pPr>
      <w:r>
        <w:tab/>
      </w:r>
      <w:hyperlink r:id="rId56">
        <w:r w:rsidR="001C3EC0" w:rsidRPr="00021AAE">
          <w:rPr>
            <w:rStyle w:val="Hyperlink"/>
            <w:rFonts w:eastAsia="Aptos" w:cs="Calibri"/>
            <w:color w:val="467886"/>
            <w:szCs w:val="24"/>
          </w:rPr>
          <w:t>African Advanced Level Telecommunications Institute</w:t>
        </w:r>
      </w:hyperlink>
      <w:r w:rsidR="001C3EC0" w:rsidRPr="00021AAE">
        <w:rPr>
          <w:rFonts w:eastAsia="Aptos" w:cs="Calibri"/>
          <w:szCs w:val="24"/>
        </w:rPr>
        <w:t xml:space="preserve"> (AFRALTI)</w:t>
      </w:r>
    </w:p>
    <w:p w14:paraId="76D58083" w14:textId="33546E39" w:rsidR="001C3EC0" w:rsidRPr="00021AAE" w:rsidRDefault="0075035D" w:rsidP="0075035D">
      <w:pPr>
        <w:pStyle w:val="enumlev1"/>
      </w:pPr>
      <w:r>
        <w:tab/>
      </w:r>
      <w:hyperlink r:id="rId57">
        <w:r w:rsidR="001C3EC0" w:rsidRPr="00021AAE">
          <w:rPr>
            <w:rStyle w:val="Hyperlink"/>
            <w:rFonts w:eastAsia="Aptos" w:cs="Calibri"/>
            <w:color w:val="467886"/>
            <w:szCs w:val="24"/>
          </w:rPr>
          <w:t>Computer Emergency Response Team of Mauritius (CERT-MU)</w:t>
        </w:r>
      </w:hyperlink>
      <w:r w:rsidR="001C3EC0" w:rsidRPr="00021AAE">
        <w:rPr>
          <w:rFonts w:eastAsia="Aptos" w:cs="Calibri"/>
          <w:szCs w:val="24"/>
        </w:rPr>
        <w:t xml:space="preserve"> (CERT-MU)</w:t>
      </w:r>
    </w:p>
    <w:p w14:paraId="77B01700" w14:textId="49153ED3" w:rsidR="001C3EC0" w:rsidRPr="00021AAE" w:rsidRDefault="0075035D" w:rsidP="0075035D">
      <w:pPr>
        <w:pStyle w:val="enumlev1"/>
      </w:pPr>
      <w:r>
        <w:tab/>
      </w:r>
      <w:hyperlink r:id="rId58">
        <w:r w:rsidR="001C3EC0" w:rsidRPr="00021AAE">
          <w:rPr>
            <w:rStyle w:val="Hyperlink"/>
            <w:rFonts w:eastAsia="Aptos" w:cs="Calibri"/>
            <w:color w:val="467886"/>
            <w:szCs w:val="24"/>
          </w:rPr>
          <w:t>Digital Bridge Institute</w:t>
        </w:r>
      </w:hyperlink>
      <w:r w:rsidR="001C3EC0" w:rsidRPr="00021AAE">
        <w:rPr>
          <w:rFonts w:eastAsia="Aptos" w:cs="Calibri"/>
          <w:szCs w:val="24"/>
        </w:rPr>
        <w:t xml:space="preserve"> (DBI)</w:t>
      </w:r>
    </w:p>
    <w:p w14:paraId="396F4D1E" w14:textId="02A90DF1" w:rsidR="001C3EC0" w:rsidRPr="00021AAE" w:rsidRDefault="0075035D" w:rsidP="0075035D">
      <w:pPr>
        <w:pStyle w:val="enumlev1"/>
      </w:pPr>
      <w:r>
        <w:tab/>
      </w:r>
      <w:hyperlink r:id="rId59">
        <w:r w:rsidR="001C3EC0" w:rsidRPr="00021AAE">
          <w:rPr>
            <w:rStyle w:val="Hyperlink"/>
            <w:rFonts w:eastAsia="Aptos" w:cs="Calibri"/>
            <w:color w:val="467886"/>
          </w:rPr>
          <w:t xml:space="preserve">University of the </w:t>
        </w:r>
        <w:proofErr w:type="spellStart"/>
        <w:r w:rsidR="001C3EC0" w:rsidRPr="00021AAE">
          <w:rPr>
            <w:rStyle w:val="Hyperlink"/>
            <w:rFonts w:eastAsia="Aptos" w:cs="Calibri"/>
            <w:color w:val="467886"/>
          </w:rPr>
          <w:t>Witwatersand</w:t>
        </w:r>
        <w:proofErr w:type="spellEnd"/>
      </w:hyperlink>
      <w:r w:rsidR="001C3EC0" w:rsidRPr="00021AAE">
        <w:rPr>
          <w:rFonts w:eastAsia="Aptos" w:cs="Calibri"/>
        </w:rPr>
        <w:t xml:space="preserve"> (WITS)</w:t>
      </w:r>
      <w:r w:rsidR="00417265">
        <w:rPr>
          <w:rFonts w:eastAsia="Aptos" w:cs="Calibri"/>
        </w:rPr>
        <w:t>.</w:t>
      </w:r>
    </w:p>
    <w:p w14:paraId="7DEE43F2" w14:textId="500CBD88" w:rsidR="001C3EC0" w:rsidRPr="00A23F29" w:rsidRDefault="00021AAE" w:rsidP="00021AAE">
      <w:pPr>
        <w:pStyle w:val="enumlev1"/>
        <w:rPr>
          <w:lang w:val="es-ES"/>
        </w:rPr>
      </w:pPr>
      <w:r w:rsidRPr="00A23F29">
        <w:rPr>
          <w:rFonts w:eastAsia="Aptos"/>
          <w:lang w:val="es-ES"/>
        </w:rPr>
        <w:t>–</w:t>
      </w:r>
      <w:r w:rsidRPr="00A23F29">
        <w:rPr>
          <w:rFonts w:eastAsia="Aptos"/>
          <w:lang w:val="es-ES"/>
        </w:rPr>
        <w:tab/>
      </w:r>
      <w:proofErr w:type="spellStart"/>
      <w:r w:rsidR="001C3EC0" w:rsidRPr="00A23F29">
        <w:rPr>
          <w:rFonts w:eastAsia="Aptos"/>
          <w:lang w:val="es-ES"/>
        </w:rPr>
        <w:t>Americas</w:t>
      </w:r>
      <w:proofErr w:type="spellEnd"/>
      <w:r w:rsidR="001C3EC0" w:rsidRPr="00A23F29">
        <w:rPr>
          <w:rFonts w:eastAsia="Aptos"/>
          <w:lang w:val="es-ES"/>
        </w:rPr>
        <w:t>:</w:t>
      </w:r>
    </w:p>
    <w:p w14:paraId="38B1A921" w14:textId="6420F540" w:rsidR="001C3EC0" w:rsidRPr="00A23F29" w:rsidRDefault="0075035D" w:rsidP="0075035D">
      <w:pPr>
        <w:pStyle w:val="enumlev1"/>
        <w:rPr>
          <w:lang w:val="es-ES"/>
        </w:rPr>
      </w:pPr>
      <w:r w:rsidRPr="00A23F29">
        <w:rPr>
          <w:lang w:val="es-ES"/>
        </w:rPr>
        <w:tab/>
      </w:r>
      <w:hyperlink r:id="rId60">
        <w:r w:rsidR="001C3EC0" w:rsidRPr="00A23F29">
          <w:rPr>
            <w:rStyle w:val="Hyperlink"/>
            <w:rFonts w:eastAsia="Aptos" w:cs="Calibri"/>
            <w:color w:val="467886"/>
            <w:lang w:val="es-ES"/>
          </w:rPr>
          <w:t>Instituto Nacional de Investigación y Capacitación de Telecomunicaciones – Universidad Nacional de Ingeniería</w:t>
        </w:r>
      </w:hyperlink>
      <w:r w:rsidR="001C3EC0" w:rsidRPr="00A23F29">
        <w:rPr>
          <w:rFonts w:eastAsia="Aptos" w:cs="Calibri"/>
          <w:lang w:val="es-ES"/>
        </w:rPr>
        <w:t xml:space="preserve"> (INICTEL UNI)</w:t>
      </w:r>
    </w:p>
    <w:p w14:paraId="12B2278A" w14:textId="5F6D754F" w:rsidR="001C3EC0" w:rsidRPr="00A23F29" w:rsidRDefault="0075035D" w:rsidP="0075035D">
      <w:pPr>
        <w:pStyle w:val="enumlev1"/>
        <w:rPr>
          <w:lang w:val="es-ES"/>
        </w:rPr>
      </w:pPr>
      <w:r w:rsidRPr="00A23F29">
        <w:rPr>
          <w:lang w:val="es-ES"/>
        </w:rPr>
        <w:tab/>
      </w:r>
      <w:hyperlink r:id="rId61">
        <w:r w:rsidR="001C3EC0" w:rsidRPr="00A23F29">
          <w:rPr>
            <w:rStyle w:val="Hyperlink"/>
            <w:rFonts w:eastAsia="Aptos" w:cs="Calibri"/>
            <w:color w:val="467886"/>
            <w:lang w:val="es-ES"/>
          </w:rPr>
          <w:t xml:space="preserve">Instituto Nacional de </w:t>
        </w:r>
        <w:proofErr w:type="spellStart"/>
        <w:r w:rsidR="001C3EC0" w:rsidRPr="00A23F29">
          <w:rPr>
            <w:rStyle w:val="Hyperlink"/>
            <w:rFonts w:eastAsia="Aptos" w:cs="Calibri"/>
            <w:color w:val="467886"/>
            <w:lang w:val="es-ES"/>
          </w:rPr>
          <w:t>Telecomunicações</w:t>
        </w:r>
        <w:proofErr w:type="spellEnd"/>
      </w:hyperlink>
      <w:r w:rsidR="001C3EC0" w:rsidRPr="00A23F29">
        <w:rPr>
          <w:rFonts w:eastAsia="Aptos" w:cs="Calibri"/>
          <w:lang w:val="es-ES"/>
        </w:rPr>
        <w:t xml:space="preserve"> (INATEL)</w:t>
      </w:r>
    </w:p>
    <w:p w14:paraId="57A396B9" w14:textId="3DABCB75" w:rsidR="001C3EC0" w:rsidRPr="00021AAE" w:rsidRDefault="0075035D" w:rsidP="0075035D">
      <w:pPr>
        <w:pStyle w:val="enumlev1"/>
      </w:pPr>
      <w:r w:rsidRPr="00A23F29">
        <w:rPr>
          <w:lang w:val="es-ES"/>
        </w:rPr>
        <w:tab/>
      </w:r>
      <w:hyperlink r:id="rId62">
        <w:r w:rsidR="001C3EC0" w:rsidRPr="00021AAE">
          <w:rPr>
            <w:rStyle w:val="Hyperlink"/>
            <w:rFonts w:eastAsia="Aptos" w:cs="Calibri"/>
            <w:color w:val="467886"/>
          </w:rPr>
          <w:t>The University of the West Indies</w:t>
        </w:r>
      </w:hyperlink>
      <w:r w:rsidR="001C3EC0" w:rsidRPr="00021AAE">
        <w:rPr>
          <w:rFonts w:eastAsia="Aptos" w:cs="Calibri"/>
        </w:rPr>
        <w:t xml:space="preserve"> (UWI)</w:t>
      </w:r>
      <w:r w:rsidR="00417265">
        <w:rPr>
          <w:rFonts w:eastAsia="Aptos" w:cs="Calibri"/>
        </w:rPr>
        <w:t>.</w:t>
      </w:r>
    </w:p>
    <w:p w14:paraId="39DA1CE3" w14:textId="2C25F786" w:rsidR="001C3EC0" w:rsidRPr="00021AAE" w:rsidRDefault="00021AAE" w:rsidP="00021AAE">
      <w:pPr>
        <w:pStyle w:val="enumlev1"/>
      </w:pPr>
      <w:r>
        <w:rPr>
          <w:rFonts w:eastAsia="Aptos"/>
        </w:rPr>
        <w:t>–</w:t>
      </w:r>
      <w:r>
        <w:rPr>
          <w:rFonts w:eastAsia="Aptos"/>
        </w:rPr>
        <w:tab/>
      </w:r>
      <w:r w:rsidR="001C3EC0" w:rsidRPr="00021AAE">
        <w:rPr>
          <w:rFonts w:eastAsia="Aptos"/>
        </w:rPr>
        <w:t>Arab States:</w:t>
      </w:r>
    </w:p>
    <w:p w14:paraId="7F92F698" w14:textId="27FAE53C" w:rsidR="001C3EC0" w:rsidRPr="00021AAE" w:rsidRDefault="0075035D" w:rsidP="0075035D">
      <w:pPr>
        <w:pStyle w:val="enumlev1"/>
      </w:pPr>
      <w:r>
        <w:tab/>
      </w:r>
      <w:hyperlink r:id="rId63">
        <w:r w:rsidR="001C3EC0" w:rsidRPr="00021AAE">
          <w:rPr>
            <w:rStyle w:val="Hyperlink"/>
            <w:rFonts w:eastAsia="Aptos" w:cs="Calibri"/>
            <w:color w:val="467886"/>
          </w:rPr>
          <w:t>Egyptian African Telecom Regulatory Training Center</w:t>
        </w:r>
      </w:hyperlink>
      <w:r w:rsidR="001C3EC0" w:rsidRPr="00021AAE">
        <w:rPr>
          <w:rFonts w:eastAsia="Aptos" w:cs="Calibri"/>
        </w:rPr>
        <w:t xml:space="preserve"> (EG-ATRC)</w:t>
      </w:r>
    </w:p>
    <w:p w14:paraId="440B2605" w14:textId="4F06197E" w:rsidR="001C3EC0" w:rsidRPr="00021AAE" w:rsidRDefault="00021AAE" w:rsidP="00021AAE">
      <w:pPr>
        <w:pStyle w:val="enumlev1"/>
      </w:pPr>
      <w:r>
        <w:rPr>
          <w:rFonts w:eastAsia="Aptos"/>
        </w:rPr>
        <w:t>–</w:t>
      </w:r>
      <w:r>
        <w:rPr>
          <w:rFonts w:eastAsia="Aptos"/>
        </w:rPr>
        <w:tab/>
      </w:r>
      <w:r w:rsidR="001C3EC0" w:rsidRPr="00021AAE">
        <w:rPr>
          <w:rFonts w:eastAsia="Aptos"/>
        </w:rPr>
        <w:t>Asia-Pacific:</w:t>
      </w:r>
    </w:p>
    <w:p w14:paraId="7ABE70F1" w14:textId="5F38E6C4" w:rsidR="001C3EC0" w:rsidRPr="00021AAE" w:rsidRDefault="0075035D" w:rsidP="0075035D">
      <w:pPr>
        <w:pStyle w:val="enumlev1"/>
      </w:pPr>
      <w:r>
        <w:tab/>
      </w:r>
      <w:hyperlink r:id="rId64">
        <w:r w:rsidR="001C3EC0" w:rsidRPr="00021AAE">
          <w:rPr>
            <w:rStyle w:val="Hyperlink"/>
            <w:rFonts w:eastAsia="Aptos" w:cs="Calibri"/>
            <w:color w:val="467886"/>
            <w:szCs w:val="24"/>
          </w:rPr>
          <w:t>China Academy of Information and Communications Technology</w:t>
        </w:r>
      </w:hyperlink>
      <w:r w:rsidR="001C3EC0" w:rsidRPr="00021AAE">
        <w:rPr>
          <w:rFonts w:eastAsia="Aptos" w:cs="Calibri"/>
          <w:szCs w:val="24"/>
        </w:rPr>
        <w:t xml:space="preserve"> (CAICT)</w:t>
      </w:r>
    </w:p>
    <w:p w14:paraId="76FFD9AA" w14:textId="53FD762F" w:rsidR="001C3EC0" w:rsidRPr="00021AAE" w:rsidRDefault="0075035D" w:rsidP="0075035D">
      <w:pPr>
        <w:pStyle w:val="enumlev1"/>
      </w:pPr>
      <w:r>
        <w:tab/>
      </w:r>
      <w:hyperlink r:id="rId65">
        <w:r w:rsidR="001C3EC0" w:rsidRPr="00021AAE">
          <w:rPr>
            <w:rStyle w:val="Hyperlink"/>
            <w:rFonts w:eastAsia="Aptos" w:cs="Calibri"/>
            <w:color w:val="467886"/>
          </w:rPr>
          <w:t>National Communications Academy - Technology</w:t>
        </w:r>
      </w:hyperlink>
      <w:r w:rsidR="001C3EC0" w:rsidRPr="00021AAE">
        <w:rPr>
          <w:rFonts w:eastAsia="Aptos" w:cs="Calibri"/>
        </w:rPr>
        <w:t xml:space="preserve"> (NCA-T)</w:t>
      </w:r>
      <w:r w:rsidR="00417265">
        <w:rPr>
          <w:rFonts w:eastAsia="Aptos" w:cs="Calibri"/>
        </w:rPr>
        <w:t>.</w:t>
      </w:r>
    </w:p>
    <w:p w14:paraId="504E425F" w14:textId="622140DF" w:rsidR="001C3EC0" w:rsidRPr="00021AAE" w:rsidRDefault="00021AAE" w:rsidP="00021AAE">
      <w:pPr>
        <w:pStyle w:val="enumlev1"/>
      </w:pPr>
      <w:r>
        <w:rPr>
          <w:rFonts w:eastAsia="Aptos"/>
        </w:rPr>
        <w:t>–</w:t>
      </w:r>
      <w:r>
        <w:rPr>
          <w:rFonts w:eastAsia="Aptos"/>
        </w:rPr>
        <w:tab/>
      </w:r>
      <w:r w:rsidR="001C3EC0" w:rsidRPr="00021AAE">
        <w:rPr>
          <w:rFonts w:eastAsia="Aptos"/>
        </w:rPr>
        <w:t>Europe:</w:t>
      </w:r>
    </w:p>
    <w:p w14:paraId="65551AD7" w14:textId="2146B547" w:rsidR="001C3EC0" w:rsidRPr="00021AAE" w:rsidRDefault="0075035D" w:rsidP="0075035D">
      <w:pPr>
        <w:pStyle w:val="enumlev1"/>
      </w:pPr>
      <w:r>
        <w:tab/>
      </w:r>
      <w:hyperlink r:id="rId66">
        <w:r w:rsidR="001C3EC0" w:rsidRPr="00021AAE">
          <w:rPr>
            <w:rStyle w:val="Hyperlink"/>
            <w:rFonts w:eastAsia="Aptos" w:cs="Calibri"/>
            <w:color w:val="467886"/>
            <w:szCs w:val="24"/>
          </w:rPr>
          <w:t>National Institute of Telecommunications</w:t>
        </w:r>
      </w:hyperlink>
      <w:r w:rsidR="001C3EC0" w:rsidRPr="00021AAE">
        <w:rPr>
          <w:rFonts w:eastAsia="Aptos" w:cs="Calibri"/>
          <w:szCs w:val="24"/>
        </w:rPr>
        <w:t xml:space="preserve"> (NIT)</w:t>
      </w:r>
    </w:p>
    <w:p w14:paraId="0CF38C44" w14:textId="30A52322" w:rsidR="001C3EC0" w:rsidRPr="00021AAE" w:rsidRDefault="0075035D" w:rsidP="0075035D">
      <w:pPr>
        <w:pStyle w:val="enumlev1"/>
      </w:pPr>
      <w:r>
        <w:tab/>
      </w:r>
      <w:hyperlink r:id="rId67">
        <w:r w:rsidR="001C3EC0" w:rsidRPr="00021AAE">
          <w:rPr>
            <w:rStyle w:val="Hyperlink"/>
            <w:rFonts w:eastAsia="Aptos" w:cs="Calibri"/>
            <w:color w:val="467886"/>
            <w:szCs w:val="24"/>
          </w:rPr>
          <w:t>NRD Cyber Security</w:t>
        </w:r>
      </w:hyperlink>
      <w:r w:rsidR="001C3EC0" w:rsidRPr="00021AAE">
        <w:rPr>
          <w:rFonts w:eastAsia="Aptos" w:cs="Calibri"/>
          <w:szCs w:val="24"/>
        </w:rPr>
        <w:t xml:space="preserve"> (NRDCS)</w:t>
      </w:r>
    </w:p>
    <w:p w14:paraId="7658BE3A" w14:textId="4A41ADFC" w:rsidR="001C3EC0" w:rsidRPr="00021AAE" w:rsidRDefault="0075035D" w:rsidP="0075035D">
      <w:pPr>
        <w:pStyle w:val="enumlev1"/>
      </w:pPr>
      <w:r>
        <w:tab/>
      </w:r>
      <w:hyperlink r:id="rId68">
        <w:r w:rsidR="001C3EC0" w:rsidRPr="00021AAE">
          <w:rPr>
            <w:rStyle w:val="Hyperlink"/>
            <w:rFonts w:eastAsia="Aptos" w:cs="Calibri"/>
            <w:color w:val="467886"/>
            <w:szCs w:val="24"/>
          </w:rPr>
          <w:t>Tallinn University of Technology</w:t>
        </w:r>
      </w:hyperlink>
      <w:r w:rsidR="001C3EC0" w:rsidRPr="00021AAE">
        <w:rPr>
          <w:rFonts w:eastAsia="Aptos" w:cs="Calibri"/>
          <w:szCs w:val="24"/>
        </w:rPr>
        <w:t xml:space="preserve"> (TALTECH)</w:t>
      </w:r>
    </w:p>
    <w:p w14:paraId="4586B9BF" w14:textId="440D7991" w:rsidR="001C3EC0" w:rsidRPr="00021AAE" w:rsidRDefault="0075035D" w:rsidP="0075035D">
      <w:pPr>
        <w:pStyle w:val="enumlev1"/>
        <w:rPr>
          <w:rFonts w:eastAsia="Aptos" w:cs="Calibri"/>
        </w:rPr>
      </w:pPr>
      <w:r>
        <w:tab/>
      </w:r>
      <w:hyperlink r:id="rId69">
        <w:r w:rsidR="001C3EC0" w:rsidRPr="00021AAE">
          <w:rPr>
            <w:rStyle w:val="Hyperlink"/>
            <w:rFonts w:eastAsia="Aptos" w:cs="Calibri"/>
            <w:color w:val="467886"/>
          </w:rPr>
          <w:t>UNU-MERIT /Maastricht University</w:t>
        </w:r>
      </w:hyperlink>
      <w:r w:rsidR="001C3EC0" w:rsidRPr="00021AAE">
        <w:rPr>
          <w:rFonts w:eastAsia="Aptos" w:cs="Calibri"/>
        </w:rPr>
        <w:t xml:space="preserve"> (UNU-MERIT)</w:t>
      </w:r>
      <w:r w:rsidR="00417265">
        <w:rPr>
          <w:rFonts w:eastAsia="Aptos" w:cs="Calibri"/>
        </w:rPr>
        <w:t>.</w:t>
      </w:r>
    </w:p>
    <w:p w14:paraId="3436C73A" w14:textId="25620C41" w:rsidR="001C3EC0" w:rsidRPr="00021AAE" w:rsidRDefault="00755C2C" w:rsidP="00417265">
      <w:pPr>
        <w:pStyle w:val="Heading1"/>
      </w:pPr>
      <w:r w:rsidRPr="00021AAE">
        <w:t>4</w:t>
      </w:r>
      <w:r w:rsidRPr="00021AAE">
        <w:tab/>
      </w:r>
      <w:r w:rsidR="001C3EC0" w:rsidRPr="00021AAE">
        <w:t xml:space="preserve">Relocation of ITU Area Office from Honduras to </w:t>
      </w:r>
      <w:r w:rsidR="001C3EC0" w:rsidRPr="00417265">
        <w:t>Panama</w:t>
      </w:r>
    </w:p>
    <w:p w14:paraId="3485D6A9" w14:textId="77777777" w:rsidR="001C3EC0" w:rsidRDefault="001C3EC0" w:rsidP="0075035D">
      <w:pPr>
        <w:jc w:val="both"/>
      </w:pPr>
      <w:r w:rsidRPr="00021AAE">
        <w:t>On the relocation of the Area Office from Honduras to Panama, the host country agreement was signed on 9 December 2025 between the ITU and Panama. The launch of the ITU Area Office in Panama is expected in March or April 2026.</w:t>
      </w:r>
    </w:p>
    <w:p w14:paraId="74659B25" w14:textId="77777777" w:rsidR="003C023D" w:rsidRPr="00021AAE" w:rsidRDefault="003C023D" w:rsidP="0043492E">
      <w:pPr>
        <w:spacing w:before="480"/>
        <w:jc w:val="center"/>
      </w:pPr>
      <w:r w:rsidRPr="00021AAE">
        <w:t>______________</w:t>
      </w:r>
    </w:p>
    <w:sectPr w:rsidR="003C023D" w:rsidRPr="00021AAE" w:rsidSect="00AD3606">
      <w:headerReference w:type="even" r:id="rId70"/>
      <w:headerReference w:type="default" r:id="rId71"/>
      <w:footerReference w:type="even" r:id="rId72"/>
      <w:footerReference w:type="default" r:id="rId73"/>
      <w:headerReference w:type="first" r:id="rId74"/>
      <w:footerReference w:type="first" r:id="rId7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F090" w14:textId="77777777" w:rsidR="009F1F28" w:rsidRDefault="009F1F28">
      <w:r>
        <w:separator/>
      </w:r>
    </w:p>
  </w:endnote>
  <w:endnote w:type="continuationSeparator" w:id="0">
    <w:p w14:paraId="5CA37398" w14:textId="77777777" w:rsidR="009F1F28" w:rsidRDefault="009F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32C0" w14:textId="77777777" w:rsidR="00BD6D46" w:rsidRDefault="00BD6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A23F29"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B9B17B8" w:rsidR="00EE49E8" w:rsidRPr="001C540D" w:rsidRDefault="00EE49E8" w:rsidP="00A52C84">
          <w:pPr>
            <w:pStyle w:val="Header"/>
            <w:tabs>
              <w:tab w:val="left" w:pos="6028"/>
              <w:tab w:val="right" w:pos="8505"/>
              <w:tab w:val="right" w:pos="9639"/>
            </w:tabs>
            <w:jc w:val="left"/>
            <w:rPr>
              <w:rFonts w:ascii="Arial" w:hAnsi="Arial" w:cs="Arial"/>
              <w:b/>
              <w:bCs/>
              <w:szCs w:val="18"/>
              <w:lang w:val="es-ES"/>
            </w:rPr>
          </w:pPr>
          <w:r>
            <w:rPr>
              <w:bCs/>
            </w:rPr>
            <w:tab/>
          </w:r>
          <w:r w:rsidR="00A52C84" w:rsidRPr="001C540D">
            <w:rPr>
              <w:bCs/>
              <w:lang w:val="es-ES"/>
            </w:rPr>
            <w:t>CWG-</w:t>
          </w:r>
          <w:r w:rsidR="009F347C" w:rsidRPr="001C540D">
            <w:rPr>
              <w:bCs/>
              <w:lang w:val="es-ES"/>
            </w:rPr>
            <w:t>FHR</w:t>
          </w:r>
          <w:r w:rsidR="00A52C84" w:rsidRPr="001C540D">
            <w:rPr>
              <w:bCs/>
              <w:lang w:val="es-ES"/>
            </w:rPr>
            <w:t>-</w:t>
          </w:r>
          <w:r w:rsidR="001C540D">
            <w:rPr>
              <w:bCs/>
              <w:lang w:val="es-ES"/>
            </w:rPr>
            <w:t>22</w:t>
          </w:r>
          <w:r w:rsidR="00A52C84" w:rsidRPr="001C540D">
            <w:rPr>
              <w:bCs/>
              <w:lang w:val="es-ES"/>
            </w:rPr>
            <w:t>/</w:t>
          </w:r>
          <w:r w:rsidR="004F5EC4" w:rsidRPr="001C540D">
            <w:rPr>
              <w:bCs/>
              <w:lang w:val="es-ES"/>
            </w:rPr>
            <w:t>INF/</w:t>
          </w:r>
          <w:r w:rsidR="00A23F29">
            <w:rPr>
              <w:bCs/>
              <w:lang w:val="es-ES"/>
            </w:rPr>
            <w:t>1</w:t>
          </w:r>
          <w:r w:rsidR="00A52C84" w:rsidRPr="001C540D">
            <w:rPr>
              <w:bCs/>
              <w:lang w:val="es-ES"/>
            </w:rPr>
            <w:t>-E</w:t>
          </w:r>
          <w:r w:rsidRPr="001C540D">
            <w:rPr>
              <w:bCs/>
              <w:lang w:val="es-ES"/>
            </w:rPr>
            <w:tab/>
          </w:r>
          <w:r>
            <w:fldChar w:fldCharType="begin"/>
          </w:r>
          <w:r w:rsidRPr="001C540D">
            <w:rPr>
              <w:lang w:val="es-ES"/>
            </w:rPr>
            <w:instrText>PAGE</w:instrText>
          </w:r>
          <w:r>
            <w:fldChar w:fldCharType="separate"/>
          </w:r>
          <w:r w:rsidRPr="001C540D">
            <w:rPr>
              <w:lang w:val="es-ES"/>
            </w:rPr>
            <w:t>1</w:t>
          </w:r>
          <w:r>
            <w:rPr>
              <w:noProof/>
            </w:rPr>
            <w:fldChar w:fldCharType="end"/>
          </w:r>
        </w:p>
      </w:tc>
    </w:tr>
  </w:tbl>
  <w:p w14:paraId="44006CCE" w14:textId="77777777" w:rsidR="00EE49E8" w:rsidRPr="001C540D" w:rsidRDefault="00EE49E8" w:rsidP="00EE49E8">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A23F29" w14:paraId="4F588A4C" w14:textId="77777777" w:rsidTr="00A52C84">
      <w:trPr>
        <w:jc w:val="center"/>
      </w:trPr>
      <w:tc>
        <w:tcPr>
          <w:tcW w:w="3107" w:type="dxa"/>
          <w:vAlign w:val="center"/>
        </w:tcPr>
        <w:p w14:paraId="4E7A2825" w14:textId="09A9DCC8" w:rsidR="00EE49E8" w:rsidRDefault="00A52C84" w:rsidP="00EE49E8">
          <w:pPr>
            <w:pStyle w:val="Header"/>
            <w:jc w:val="left"/>
            <w:rPr>
              <w:noProof/>
            </w:rPr>
          </w:pPr>
          <w:hyperlink r:id="rId1" w:history="1">
            <w:r w:rsidRPr="001C540D">
              <w:rPr>
                <w:rStyle w:val="Hyperlink"/>
              </w:rPr>
              <w:t>council.itu.int/working-groups</w:t>
            </w:r>
          </w:hyperlink>
        </w:p>
      </w:tc>
      <w:tc>
        <w:tcPr>
          <w:tcW w:w="6957" w:type="dxa"/>
        </w:tcPr>
        <w:p w14:paraId="3F62E0D8" w14:textId="655630BA" w:rsidR="00EE49E8" w:rsidRPr="001C540D" w:rsidRDefault="00EE49E8" w:rsidP="00A52C84">
          <w:pPr>
            <w:pStyle w:val="Header"/>
            <w:tabs>
              <w:tab w:val="left" w:pos="4718"/>
              <w:tab w:val="right" w:pos="8505"/>
              <w:tab w:val="right" w:pos="9639"/>
            </w:tabs>
            <w:jc w:val="left"/>
            <w:rPr>
              <w:rFonts w:ascii="Arial" w:hAnsi="Arial" w:cs="Arial"/>
              <w:b/>
              <w:bCs/>
              <w:szCs w:val="18"/>
              <w:lang w:val="es-ES"/>
            </w:rPr>
          </w:pPr>
          <w:r>
            <w:rPr>
              <w:bCs/>
            </w:rPr>
            <w:tab/>
          </w:r>
          <w:r w:rsidRPr="001C540D">
            <w:rPr>
              <w:bCs/>
              <w:lang w:val="es-ES"/>
            </w:rPr>
            <w:t>C</w:t>
          </w:r>
          <w:r w:rsidR="00A52C84" w:rsidRPr="001C540D">
            <w:rPr>
              <w:bCs/>
              <w:lang w:val="es-ES"/>
            </w:rPr>
            <w:t>WG-</w:t>
          </w:r>
          <w:r w:rsidR="009F347C" w:rsidRPr="001C540D">
            <w:rPr>
              <w:bCs/>
              <w:lang w:val="es-ES"/>
            </w:rPr>
            <w:t>FHR</w:t>
          </w:r>
          <w:r w:rsidR="00A52C84" w:rsidRPr="001C540D">
            <w:rPr>
              <w:bCs/>
              <w:lang w:val="es-ES"/>
            </w:rPr>
            <w:t>-</w:t>
          </w:r>
          <w:r w:rsidR="001C540D">
            <w:rPr>
              <w:bCs/>
              <w:lang w:val="es-ES"/>
            </w:rPr>
            <w:t>22</w:t>
          </w:r>
          <w:r w:rsidRPr="001C540D">
            <w:rPr>
              <w:bCs/>
              <w:lang w:val="es-ES"/>
            </w:rPr>
            <w:t>/</w:t>
          </w:r>
          <w:r w:rsidR="004F5EC4" w:rsidRPr="001C540D">
            <w:rPr>
              <w:bCs/>
              <w:lang w:val="es-ES"/>
            </w:rPr>
            <w:t>INF/</w:t>
          </w:r>
          <w:r w:rsidR="00A23F29">
            <w:rPr>
              <w:bCs/>
              <w:lang w:val="es-ES"/>
            </w:rPr>
            <w:t>1</w:t>
          </w:r>
          <w:r w:rsidRPr="001C540D">
            <w:rPr>
              <w:bCs/>
              <w:lang w:val="es-ES"/>
            </w:rPr>
            <w:t>-E</w:t>
          </w:r>
          <w:r w:rsidRPr="001C540D">
            <w:rPr>
              <w:bCs/>
              <w:lang w:val="es-ES"/>
            </w:rPr>
            <w:tab/>
          </w:r>
          <w:r>
            <w:fldChar w:fldCharType="begin"/>
          </w:r>
          <w:r w:rsidRPr="001C540D">
            <w:rPr>
              <w:lang w:val="es-ES"/>
            </w:rPr>
            <w:instrText>PAGE</w:instrText>
          </w:r>
          <w:r>
            <w:fldChar w:fldCharType="separate"/>
          </w:r>
          <w:r w:rsidRPr="001C540D">
            <w:rPr>
              <w:lang w:val="es-ES"/>
            </w:rPr>
            <w:t>1</w:t>
          </w:r>
          <w:r>
            <w:rPr>
              <w:noProof/>
            </w:rPr>
            <w:fldChar w:fldCharType="end"/>
          </w:r>
        </w:p>
      </w:tc>
    </w:tr>
  </w:tbl>
  <w:p w14:paraId="12BE588F" w14:textId="77777777" w:rsidR="00A514A4" w:rsidRPr="001C540D"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00CF" w14:textId="77777777" w:rsidR="009F1F28" w:rsidRDefault="009F1F28">
      <w:r>
        <w:t>____________________</w:t>
      </w:r>
    </w:p>
  </w:footnote>
  <w:footnote w:type="continuationSeparator" w:id="0">
    <w:p w14:paraId="77092287" w14:textId="77777777" w:rsidR="009F1F28" w:rsidRDefault="009F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F07A" w14:textId="77777777" w:rsidR="00BD6D46" w:rsidRDefault="00BD6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8AC5" w14:textId="77777777" w:rsidR="00BD6D46" w:rsidRDefault="00BD6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0FDDF"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CF17"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089C2E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1C1EAF">
                            <w:rPr>
                              <w:b/>
                              <w:bCs/>
                              <w:szCs w:val="24"/>
                            </w:rPr>
                            <w:t xml:space="preserve">financial </w:t>
                          </w:r>
                          <w:r w:rsidR="009F347C">
                            <w:rPr>
                              <w:b/>
                              <w:bCs/>
                              <w:szCs w:val="24"/>
                            </w:rPr>
                            <w:t xml:space="preserve">and </w:t>
                          </w:r>
                          <w:r w:rsidR="001C1EAF">
                            <w:rPr>
                              <w:b/>
                              <w:bCs/>
                              <w:szCs w:val="24"/>
                            </w:rPr>
                            <w:t>human resources</w:t>
                          </w:r>
                          <w:r>
                            <w:br/>
                          </w:r>
                          <w:r w:rsidR="001C540D">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BD6D46">
                            <w:rPr>
                              <w:sz w:val="20"/>
                            </w:rPr>
                            <w:t>14 (p.m.)</w:t>
                          </w:r>
                          <w:r w:rsidR="00E03C3D">
                            <w:rPr>
                              <w:sz w:val="20"/>
                            </w:rPr>
                            <w:t xml:space="preserve"> to </w:t>
                          </w:r>
                          <w:r w:rsidR="00BD6D46">
                            <w:rPr>
                              <w:sz w:val="20"/>
                            </w:rPr>
                            <w:t>16</w:t>
                          </w:r>
                          <w:r w:rsidR="00E03C3D">
                            <w:rPr>
                              <w:sz w:val="20"/>
                            </w:rPr>
                            <w:t xml:space="preserve"> </w:t>
                          </w:r>
                          <w:r w:rsidR="001C540D">
                            <w:rPr>
                              <w:sz w:val="20"/>
                            </w:rPr>
                            <w:t xml:space="preserve">January </w:t>
                          </w:r>
                          <w:r w:rsidR="00E03C3D">
                            <w:rPr>
                              <w:sz w:val="20"/>
                            </w:rPr>
                            <w:t>202</w:t>
                          </w:r>
                          <w:r w:rsidR="001C540D">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089C2E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1C1EAF">
                      <w:rPr>
                        <w:b/>
                        <w:bCs/>
                        <w:szCs w:val="24"/>
                      </w:rPr>
                      <w:t xml:space="preserve">financial </w:t>
                    </w:r>
                    <w:r w:rsidR="009F347C">
                      <w:rPr>
                        <w:b/>
                        <w:bCs/>
                        <w:szCs w:val="24"/>
                      </w:rPr>
                      <w:t xml:space="preserve">and </w:t>
                    </w:r>
                    <w:r w:rsidR="001C1EAF">
                      <w:rPr>
                        <w:b/>
                        <w:bCs/>
                        <w:szCs w:val="24"/>
                      </w:rPr>
                      <w:t>human resources</w:t>
                    </w:r>
                    <w:r>
                      <w:br/>
                    </w:r>
                    <w:r w:rsidR="001C540D">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BD6D46">
                      <w:rPr>
                        <w:sz w:val="20"/>
                      </w:rPr>
                      <w:t>14 (p.m.)</w:t>
                    </w:r>
                    <w:r w:rsidR="00E03C3D">
                      <w:rPr>
                        <w:sz w:val="20"/>
                      </w:rPr>
                      <w:t xml:space="preserve"> to </w:t>
                    </w:r>
                    <w:r w:rsidR="00BD6D46">
                      <w:rPr>
                        <w:sz w:val="20"/>
                      </w:rPr>
                      <w:t>16</w:t>
                    </w:r>
                    <w:r w:rsidR="00E03C3D">
                      <w:rPr>
                        <w:sz w:val="20"/>
                      </w:rPr>
                      <w:t xml:space="preserve"> </w:t>
                    </w:r>
                    <w:r w:rsidR="001C540D">
                      <w:rPr>
                        <w:sz w:val="20"/>
                      </w:rPr>
                      <w:t xml:space="preserve">January </w:t>
                    </w:r>
                    <w:r w:rsidR="00E03C3D">
                      <w:rPr>
                        <w:sz w:val="20"/>
                      </w:rPr>
                      <w:t>202</w:t>
                    </w:r>
                    <w:r w:rsidR="001C540D">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A57130D"/>
    <w:multiLevelType w:val="hybridMultilevel"/>
    <w:tmpl w:val="E85E1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F332E"/>
    <w:multiLevelType w:val="multilevel"/>
    <w:tmpl w:val="A1C0B9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1374816267">
    <w:abstractNumId w:val="0"/>
  </w:num>
  <w:num w:numId="2" w16cid:durableId="582685299">
    <w:abstractNumId w:val="1"/>
  </w:num>
  <w:num w:numId="3" w16cid:durableId="116327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1AAE"/>
    <w:rsid w:val="000460B3"/>
    <w:rsid w:val="000618A8"/>
    <w:rsid w:val="00063016"/>
    <w:rsid w:val="00066795"/>
    <w:rsid w:val="00076AF6"/>
    <w:rsid w:val="00085CF2"/>
    <w:rsid w:val="000B1705"/>
    <w:rsid w:val="000D75B2"/>
    <w:rsid w:val="000F30DC"/>
    <w:rsid w:val="001017F7"/>
    <w:rsid w:val="001121F5"/>
    <w:rsid w:val="00117FB7"/>
    <w:rsid w:val="00130599"/>
    <w:rsid w:val="001400DC"/>
    <w:rsid w:val="00140CE1"/>
    <w:rsid w:val="001751FF"/>
    <w:rsid w:val="0017539C"/>
    <w:rsid w:val="00175AC2"/>
    <w:rsid w:val="0017609F"/>
    <w:rsid w:val="00195BE9"/>
    <w:rsid w:val="0019628A"/>
    <w:rsid w:val="001A72C5"/>
    <w:rsid w:val="001A7D1D"/>
    <w:rsid w:val="001B51DD"/>
    <w:rsid w:val="001C1EAF"/>
    <w:rsid w:val="001C3EC0"/>
    <w:rsid w:val="001C540D"/>
    <w:rsid w:val="001C628E"/>
    <w:rsid w:val="001E0F7B"/>
    <w:rsid w:val="001E0FBE"/>
    <w:rsid w:val="002119FD"/>
    <w:rsid w:val="002130E0"/>
    <w:rsid w:val="00215A2C"/>
    <w:rsid w:val="00225A0D"/>
    <w:rsid w:val="00235F25"/>
    <w:rsid w:val="002404ED"/>
    <w:rsid w:val="00244F7F"/>
    <w:rsid w:val="00260ACE"/>
    <w:rsid w:val="00264425"/>
    <w:rsid w:val="00265875"/>
    <w:rsid w:val="0027303B"/>
    <w:rsid w:val="00273D84"/>
    <w:rsid w:val="0028109B"/>
    <w:rsid w:val="002A2188"/>
    <w:rsid w:val="002B1F58"/>
    <w:rsid w:val="002C1C7A"/>
    <w:rsid w:val="002C54E2"/>
    <w:rsid w:val="0030160F"/>
    <w:rsid w:val="00320223"/>
    <w:rsid w:val="00322D0D"/>
    <w:rsid w:val="003515F5"/>
    <w:rsid w:val="00361465"/>
    <w:rsid w:val="003877F5"/>
    <w:rsid w:val="003942D4"/>
    <w:rsid w:val="003958A8"/>
    <w:rsid w:val="003C023D"/>
    <w:rsid w:val="003C2533"/>
    <w:rsid w:val="003D55B9"/>
    <w:rsid w:val="003D5A7F"/>
    <w:rsid w:val="004016E2"/>
    <w:rsid w:val="0040435A"/>
    <w:rsid w:val="00416A24"/>
    <w:rsid w:val="00417265"/>
    <w:rsid w:val="00431D9E"/>
    <w:rsid w:val="00433CE8"/>
    <w:rsid w:val="0043492E"/>
    <w:rsid w:val="00434A5C"/>
    <w:rsid w:val="00435653"/>
    <w:rsid w:val="004533C6"/>
    <w:rsid w:val="004544D9"/>
    <w:rsid w:val="00472BAD"/>
    <w:rsid w:val="00484009"/>
    <w:rsid w:val="00490E72"/>
    <w:rsid w:val="00491157"/>
    <w:rsid w:val="004921C8"/>
    <w:rsid w:val="00495B0B"/>
    <w:rsid w:val="004A1B8B"/>
    <w:rsid w:val="004B3007"/>
    <w:rsid w:val="004D1851"/>
    <w:rsid w:val="004D599D"/>
    <w:rsid w:val="004E2037"/>
    <w:rsid w:val="004E2EA5"/>
    <w:rsid w:val="004E3AEB"/>
    <w:rsid w:val="004F5EC4"/>
    <w:rsid w:val="0050223C"/>
    <w:rsid w:val="00515480"/>
    <w:rsid w:val="005243FF"/>
    <w:rsid w:val="00541464"/>
    <w:rsid w:val="00564FBC"/>
    <w:rsid w:val="005800BC"/>
    <w:rsid w:val="00582442"/>
    <w:rsid w:val="005A335D"/>
    <w:rsid w:val="005B2708"/>
    <w:rsid w:val="005E2BD5"/>
    <w:rsid w:val="005F3269"/>
    <w:rsid w:val="0061621A"/>
    <w:rsid w:val="00623AE3"/>
    <w:rsid w:val="0064737F"/>
    <w:rsid w:val="006535F1"/>
    <w:rsid w:val="0065557D"/>
    <w:rsid w:val="00660D50"/>
    <w:rsid w:val="00662984"/>
    <w:rsid w:val="006716BB"/>
    <w:rsid w:val="00676C7D"/>
    <w:rsid w:val="00697E04"/>
    <w:rsid w:val="006A7407"/>
    <w:rsid w:val="006B1859"/>
    <w:rsid w:val="006B6680"/>
    <w:rsid w:val="006B6DCC"/>
    <w:rsid w:val="006F0356"/>
    <w:rsid w:val="00702DEF"/>
    <w:rsid w:val="00706861"/>
    <w:rsid w:val="0075035D"/>
    <w:rsid w:val="0075051B"/>
    <w:rsid w:val="00755C2C"/>
    <w:rsid w:val="007750C2"/>
    <w:rsid w:val="00775655"/>
    <w:rsid w:val="00793188"/>
    <w:rsid w:val="00794D34"/>
    <w:rsid w:val="007E1970"/>
    <w:rsid w:val="00813E5E"/>
    <w:rsid w:val="0083581B"/>
    <w:rsid w:val="00860056"/>
    <w:rsid w:val="00863874"/>
    <w:rsid w:val="00864AFF"/>
    <w:rsid w:val="00865925"/>
    <w:rsid w:val="00891503"/>
    <w:rsid w:val="008964B4"/>
    <w:rsid w:val="008A4C6B"/>
    <w:rsid w:val="008B45ED"/>
    <w:rsid w:val="008B4A6A"/>
    <w:rsid w:val="008C7E27"/>
    <w:rsid w:val="008F7448"/>
    <w:rsid w:val="0090147A"/>
    <w:rsid w:val="009173EF"/>
    <w:rsid w:val="00932906"/>
    <w:rsid w:val="00961B0B"/>
    <w:rsid w:val="00962D33"/>
    <w:rsid w:val="00971C28"/>
    <w:rsid w:val="009B2D4B"/>
    <w:rsid w:val="009B38C3"/>
    <w:rsid w:val="009B4345"/>
    <w:rsid w:val="009B5104"/>
    <w:rsid w:val="009C253A"/>
    <w:rsid w:val="009E17BD"/>
    <w:rsid w:val="009E485A"/>
    <w:rsid w:val="009E5540"/>
    <w:rsid w:val="009F1F28"/>
    <w:rsid w:val="009F347C"/>
    <w:rsid w:val="00A04CEC"/>
    <w:rsid w:val="00A23F29"/>
    <w:rsid w:val="00A24BB3"/>
    <w:rsid w:val="00A27F92"/>
    <w:rsid w:val="00A32257"/>
    <w:rsid w:val="00A33080"/>
    <w:rsid w:val="00A34664"/>
    <w:rsid w:val="00A36D20"/>
    <w:rsid w:val="00A467DF"/>
    <w:rsid w:val="00A514A4"/>
    <w:rsid w:val="00A52C84"/>
    <w:rsid w:val="00A55622"/>
    <w:rsid w:val="00A83502"/>
    <w:rsid w:val="00A86986"/>
    <w:rsid w:val="00A94376"/>
    <w:rsid w:val="00AD15B3"/>
    <w:rsid w:val="00AD3606"/>
    <w:rsid w:val="00AD4A3D"/>
    <w:rsid w:val="00AF6E49"/>
    <w:rsid w:val="00B04A67"/>
    <w:rsid w:val="00B04C13"/>
    <w:rsid w:val="00B0583C"/>
    <w:rsid w:val="00B358B2"/>
    <w:rsid w:val="00B40A81"/>
    <w:rsid w:val="00B44910"/>
    <w:rsid w:val="00B72267"/>
    <w:rsid w:val="00B76EB6"/>
    <w:rsid w:val="00B7737B"/>
    <w:rsid w:val="00B824C8"/>
    <w:rsid w:val="00B8388B"/>
    <w:rsid w:val="00B84B9D"/>
    <w:rsid w:val="00BC251A"/>
    <w:rsid w:val="00BD032B"/>
    <w:rsid w:val="00BD1693"/>
    <w:rsid w:val="00BD6D46"/>
    <w:rsid w:val="00BE2640"/>
    <w:rsid w:val="00C01189"/>
    <w:rsid w:val="00C374DE"/>
    <w:rsid w:val="00C47AD4"/>
    <w:rsid w:val="00C52D81"/>
    <w:rsid w:val="00C55198"/>
    <w:rsid w:val="00CA6393"/>
    <w:rsid w:val="00CA7CB8"/>
    <w:rsid w:val="00CB18FF"/>
    <w:rsid w:val="00CD0C08"/>
    <w:rsid w:val="00CE03FB"/>
    <w:rsid w:val="00CE433C"/>
    <w:rsid w:val="00CF0161"/>
    <w:rsid w:val="00CF33F3"/>
    <w:rsid w:val="00D05F7F"/>
    <w:rsid w:val="00D06183"/>
    <w:rsid w:val="00D15A58"/>
    <w:rsid w:val="00D22C42"/>
    <w:rsid w:val="00D464CC"/>
    <w:rsid w:val="00D530D5"/>
    <w:rsid w:val="00D53C61"/>
    <w:rsid w:val="00D65041"/>
    <w:rsid w:val="00DA3B01"/>
    <w:rsid w:val="00DB00D5"/>
    <w:rsid w:val="00DB1936"/>
    <w:rsid w:val="00DB384B"/>
    <w:rsid w:val="00DF0189"/>
    <w:rsid w:val="00DF2DB8"/>
    <w:rsid w:val="00E03C3D"/>
    <w:rsid w:val="00E06FD5"/>
    <w:rsid w:val="00E10E80"/>
    <w:rsid w:val="00E124F0"/>
    <w:rsid w:val="00E227F3"/>
    <w:rsid w:val="00E545C6"/>
    <w:rsid w:val="00E60F04"/>
    <w:rsid w:val="00E65B24"/>
    <w:rsid w:val="00E666B5"/>
    <w:rsid w:val="00E854E4"/>
    <w:rsid w:val="00E86DBF"/>
    <w:rsid w:val="00E969BB"/>
    <w:rsid w:val="00EA427B"/>
    <w:rsid w:val="00EB0D6F"/>
    <w:rsid w:val="00EB2232"/>
    <w:rsid w:val="00EC5337"/>
    <w:rsid w:val="00ED454D"/>
    <w:rsid w:val="00EE2D5E"/>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D7016"/>
    <w:rsid w:val="00FE4077"/>
    <w:rsid w:val="00FE500D"/>
    <w:rsid w:val="00FE77D2"/>
    <w:rsid w:val="0243B6E5"/>
    <w:rsid w:val="035F0240"/>
    <w:rsid w:val="08C9D295"/>
    <w:rsid w:val="0C423A8D"/>
    <w:rsid w:val="0D6C21C9"/>
    <w:rsid w:val="0EC4253B"/>
    <w:rsid w:val="18F6EC90"/>
    <w:rsid w:val="19457049"/>
    <w:rsid w:val="1C2A5D71"/>
    <w:rsid w:val="2382E82A"/>
    <w:rsid w:val="2515739D"/>
    <w:rsid w:val="25BECAE3"/>
    <w:rsid w:val="3675EA8F"/>
    <w:rsid w:val="373DBE4E"/>
    <w:rsid w:val="414B69E2"/>
    <w:rsid w:val="46BFA0BA"/>
    <w:rsid w:val="4B4E40B3"/>
    <w:rsid w:val="5C52F191"/>
    <w:rsid w:val="5D169C76"/>
    <w:rsid w:val="5D6E722D"/>
    <w:rsid w:val="61175405"/>
    <w:rsid w:val="64A2C2D9"/>
    <w:rsid w:val="6B2DCC81"/>
    <w:rsid w:val="6F2A581C"/>
    <w:rsid w:val="77A2A601"/>
    <w:rsid w:val="79207F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32C55E8-74F9-4EDA-BF66-D85A9376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417265"/>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EA427B"/>
    <w:rPr>
      <w:color w:val="666666"/>
    </w:rPr>
  </w:style>
  <w:style w:type="paragraph" w:customStyle="1" w:styleId="Reasons">
    <w:name w:val="Reasons"/>
    <w:basedOn w:val="Normal"/>
    <w:qFormat/>
    <w:rsid w:val="003C023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semiHidden/>
    <w:unhideWhenUsed/>
    <w:rsid w:val="0061621A"/>
    <w:rPr>
      <w:sz w:val="20"/>
    </w:rPr>
  </w:style>
  <w:style w:type="character" w:customStyle="1" w:styleId="CommentTextChar">
    <w:name w:val="Comment Text Char"/>
    <w:basedOn w:val="DefaultParagraphFont"/>
    <w:link w:val="CommentText"/>
    <w:semiHidden/>
    <w:rsid w:val="0061621A"/>
    <w:rPr>
      <w:rFonts w:ascii="Calibri" w:hAnsi="Calibri"/>
      <w:lang w:val="en-GB" w:eastAsia="en-US"/>
    </w:rPr>
  </w:style>
  <w:style w:type="character" w:styleId="CommentReference">
    <w:name w:val="annotation reference"/>
    <w:basedOn w:val="DefaultParagraphFont"/>
    <w:semiHidden/>
    <w:unhideWhenUsed/>
    <w:rsid w:val="006162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die.sn/" TargetMode="External"/><Relationship Id="rId21" Type="http://schemas.openxmlformats.org/officeDocument/2006/relationships/hyperlink" Target="https://www.itu.int/itu-d/sites/innovation-alliance/" TargetMode="External"/><Relationship Id="rId42" Type="http://schemas.openxmlformats.org/officeDocument/2006/relationships/hyperlink" Target="https://academy.itu.int/secretariat-national-pour-le-renforcement-des-capacites-democratic-republic-congo-senarec" TargetMode="External"/><Relationship Id="rId47" Type="http://schemas.openxmlformats.org/officeDocument/2006/relationships/hyperlink" Target="https://academy.itu.int/uganda-institute-information-and-communications-technology-uganda-uict" TargetMode="External"/><Relationship Id="rId63" Type="http://schemas.openxmlformats.org/officeDocument/2006/relationships/hyperlink" Target="https://academy.itu.int/itu-d/projects-activities/itu-academy-training-centres/centres/Egyptian%2520African%2520Telecom%2520Regulatory%2520Training%2520Center" TargetMode="External"/><Relationship Id="rId68" Type="http://schemas.openxmlformats.org/officeDocument/2006/relationships/hyperlink" Target="https://academy.itu.int/itu-d/projects-activities/itu-academy-training-centres/centres/Tallinn%2520University%2520of%2520Technology" TargetMode="External"/><Relationship Id="rId16" Type="http://schemas.openxmlformats.org/officeDocument/2006/relationships/hyperlink" Target="https://www.itu.int/md/S25-CL-C-0105/en" TargetMode="External"/><Relationship Id="rId11" Type="http://schemas.openxmlformats.org/officeDocument/2006/relationships/hyperlink" Target="https://www.itu.int/en/council/cwg-fhr/Pages/default.aspx" TargetMode="External"/><Relationship Id="rId24" Type="http://schemas.openxmlformats.org/officeDocument/2006/relationships/hyperlink" Target="https://www.ca.go.ke/" TargetMode="External"/><Relationship Id="rId32" Type="http://schemas.openxmlformats.org/officeDocument/2006/relationships/hyperlink" Target="https://www.bifn.org/about.html" TargetMode="External"/><Relationship Id="rId37" Type="http://schemas.openxmlformats.org/officeDocument/2006/relationships/hyperlink" Target="https://www.itu.int/en/ITU-D/ICT-Applications/Pages/Initiatives/OSEEPSI/home.aspx" TargetMode="External"/><Relationship Id="rId40" Type="http://schemas.openxmlformats.org/officeDocument/2006/relationships/hyperlink" Target="https://academy.itu.int/itu-d/projects-activities/itu-academy-training-centres" TargetMode="External"/><Relationship Id="rId45" Type="http://schemas.openxmlformats.org/officeDocument/2006/relationships/hyperlink" Target="https://academy.itu.int/dtc-senegal-glance" TargetMode="External"/><Relationship Id="rId53" Type="http://schemas.openxmlformats.org/officeDocument/2006/relationships/hyperlink" Target="https://academy.itu.int/virtual-university-pakistan-pakistan-vu" TargetMode="External"/><Relationship Id="rId58" Type="http://schemas.openxmlformats.org/officeDocument/2006/relationships/hyperlink" Target="https://academy.itu.int/itu-d/projects-activities/itu-academy-training-centres/centres/Digital%2520Bridge%2520Institute" TargetMode="External"/><Relationship Id="rId66" Type="http://schemas.openxmlformats.org/officeDocument/2006/relationships/hyperlink" Target="https://academy.itu.int/itu-d/projects-activities/itu-academy-training-centres/centres/National%2520Institute%2520of%2520Telecommunications"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academy.itu.int/itu-d/projects-activities/itu-academy-training-centres/centres/Instituto%2520Nacional%2520de%2520Telecomunica%25C3%25A7%25C3%25B5es" TargetMode="External"/><Relationship Id="rId19" Type="http://schemas.openxmlformats.org/officeDocument/2006/relationships/hyperlink" Target="https://www.itu.int/md/S26-CWGFHR22-C-0004/en" TargetMode="External"/><Relationship Id="rId14" Type="http://schemas.openxmlformats.org/officeDocument/2006/relationships/hyperlink" Target="https://www.itu.int/md/S25-CL-C-0050/en" TargetMode="External"/><Relationship Id="rId22" Type="http://schemas.openxmlformats.org/officeDocument/2006/relationships/hyperlink" Target="https://www.itu.int/dms_ties/itu-d/md/22/wtdc25/c/D22-WTDC25-C-0090!!PDF-E.pdf" TargetMode="External"/><Relationship Id="rId27" Type="http://schemas.openxmlformats.org/officeDocument/2006/relationships/hyperlink" Target="https://www.mawasiliano.go.tz/pages/introduction-about-ministry" TargetMode="External"/><Relationship Id="rId30" Type="http://schemas.openxmlformats.org/officeDocument/2006/relationships/hyperlink" Target="https://www.tra.gov.eg/en/" TargetMode="External"/><Relationship Id="rId35" Type="http://schemas.openxmlformats.org/officeDocument/2006/relationships/hyperlink" Target="https://www.idda.az/az" TargetMode="External"/><Relationship Id="rId43" Type="http://schemas.openxmlformats.org/officeDocument/2006/relationships/hyperlink" Target="https://academy.itu.int/ghana-investment-fund-electronic-communications-ghana-gifec" TargetMode="External"/><Relationship Id="rId48" Type="http://schemas.openxmlformats.org/officeDocument/2006/relationships/hyperlink" Target="https://academy.itu.int/smart-zambia-institute-zambia-szi" TargetMode="External"/><Relationship Id="rId56" Type="http://schemas.openxmlformats.org/officeDocument/2006/relationships/hyperlink" Target="https://academy.itu.int/itu-d/projects-activities/itu-academy-training-centres/centres/African%2520Advanced%2520Level%2520Telecommunications%2520Institute%25C2%25A0" TargetMode="External"/><Relationship Id="rId64" Type="http://schemas.openxmlformats.org/officeDocument/2006/relationships/hyperlink" Target="https://academy.itu.int/itu-d/projects-activities/itu-academy-training-centres/centres/China%2520Academy%2520of%2520Information%2520and%2520Communications%2520Technology" TargetMode="External"/><Relationship Id="rId69" Type="http://schemas.openxmlformats.org/officeDocument/2006/relationships/hyperlink" Target="https://academy.itu.int/itu-d/projects-activities/itu-academy-training-centres/centres/UNU-MERIT%2520/Maastricht%2520University"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cademy.itu.int/agency-digital-development-morocco-add"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itu.int/en/council/Documents/basic-texts-2023/RES-025-E.pdf" TargetMode="External"/><Relationship Id="rId17" Type="http://schemas.openxmlformats.org/officeDocument/2006/relationships/hyperlink" Target="https://www.itu.int/md/S25-CL-C-0114/en" TargetMode="External"/><Relationship Id="rId25" Type="http://schemas.openxmlformats.org/officeDocument/2006/relationships/hyperlink" Target="https://macra.mw/" TargetMode="External"/><Relationship Id="rId33" Type="http://schemas.openxmlformats.org/officeDocument/2006/relationships/hyperlink" Target="https://ignite.org.pk/" TargetMode="External"/><Relationship Id="rId38" Type="http://schemas.openxmlformats.org/officeDocument/2006/relationships/hyperlink" Target="https://www.itu.int/en/ITU-D/ICT-Applications/Pages/Initiatives/OSEEPSI/OSEE_OSPO_Expression_of_Interest.aspx" TargetMode="External"/><Relationship Id="rId46" Type="http://schemas.openxmlformats.org/officeDocument/2006/relationships/hyperlink" Target="https://academy.itu.int/bridge-digital-divide-sierra-leone-sierra-leone-bddsl" TargetMode="External"/><Relationship Id="rId59" Type="http://schemas.openxmlformats.org/officeDocument/2006/relationships/hyperlink" Target="https://academy.itu.int/itu-d/projects-activities/itu-academy-training-centres/centres/University%2520of%2520the%2520Witwatersand" TargetMode="External"/><Relationship Id="rId67" Type="http://schemas.openxmlformats.org/officeDocument/2006/relationships/hyperlink" Target="https://academy.itu.int/itu-d/projects-activities/itu-academy-training-centres/centres/NRD%2520Cyber%2520Security" TargetMode="External"/><Relationship Id="rId20" Type="http://schemas.openxmlformats.org/officeDocument/2006/relationships/hyperlink" Target="https://www.itu.int/en/ITU-D/Innovation/Pages/ITU-Acceleration-Centres-Network.aspx" TargetMode="External"/><Relationship Id="rId41" Type="http://schemas.openxmlformats.org/officeDocument/2006/relationships/hyperlink" Target="https://academy.itu.int/ecole-multinationale-superieure-des-postes-dabidjan-cote-divoire-emsp" TargetMode="External"/><Relationship Id="rId54" Type="http://schemas.openxmlformats.org/officeDocument/2006/relationships/hyperlink" Target="https://academy.itu.int/papua-new-guinea-university-technology-papua-new-guinea-unitech" TargetMode="External"/><Relationship Id="rId62" Type="http://schemas.openxmlformats.org/officeDocument/2006/relationships/hyperlink" Target="https://academy.itu.int/itu-d/projects-activities/itu-academy-training-centres/centres/The%2520University%2520of%2520the%2520West%2520Indies"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5-CL-C-0069/en" TargetMode="External"/><Relationship Id="rId23" Type="http://schemas.openxmlformats.org/officeDocument/2006/relationships/hyperlink" Target="https://www.communication.gouv.ga/" TargetMode="External"/><Relationship Id="rId28" Type="http://schemas.openxmlformats.org/officeDocument/2006/relationships/hyperlink" Target="https://www.potraz.gov.zw/" TargetMode="External"/><Relationship Id="rId36" Type="http://schemas.openxmlformats.org/officeDocument/2006/relationships/hyperlink" Target="https://www.infrastruktura.gov.al/en/" TargetMode="External"/><Relationship Id="rId49" Type="http://schemas.openxmlformats.org/officeDocument/2006/relationships/hyperlink" Target="https://academy.itu.int/centros-tecnologicos-comunitarios-dominican-republic-ctc" TargetMode="External"/><Relationship Id="rId57" Type="http://schemas.openxmlformats.org/officeDocument/2006/relationships/hyperlink" Target="https://academy.itu.int/itu-d/projects-activities/itu-academy-training-centres/centres/Computer%2520Emergency%2520Response%2520Team%2520of%2520Mauritius%2520%2528CERT-MU%2529" TargetMode="External"/><Relationship Id="rId10" Type="http://schemas.openxmlformats.org/officeDocument/2006/relationships/endnotes" Target="endnotes.xml"/><Relationship Id="rId31" Type="http://schemas.openxmlformats.org/officeDocument/2006/relationships/hyperlink" Target="http://www.caict.ac.cn/english/" TargetMode="External"/><Relationship Id="rId44" Type="http://schemas.openxmlformats.org/officeDocument/2006/relationships/hyperlink" Target="https://academy.itu.int/rwanda-information-society-authority-rwanda-risa" TargetMode="External"/><Relationship Id="rId52" Type="http://schemas.openxmlformats.org/officeDocument/2006/relationships/hyperlink" Target="https://academy.itu.int/ict-training-and-development-center-indonesia-bpptik" TargetMode="External"/><Relationship Id="rId60" Type="http://schemas.openxmlformats.org/officeDocument/2006/relationships/hyperlink" Target="https://academy.itu.int/itu-d/projects-activities/itu-academy-training-centres/centres/Instituto%2520Nacional%2520de%2520Investigaci%25C3%25B3n%2520y%2520Capacitaci%25C3%25B3n%2520de%2520Telecomunicaciones%2520%25E2%2580%2593%2520Universidad%2520Nacional%2520de%2520Ingenier%25C3%25ADa%2520" TargetMode="External"/><Relationship Id="rId65" Type="http://schemas.openxmlformats.org/officeDocument/2006/relationships/hyperlink" Target="https://academy.itu.int/itu-d/projects-activities/itu-academy-training-centres/centres/National%2520Communications%2520Academy%2520-%2520Technology"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5-CL-C-0025/en" TargetMode="External"/><Relationship Id="rId18" Type="http://schemas.openxmlformats.org/officeDocument/2006/relationships/hyperlink" Target="https://www.itu.int/md/S25-CWGFHR21-C-0004/en" TargetMode="External"/><Relationship Id="rId39" Type="http://schemas.openxmlformats.org/officeDocument/2006/relationships/hyperlink" Target="https://academy.itu.int/index.php/main-activities/digital-transformation-centres-initiative" TargetMode="External"/><Relationship Id="rId34" Type="http://schemas.openxmlformats.org/officeDocument/2006/relationships/hyperlink" Target="https://dict.gov.ph/" TargetMode="External"/><Relationship Id="rId50" Type="http://schemas.openxmlformats.org/officeDocument/2006/relationships/hyperlink" Target="https://academy.itu.int/ministry-public-administration-and-artificial-intelligence-trinidad-and-tobago-mpaai" TargetMode="External"/><Relationship Id="rId55" Type="http://schemas.openxmlformats.org/officeDocument/2006/relationships/hyperlink" Target="https://academy.itu.int/department-information-and-communication-technology-philippines-dict"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ogtic.gob.d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13D60-57FD-4266-9373-B8253AE74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07BDF-89AA-4CE3-BEC4-EB2E4CC2C775}">
  <ds:schemaRefs>
    <ds:schemaRef ds:uri="http://www.w3.org/XML/1998/namespace"/>
    <ds:schemaRef ds:uri="http://purl.org/dc/terms/"/>
    <ds:schemaRef ds:uri="http://schemas.openxmlformats.org/package/2006/metadata/core-properties"/>
    <ds:schemaRef ds:uri="http://schemas.microsoft.com/office/2006/metadata/properties"/>
    <ds:schemaRef ds:uri="a4c22657-7647-457b-a399-8471255bb166"/>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097F6B5-6CDD-4F69-B4D5-17BAE84C3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2377</Words>
  <Characters>21019</Characters>
  <Application>Microsoft Office Word</Application>
  <DocSecurity>0</DocSecurity>
  <Lines>382</Lines>
  <Paragraphs>188</Paragraphs>
  <ScaleCrop>false</ScaleCrop>
  <HeadingPairs>
    <vt:vector size="2" baseType="variant">
      <vt:variant>
        <vt:lpstr>Title</vt:lpstr>
      </vt:variant>
      <vt:variant>
        <vt:i4>1</vt:i4>
      </vt:variant>
    </vt:vector>
  </HeadingPairs>
  <TitlesOfParts>
    <vt:vector size="1" baseType="lpstr">
      <vt:lpstr>Strengthening the ITU regional presence</vt:lpstr>
    </vt:vector>
  </TitlesOfParts>
  <Manager/>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the ITU regional presence</dc:title>
  <dc:subject>ITU Council Working Group on Financial and Human Resources</dc:subject>
  <dc:creator/>
  <cp:keywords>CWG-FHR; C26; Council-26</cp:keywords>
  <dc:description/>
  <cp:lastModifiedBy>GBS</cp:lastModifiedBy>
  <cp:revision>4</cp:revision>
  <dcterms:created xsi:type="dcterms:W3CDTF">2025-12-15T17:58:00Z</dcterms:created>
  <dcterms:modified xsi:type="dcterms:W3CDTF">2025-12-15T18:03:00Z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910b91c3-3234-46ed-bb25-8ecb22cede4a</vt:lpwstr>
  </property>
  <property fmtid="{D5CDD505-2E9C-101B-9397-08002B2CF9AE}" pid="3" name="ContentTypeId">
    <vt:lpwstr>0x010100814E447ED7B9DA4C9F10BB2808D9DCA9</vt:lpwstr>
  </property>
  <property fmtid="{D5CDD505-2E9C-101B-9397-08002B2CF9AE}" pid="4" name="docLang">
    <vt:lpwstr>en</vt:lpwstr>
  </property>
</Properties>
</file>