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F17BD" w14:paraId="0043AC80" w14:textId="77777777" w:rsidTr="2A454DAA">
        <w:trPr>
          <w:cantSplit/>
          <w:trHeight w:val="23"/>
        </w:trPr>
        <w:tc>
          <w:tcPr>
            <w:tcW w:w="3969" w:type="dxa"/>
            <w:vMerge w:val="restart"/>
            <w:tcMar>
              <w:left w:w="0" w:type="dxa"/>
            </w:tcMar>
          </w:tcPr>
          <w:p w14:paraId="60A806D3" w14:textId="6316C87D" w:rsidR="00AD3606" w:rsidRPr="00963ACC" w:rsidRDefault="00AD3606" w:rsidP="00472BAD">
            <w:pPr>
              <w:tabs>
                <w:tab w:val="left" w:pos="851"/>
              </w:tabs>
              <w:spacing w:before="0" w:line="240" w:lineRule="atLeast"/>
              <w:rPr>
                <w:b/>
                <w:lang w:val="en-US"/>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3C8AAD2" w:rsidR="00AD3606" w:rsidRPr="002F17BD" w:rsidRDefault="00AD3606" w:rsidP="00472BAD">
            <w:pPr>
              <w:tabs>
                <w:tab w:val="left" w:pos="851"/>
              </w:tabs>
              <w:spacing w:before="0" w:line="240" w:lineRule="atLeast"/>
              <w:jc w:val="right"/>
              <w:rPr>
                <w:b/>
                <w:lang w:val="en-US"/>
              </w:rPr>
            </w:pPr>
            <w:r w:rsidRPr="002F17BD">
              <w:rPr>
                <w:b/>
                <w:lang w:val="en-US"/>
              </w:rPr>
              <w:t>Document C</w:t>
            </w:r>
            <w:r w:rsidR="00A52C84" w:rsidRPr="002F17BD">
              <w:rPr>
                <w:b/>
                <w:lang w:val="en-US"/>
              </w:rPr>
              <w:t>WG-</w:t>
            </w:r>
            <w:r w:rsidR="009F347C" w:rsidRPr="002F17BD">
              <w:rPr>
                <w:b/>
                <w:lang w:val="en-US"/>
              </w:rPr>
              <w:t>FHR</w:t>
            </w:r>
            <w:r w:rsidR="00A52C84" w:rsidRPr="002F17BD">
              <w:rPr>
                <w:b/>
                <w:lang w:val="en-US"/>
              </w:rPr>
              <w:t>-</w:t>
            </w:r>
            <w:r w:rsidR="003E2EF3" w:rsidRPr="002F17BD">
              <w:rPr>
                <w:b/>
                <w:lang w:val="en-US"/>
              </w:rPr>
              <w:t>22</w:t>
            </w:r>
            <w:r w:rsidRPr="002F17BD">
              <w:rPr>
                <w:b/>
                <w:lang w:val="en-US"/>
              </w:rPr>
              <w:t>/</w:t>
            </w:r>
            <w:r w:rsidR="00F359DF">
              <w:rPr>
                <w:b/>
                <w:lang w:val="en-US"/>
              </w:rPr>
              <w:t>32</w:t>
            </w:r>
          </w:p>
        </w:tc>
      </w:tr>
      <w:tr w:rsidR="00AD3606" w:rsidRPr="002F17BD" w14:paraId="789B45BA" w14:textId="77777777" w:rsidTr="2A454DAA">
        <w:trPr>
          <w:cantSplit/>
        </w:trPr>
        <w:tc>
          <w:tcPr>
            <w:tcW w:w="3969" w:type="dxa"/>
            <w:vMerge/>
          </w:tcPr>
          <w:p w14:paraId="3F3D4E17" w14:textId="77777777" w:rsidR="00AD3606" w:rsidRPr="002F17BD" w:rsidRDefault="00AD3606" w:rsidP="00AD3606">
            <w:pPr>
              <w:tabs>
                <w:tab w:val="left" w:pos="851"/>
              </w:tabs>
              <w:spacing w:line="240" w:lineRule="atLeast"/>
              <w:rPr>
                <w:b/>
                <w:lang w:val="en-US"/>
              </w:rPr>
            </w:pPr>
            <w:bookmarkStart w:id="6" w:name="ddate" w:colFirst="1" w:colLast="1"/>
            <w:bookmarkEnd w:id="0"/>
            <w:bookmarkEnd w:id="1"/>
          </w:p>
        </w:tc>
        <w:tc>
          <w:tcPr>
            <w:tcW w:w="5245" w:type="dxa"/>
          </w:tcPr>
          <w:p w14:paraId="2DE9ACEA" w14:textId="6ACCC329" w:rsidR="00AD3606" w:rsidRPr="002F17BD" w:rsidRDefault="006D7728" w:rsidP="00AD3606">
            <w:pPr>
              <w:tabs>
                <w:tab w:val="left" w:pos="851"/>
              </w:tabs>
              <w:spacing w:before="0"/>
              <w:jc w:val="right"/>
              <w:rPr>
                <w:b/>
                <w:lang w:val="en-US"/>
              </w:rPr>
            </w:pPr>
            <w:r>
              <w:rPr>
                <w:b/>
              </w:rPr>
              <w:t>31</w:t>
            </w:r>
            <w:r w:rsidR="002A6346">
              <w:rPr>
                <w:b/>
              </w:rPr>
              <w:t xml:space="preserve"> December 2025</w:t>
            </w:r>
          </w:p>
        </w:tc>
      </w:tr>
      <w:tr w:rsidR="00AD3606" w:rsidRPr="002F17BD" w14:paraId="58A84C4A" w14:textId="77777777" w:rsidTr="2A454DAA">
        <w:trPr>
          <w:cantSplit/>
          <w:trHeight w:val="23"/>
        </w:trPr>
        <w:tc>
          <w:tcPr>
            <w:tcW w:w="3969" w:type="dxa"/>
            <w:vMerge/>
          </w:tcPr>
          <w:p w14:paraId="77CEDDAA" w14:textId="77777777" w:rsidR="00AD3606" w:rsidRPr="002F17BD" w:rsidRDefault="00AD3606" w:rsidP="00AD3606">
            <w:pPr>
              <w:tabs>
                <w:tab w:val="left" w:pos="851"/>
              </w:tabs>
              <w:spacing w:line="240" w:lineRule="atLeast"/>
              <w:rPr>
                <w:b/>
                <w:lang w:val="en-US"/>
              </w:rPr>
            </w:pPr>
            <w:bookmarkStart w:id="7" w:name="dorlang" w:colFirst="1" w:colLast="1"/>
            <w:bookmarkEnd w:id="6"/>
          </w:p>
        </w:tc>
        <w:tc>
          <w:tcPr>
            <w:tcW w:w="5245" w:type="dxa"/>
          </w:tcPr>
          <w:p w14:paraId="561AAE94" w14:textId="21480245" w:rsidR="00AD3606" w:rsidRPr="002F17BD" w:rsidRDefault="00891503" w:rsidP="00AD3606">
            <w:pPr>
              <w:tabs>
                <w:tab w:val="left" w:pos="851"/>
              </w:tabs>
              <w:spacing w:before="0" w:line="240" w:lineRule="atLeast"/>
              <w:jc w:val="right"/>
              <w:rPr>
                <w:b/>
                <w:lang w:val="en-US"/>
              </w:rPr>
            </w:pPr>
            <w:r w:rsidRPr="002F17BD">
              <w:rPr>
                <w:b/>
                <w:lang w:val="en-US"/>
              </w:rPr>
              <w:t>English</w:t>
            </w:r>
            <w:r w:rsidR="009B2D4B" w:rsidRPr="002F17BD">
              <w:rPr>
                <w:b/>
                <w:lang w:val="en-US"/>
              </w:rPr>
              <w:t xml:space="preserve"> only</w:t>
            </w:r>
          </w:p>
        </w:tc>
      </w:tr>
      <w:tr w:rsidR="00472BAD" w:rsidRPr="002F17BD" w14:paraId="12C5EF5F" w14:textId="77777777" w:rsidTr="2A454DAA">
        <w:trPr>
          <w:cantSplit/>
          <w:trHeight w:val="23"/>
        </w:trPr>
        <w:tc>
          <w:tcPr>
            <w:tcW w:w="3969" w:type="dxa"/>
          </w:tcPr>
          <w:p w14:paraId="4B839BA2" w14:textId="77777777" w:rsidR="00472BAD" w:rsidRPr="002F17BD" w:rsidRDefault="00472BAD" w:rsidP="00AD3606">
            <w:pPr>
              <w:tabs>
                <w:tab w:val="left" w:pos="851"/>
              </w:tabs>
              <w:spacing w:line="240" w:lineRule="atLeast"/>
              <w:rPr>
                <w:b/>
                <w:lang w:val="en-US"/>
              </w:rPr>
            </w:pPr>
          </w:p>
        </w:tc>
        <w:tc>
          <w:tcPr>
            <w:tcW w:w="5245" w:type="dxa"/>
          </w:tcPr>
          <w:p w14:paraId="12F66D25" w14:textId="77777777" w:rsidR="00472BAD" w:rsidRPr="002F17BD" w:rsidRDefault="00472BAD" w:rsidP="00AD3606">
            <w:pPr>
              <w:tabs>
                <w:tab w:val="left" w:pos="851"/>
              </w:tabs>
              <w:spacing w:before="0" w:line="240" w:lineRule="atLeast"/>
              <w:jc w:val="right"/>
              <w:rPr>
                <w:b/>
                <w:lang w:val="en-US"/>
              </w:rPr>
            </w:pPr>
          </w:p>
        </w:tc>
      </w:tr>
      <w:tr w:rsidR="00AD3606" w:rsidRPr="002F17BD" w14:paraId="27000B2A" w14:textId="77777777" w:rsidTr="2A454DAA">
        <w:trPr>
          <w:cantSplit/>
        </w:trPr>
        <w:tc>
          <w:tcPr>
            <w:tcW w:w="9214" w:type="dxa"/>
            <w:gridSpan w:val="2"/>
            <w:tcMar>
              <w:left w:w="0" w:type="dxa"/>
            </w:tcMar>
          </w:tcPr>
          <w:p w14:paraId="4E7CDB90" w14:textId="09B4AC2B" w:rsidR="00AD3606" w:rsidRPr="002F17BD" w:rsidRDefault="00B01BD6" w:rsidP="00676C7D">
            <w:pPr>
              <w:pStyle w:val="Source"/>
              <w:framePr w:hSpace="0" w:wrap="auto" w:vAnchor="margin" w:hAnchor="text" w:xAlign="left" w:yAlign="inline"/>
              <w:rPr>
                <w:lang w:val="en-US"/>
              </w:rPr>
            </w:pPr>
            <w:bookmarkStart w:id="8" w:name="dsource" w:colFirst="0" w:colLast="0"/>
            <w:bookmarkEnd w:id="7"/>
            <w:r w:rsidRPr="002F17BD">
              <w:rPr>
                <w:lang w:val="en-US"/>
              </w:rPr>
              <w:t xml:space="preserve">Contribution </w:t>
            </w:r>
            <w:r w:rsidR="002D5DBD" w:rsidRPr="002F17BD">
              <w:rPr>
                <w:lang w:val="en-US"/>
              </w:rPr>
              <w:t>by</w:t>
            </w:r>
            <w:r w:rsidRPr="002F17BD">
              <w:rPr>
                <w:lang w:val="en-US"/>
              </w:rPr>
              <w:t xml:space="preserve"> </w:t>
            </w:r>
            <w:r w:rsidR="00644A40" w:rsidRPr="002F17BD">
              <w:rPr>
                <w:lang w:val="en-US"/>
              </w:rPr>
              <w:t>United States of America</w:t>
            </w:r>
          </w:p>
        </w:tc>
      </w:tr>
      <w:tr w:rsidR="00AD3606" w:rsidRPr="002F17BD" w14:paraId="2340750D" w14:textId="77777777" w:rsidTr="2A454DAA">
        <w:trPr>
          <w:cantSplit/>
        </w:trPr>
        <w:tc>
          <w:tcPr>
            <w:tcW w:w="9214" w:type="dxa"/>
            <w:gridSpan w:val="2"/>
            <w:tcMar>
              <w:left w:w="0" w:type="dxa"/>
            </w:tcMar>
          </w:tcPr>
          <w:p w14:paraId="47B91AA8" w14:textId="518362F0" w:rsidR="00AD3606" w:rsidRPr="002F17BD" w:rsidRDefault="00644A40" w:rsidP="00676C7D">
            <w:pPr>
              <w:pStyle w:val="Subtitle"/>
              <w:framePr w:hSpace="0" w:wrap="auto" w:xAlign="left" w:yAlign="inline"/>
              <w:rPr>
                <w:lang w:val="en-US"/>
              </w:rPr>
            </w:pPr>
            <w:bookmarkStart w:id="9" w:name="dtitle1" w:colFirst="0" w:colLast="0"/>
            <w:bookmarkStart w:id="10" w:name="_Hlk218585084"/>
            <w:bookmarkEnd w:id="8"/>
            <w:r w:rsidRPr="002F17BD">
              <w:rPr>
                <w:lang w:val="en-US"/>
              </w:rPr>
              <w:t>COMMENTS AND PROPOSALS ON SATELLITE NETWORK FILINGS AND COST RECOVERY</w:t>
            </w:r>
            <w:bookmarkEnd w:id="10"/>
          </w:p>
        </w:tc>
      </w:tr>
      <w:tr w:rsidR="00AD3606" w:rsidRPr="002F17BD" w14:paraId="1F564D2D" w14:textId="77777777" w:rsidTr="2A454DAA">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F17BD" w:rsidRDefault="00F16BAB" w:rsidP="00F16BAB">
            <w:pPr>
              <w:spacing w:before="160"/>
              <w:rPr>
                <w:b/>
                <w:bCs/>
                <w:sz w:val="26"/>
                <w:szCs w:val="26"/>
                <w:lang w:val="en-US"/>
              </w:rPr>
            </w:pPr>
            <w:r w:rsidRPr="002F17BD">
              <w:rPr>
                <w:b/>
                <w:bCs/>
                <w:sz w:val="26"/>
                <w:szCs w:val="26"/>
                <w:lang w:val="en-US"/>
              </w:rPr>
              <w:t>Purpose</w:t>
            </w:r>
          </w:p>
          <w:p w14:paraId="2E09FE8B" w14:textId="34AE5633" w:rsidR="00AD3606" w:rsidRPr="002F17BD" w:rsidRDefault="00644A40" w:rsidP="00F16BAB">
            <w:pPr>
              <w:rPr>
                <w:lang w:val="en-US"/>
              </w:rPr>
            </w:pPr>
            <w:r w:rsidRPr="2A454DAA">
              <w:rPr>
                <w:lang w:val="en-US"/>
              </w:rPr>
              <w:t>This</w:t>
            </w:r>
            <w:r w:rsidR="00B71D4F" w:rsidRPr="2A454DAA">
              <w:rPr>
                <w:lang w:val="en-US"/>
              </w:rPr>
              <w:t xml:space="preserve"> contribution</w:t>
            </w:r>
            <w:r w:rsidRPr="2A454DAA">
              <w:rPr>
                <w:lang w:val="en-US"/>
              </w:rPr>
              <w:t xml:space="preserve"> comments on </w:t>
            </w:r>
            <w:r w:rsidR="00C34202" w:rsidRPr="2A454DAA">
              <w:rPr>
                <w:lang w:val="en-US"/>
              </w:rPr>
              <w:t xml:space="preserve">Document </w:t>
            </w:r>
            <w:hyperlink r:id="rId11">
              <w:r w:rsidR="00C34202" w:rsidRPr="2A454DAA">
                <w:rPr>
                  <w:rStyle w:val="Hyperlink"/>
                  <w:lang w:val="en-US"/>
                </w:rPr>
                <w:t>CWGFHR22/2</w:t>
              </w:r>
            </w:hyperlink>
            <w:r w:rsidRPr="2A454DAA">
              <w:rPr>
                <w:lang w:val="en-US"/>
              </w:rPr>
              <w:t>, the Secretariat’s proposals for reforming the Satellite Network Filings (SNF) cost recovery (CR) model and makes several specific proposals</w:t>
            </w:r>
            <w:r w:rsidR="004E3751" w:rsidRPr="2A454DAA">
              <w:rPr>
                <w:lang w:val="en-US"/>
              </w:rPr>
              <w:t xml:space="preserve"> that </w:t>
            </w:r>
            <w:r w:rsidR="00B71D4F" w:rsidRPr="2A454DAA">
              <w:rPr>
                <w:lang w:val="en-US"/>
              </w:rPr>
              <w:t>differ from</w:t>
            </w:r>
            <w:r w:rsidRPr="2A454DAA">
              <w:rPr>
                <w:lang w:val="en-US"/>
              </w:rPr>
              <w:t xml:space="preserve"> the corresponding proposals in </w:t>
            </w:r>
            <w:r w:rsidR="00C34202" w:rsidRPr="2A454DAA">
              <w:rPr>
                <w:lang w:val="en-US"/>
              </w:rPr>
              <w:t xml:space="preserve">Document </w:t>
            </w:r>
            <w:hyperlink r:id="rId12">
              <w:r w:rsidR="00C34202" w:rsidRPr="2A454DAA">
                <w:rPr>
                  <w:rStyle w:val="Hyperlink"/>
                  <w:lang w:val="en-US"/>
                </w:rPr>
                <w:t>CWGFHR22/2</w:t>
              </w:r>
            </w:hyperlink>
            <w:r w:rsidRPr="2A454DAA">
              <w:rPr>
                <w:lang w:val="en-US"/>
              </w:rPr>
              <w:t>.</w:t>
            </w:r>
          </w:p>
          <w:p w14:paraId="5076D5C4" w14:textId="28F00572" w:rsidR="00AD3606" w:rsidRPr="002F17BD" w:rsidRDefault="00AD3606" w:rsidP="00F16BAB">
            <w:pPr>
              <w:spacing w:before="160"/>
              <w:rPr>
                <w:b/>
                <w:bCs/>
                <w:sz w:val="26"/>
                <w:szCs w:val="26"/>
                <w:lang w:val="en-US"/>
              </w:rPr>
            </w:pPr>
            <w:r w:rsidRPr="002F17BD">
              <w:rPr>
                <w:b/>
                <w:bCs/>
                <w:sz w:val="26"/>
                <w:szCs w:val="26"/>
                <w:lang w:val="en-US"/>
              </w:rPr>
              <w:t>Action required</w:t>
            </w:r>
          </w:p>
          <w:p w14:paraId="53A776F1" w14:textId="3BF46CE7" w:rsidR="00891503" w:rsidRPr="002F17BD" w:rsidRDefault="002D5DBD" w:rsidP="00783563">
            <w:pPr>
              <w:rPr>
                <w:lang w:val="en-US"/>
              </w:rPr>
            </w:pPr>
            <w:r w:rsidRPr="002F17BD">
              <w:rPr>
                <w:lang w:val="en-US"/>
              </w:rPr>
              <w:t xml:space="preserve">The Council Working Group on financial and human resources is invited to </w:t>
            </w:r>
            <w:r w:rsidRPr="002F17BD">
              <w:rPr>
                <w:b/>
                <w:bCs/>
                <w:lang w:val="en-US"/>
              </w:rPr>
              <w:t>consider</w:t>
            </w:r>
            <w:r w:rsidRPr="002F17BD">
              <w:rPr>
                <w:lang w:val="en-US"/>
              </w:rPr>
              <w:t xml:space="preserve"> </w:t>
            </w:r>
            <w:r w:rsidR="006C365A">
              <w:rPr>
                <w:lang w:val="en-US"/>
              </w:rPr>
              <w:t xml:space="preserve">U.S. comments </w:t>
            </w:r>
            <w:r w:rsidR="00644A40" w:rsidRPr="002F17BD">
              <w:rPr>
                <w:lang w:val="en-US"/>
              </w:rPr>
              <w:t xml:space="preserve">regarding </w:t>
            </w:r>
            <w:r w:rsidR="00783563" w:rsidRPr="002F17BD">
              <w:rPr>
                <w:lang w:val="en-US"/>
              </w:rPr>
              <w:t>SNF CR</w:t>
            </w:r>
            <w:r w:rsidR="00644A40" w:rsidRPr="002F17BD">
              <w:rPr>
                <w:lang w:val="en-US"/>
              </w:rPr>
              <w:t xml:space="preserve"> and </w:t>
            </w:r>
            <w:r w:rsidRPr="002F17BD">
              <w:rPr>
                <w:b/>
                <w:bCs/>
                <w:lang w:val="en-US"/>
              </w:rPr>
              <w:t>approve</w:t>
            </w:r>
            <w:r w:rsidR="00644A40" w:rsidRPr="002F17BD">
              <w:rPr>
                <w:b/>
                <w:bCs/>
                <w:lang w:val="en-US"/>
              </w:rPr>
              <w:t xml:space="preserve"> </w:t>
            </w:r>
            <w:r w:rsidR="00644A40" w:rsidRPr="002F17BD">
              <w:rPr>
                <w:lang w:val="en-US"/>
              </w:rPr>
              <w:t>the proposals contained in this</w:t>
            </w:r>
            <w:r w:rsidR="006C365A">
              <w:rPr>
                <w:lang w:val="en-US"/>
              </w:rPr>
              <w:t xml:space="preserve"> contribution </w:t>
            </w:r>
            <w:r w:rsidR="00644A40" w:rsidRPr="002F17BD">
              <w:rPr>
                <w:lang w:val="en-US"/>
              </w:rPr>
              <w:t>as they relate to</w:t>
            </w:r>
            <w:r w:rsidR="00DA6100">
              <w:rPr>
                <w:lang w:val="en-US"/>
              </w:rPr>
              <w:t xml:space="preserve"> D</w:t>
            </w:r>
            <w:r w:rsidR="00DA6100" w:rsidRPr="002F17BD">
              <w:rPr>
                <w:lang w:val="en-US"/>
              </w:rPr>
              <w:t xml:space="preserve">ocument </w:t>
            </w:r>
            <w:hyperlink r:id="rId13" w:history="1">
              <w:r w:rsidR="00DA6100" w:rsidRPr="00B046FE">
                <w:rPr>
                  <w:rStyle w:val="Hyperlink"/>
                  <w:lang w:val="en-US"/>
                </w:rPr>
                <w:t>CWG</w:t>
              </w:r>
              <w:r w:rsidR="00DA6100" w:rsidRPr="00B046FE">
                <w:rPr>
                  <w:rStyle w:val="Hyperlink"/>
                  <w:lang w:val="en-US"/>
                </w:rPr>
                <w:noBreakHyphen/>
                <w:t>FHR</w:t>
              </w:r>
              <w:r w:rsidR="00DA6100" w:rsidRPr="00B046FE">
                <w:rPr>
                  <w:rStyle w:val="Hyperlink"/>
                  <w:lang w:val="en-US"/>
                </w:rPr>
                <w:noBreakHyphen/>
                <w:t>22/2</w:t>
              </w:r>
            </w:hyperlink>
            <w:r w:rsidR="00644A40" w:rsidRPr="002F17BD">
              <w:rPr>
                <w:lang w:val="en-US"/>
              </w:rPr>
              <w:t>.</w:t>
            </w:r>
          </w:p>
          <w:p w14:paraId="6B8F565E" w14:textId="77777777" w:rsidR="000A57A6" w:rsidRPr="002F17BD" w:rsidRDefault="000A57A6">
            <w:pPr>
              <w:rPr>
                <w:lang w:val="en-US"/>
              </w:rPr>
            </w:pPr>
            <w:r w:rsidRPr="002F17BD">
              <w:rPr>
                <w:lang w:val="en-US"/>
              </w:rPr>
              <w:t>_______________</w:t>
            </w:r>
          </w:p>
          <w:p w14:paraId="00DEE14C" w14:textId="32941BF0" w:rsidR="00AD3606" w:rsidRPr="002F17BD" w:rsidRDefault="00AD3606" w:rsidP="00F16BAB">
            <w:pPr>
              <w:spacing w:before="160"/>
              <w:rPr>
                <w:b/>
                <w:bCs/>
                <w:i/>
                <w:iCs/>
                <w:sz w:val="26"/>
                <w:szCs w:val="26"/>
                <w:lang w:val="en-US"/>
              </w:rPr>
            </w:pPr>
            <w:r w:rsidRPr="002F17BD">
              <w:rPr>
                <w:b/>
                <w:bCs/>
                <w:sz w:val="26"/>
                <w:szCs w:val="26"/>
                <w:lang w:val="en-US"/>
              </w:rPr>
              <w:t>References</w:t>
            </w:r>
            <w:r w:rsidR="002D5DBD" w:rsidRPr="002F17BD">
              <w:rPr>
                <w:b/>
                <w:bCs/>
                <w:sz w:val="26"/>
                <w:szCs w:val="26"/>
                <w:lang w:val="en-US"/>
              </w:rPr>
              <w:t xml:space="preserve"> </w:t>
            </w:r>
          </w:p>
          <w:p w14:paraId="0175CD6C" w14:textId="121ECD99" w:rsidR="00AD3606" w:rsidRPr="00F359DF" w:rsidRDefault="00F359DF" w:rsidP="00F16BAB">
            <w:pPr>
              <w:spacing w:after="160"/>
              <w:rPr>
                <w:i/>
                <w:iCs/>
                <w:sz w:val="22"/>
                <w:szCs w:val="22"/>
                <w:lang w:val="en-US"/>
              </w:rPr>
            </w:pPr>
            <w:hyperlink r:id="rId14" w:history="1">
              <w:r w:rsidRPr="00F359DF">
                <w:rPr>
                  <w:rStyle w:val="Hyperlink"/>
                  <w:i/>
                  <w:iCs/>
                  <w:sz w:val="22"/>
                  <w:szCs w:val="22"/>
                  <w:lang w:val="en-US"/>
                </w:rPr>
                <w:t>Resolution 91</w:t>
              </w:r>
            </w:hyperlink>
            <w:r w:rsidRPr="00F359DF">
              <w:rPr>
                <w:i/>
                <w:iCs/>
                <w:sz w:val="22"/>
                <w:szCs w:val="22"/>
                <w:lang w:val="en-US"/>
              </w:rPr>
              <w:t xml:space="preserve"> (Rev. Guadalajara 2010)</w:t>
            </w:r>
            <w:r w:rsidRPr="00F359DF">
              <w:rPr>
                <w:i/>
                <w:iCs/>
                <w:sz w:val="22"/>
                <w:szCs w:val="22"/>
                <w:lang w:val="en-US"/>
              </w:rPr>
              <w:t xml:space="preserve"> of the Plenipotentiary Conference; </w:t>
            </w:r>
            <w:r w:rsidR="0023645D" w:rsidRPr="00F359DF">
              <w:rPr>
                <w:i/>
                <w:iCs/>
                <w:sz w:val="22"/>
                <w:szCs w:val="22"/>
                <w:lang w:val="en-US"/>
              </w:rPr>
              <w:t xml:space="preserve">Council </w:t>
            </w:r>
            <w:hyperlink r:id="rId15" w:history="1">
              <w:r w:rsidR="00644A40" w:rsidRPr="00F359DF">
                <w:rPr>
                  <w:rStyle w:val="Hyperlink"/>
                  <w:i/>
                  <w:iCs/>
                  <w:sz w:val="22"/>
                  <w:szCs w:val="22"/>
                  <w:lang w:val="en-US"/>
                </w:rPr>
                <w:t>Decision</w:t>
              </w:r>
              <w:r w:rsidRPr="00F359DF">
                <w:rPr>
                  <w:rStyle w:val="Hyperlink"/>
                  <w:i/>
                  <w:iCs/>
                  <w:sz w:val="22"/>
                  <w:szCs w:val="22"/>
                  <w:lang w:val="en-US"/>
                </w:rPr>
                <w:t> </w:t>
              </w:r>
              <w:r w:rsidR="00644A40" w:rsidRPr="00F359DF">
                <w:rPr>
                  <w:rStyle w:val="Hyperlink"/>
                  <w:i/>
                  <w:iCs/>
                  <w:sz w:val="22"/>
                  <w:szCs w:val="22"/>
                  <w:lang w:val="en-US"/>
                </w:rPr>
                <w:t>482</w:t>
              </w:r>
            </w:hyperlink>
            <w:r w:rsidR="00644A40" w:rsidRPr="00F359DF">
              <w:rPr>
                <w:i/>
                <w:iCs/>
                <w:sz w:val="22"/>
                <w:szCs w:val="22"/>
                <w:lang w:val="en-US"/>
              </w:rPr>
              <w:t xml:space="preserve"> (</w:t>
            </w:r>
            <w:r w:rsidRPr="00F359DF">
              <w:rPr>
                <w:i/>
                <w:iCs/>
                <w:sz w:val="22"/>
                <w:szCs w:val="22"/>
                <w:lang w:val="en-US"/>
              </w:rPr>
              <w:t>Mod.</w:t>
            </w:r>
            <w:r w:rsidR="00644A40" w:rsidRPr="00F359DF">
              <w:rPr>
                <w:i/>
                <w:iCs/>
                <w:sz w:val="22"/>
                <w:szCs w:val="22"/>
                <w:lang w:val="en-US"/>
              </w:rPr>
              <w:t xml:space="preserve"> C25)</w:t>
            </w:r>
            <w:r w:rsidRPr="00F359DF">
              <w:rPr>
                <w:i/>
                <w:iCs/>
                <w:sz w:val="22"/>
                <w:szCs w:val="22"/>
                <w:lang w:val="en-US"/>
              </w:rPr>
              <w:t xml:space="preserve">; Documents </w:t>
            </w:r>
            <w:hyperlink r:id="rId16" w:history="1">
              <w:r w:rsidR="00C34202" w:rsidRPr="00F359DF">
                <w:rPr>
                  <w:rStyle w:val="Hyperlink"/>
                  <w:i/>
                  <w:iCs/>
                  <w:sz w:val="22"/>
                  <w:szCs w:val="22"/>
                  <w:lang w:val="en-US"/>
                </w:rPr>
                <w:t>CWG</w:t>
              </w:r>
              <w:r w:rsidR="00C34202" w:rsidRPr="00F359DF">
                <w:rPr>
                  <w:rStyle w:val="Hyperlink"/>
                  <w:i/>
                  <w:iCs/>
                  <w:sz w:val="22"/>
                  <w:szCs w:val="22"/>
                  <w:lang w:val="en-US"/>
                </w:rPr>
                <w:noBreakHyphen/>
                <w:t>FHR</w:t>
              </w:r>
              <w:r w:rsidR="00C34202" w:rsidRPr="00F359DF">
                <w:rPr>
                  <w:rStyle w:val="Hyperlink"/>
                  <w:i/>
                  <w:iCs/>
                  <w:sz w:val="22"/>
                  <w:szCs w:val="22"/>
                  <w:lang w:val="en-US"/>
                </w:rPr>
                <w:noBreakHyphen/>
                <w:t>22/2</w:t>
              </w:r>
            </w:hyperlink>
            <w:r w:rsidRPr="00F359DF">
              <w:rPr>
                <w:i/>
                <w:iCs/>
                <w:sz w:val="22"/>
                <w:szCs w:val="22"/>
                <w:lang w:val="en-US"/>
              </w:rPr>
              <w:t xml:space="preserve">; </w:t>
            </w:r>
            <w:hyperlink r:id="rId17" w:history="1">
              <w:r w:rsidR="007C393F" w:rsidRPr="00F359DF">
                <w:rPr>
                  <w:rStyle w:val="Hyperlink"/>
                  <w:i/>
                  <w:iCs/>
                  <w:sz w:val="22"/>
                  <w:szCs w:val="22"/>
                  <w:lang w:val="en-US"/>
                </w:rPr>
                <w:t>EG</w:t>
              </w:r>
              <w:r w:rsidR="007C393F" w:rsidRPr="00F359DF">
                <w:rPr>
                  <w:rStyle w:val="Hyperlink"/>
                  <w:i/>
                  <w:iCs/>
                  <w:sz w:val="22"/>
                  <w:szCs w:val="22"/>
                  <w:lang w:val="en-US"/>
                </w:rPr>
                <w:noBreakHyphen/>
                <w:t>DEC482</w:t>
              </w:r>
              <w:r w:rsidR="007C393F" w:rsidRPr="00F359DF">
                <w:rPr>
                  <w:rStyle w:val="Hyperlink"/>
                  <w:i/>
                  <w:iCs/>
                  <w:sz w:val="22"/>
                  <w:szCs w:val="22"/>
                  <w:lang w:val="en-US"/>
                </w:rPr>
                <w:noBreakHyphen/>
                <w:t>2/3</w:t>
              </w:r>
            </w:hyperlink>
            <w:r w:rsidRPr="00F359DF">
              <w:rPr>
                <w:i/>
                <w:iCs/>
                <w:sz w:val="22"/>
                <w:szCs w:val="22"/>
                <w:lang w:val="en-US"/>
              </w:rPr>
              <w:t xml:space="preserve">; </w:t>
            </w:r>
            <w:hyperlink r:id="rId18" w:history="1">
              <w:r w:rsidR="00334EAB" w:rsidRPr="00F359DF">
                <w:rPr>
                  <w:rStyle w:val="Hyperlink"/>
                  <w:i/>
                  <w:iCs/>
                  <w:sz w:val="22"/>
                  <w:szCs w:val="22"/>
                  <w:lang w:val="en-US"/>
                </w:rPr>
                <w:t>CWG</w:t>
              </w:r>
              <w:r w:rsidR="00334EAB" w:rsidRPr="00F359DF">
                <w:rPr>
                  <w:rStyle w:val="Hyperlink"/>
                  <w:i/>
                  <w:iCs/>
                  <w:sz w:val="22"/>
                  <w:szCs w:val="22"/>
                  <w:lang w:val="en-US"/>
                </w:rPr>
                <w:noBreakHyphen/>
                <w:t>FHR</w:t>
              </w:r>
              <w:r w:rsidR="00334EAB" w:rsidRPr="00F359DF">
                <w:rPr>
                  <w:rStyle w:val="Hyperlink"/>
                  <w:i/>
                  <w:iCs/>
                  <w:sz w:val="22"/>
                  <w:szCs w:val="22"/>
                  <w:lang w:val="en-US"/>
                </w:rPr>
                <w:noBreakHyphen/>
                <w:t>21/20</w:t>
              </w:r>
            </w:hyperlink>
            <w:r w:rsidRPr="00F359DF">
              <w:rPr>
                <w:i/>
                <w:iCs/>
                <w:sz w:val="22"/>
                <w:szCs w:val="22"/>
                <w:lang w:val="en-US"/>
              </w:rPr>
              <w:t>.</w:t>
            </w:r>
          </w:p>
        </w:tc>
      </w:tr>
    </w:tbl>
    <w:p w14:paraId="4CDB8B60" w14:textId="77777777" w:rsidR="00E227F3" w:rsidRPr="002F17BD" w:rsidRDefault="00E227F3">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11" w:name="_Hlk133421428"/>
      <w:bookmarkEnd w:id="2"/>
      <w:bookmarkEnd w:id="9"/>
    </w:p>
    <w:bookmarkEnd w:id="3"/>
    <w:bookmarkEnd w:id="4"/>
    <w:bookmarkEnd w:id="5"/>
    <w:bookmarkEnd w:id="11"/>
    <w:p w14:paraId="100E065A" w14:textId="77777777" w:rsidR="002F17BD" w:rsidRDefault="002F17BD">
      <w:pPr>
        <w:tabs>
          <w:tab w:val="clear" w:pos="567"/>
          <w:tab w:val="clear" w:pos="1134"/>
          <w:tab w:val="clear" w:pos="1701"/>
          <w:tab w:val="clear" w:pos="2268"/>
          <w:tab w:val="clear" w:pos="2835"/>
        </w:tabs>
        <w:overflowPunct/>
        <w:autoSpaceDE/>
        <w:autoSpaceDN/>
        <w:adjustRightInd/>
        <w:spacing w:before="0"/>
        <w:textAlignment w:val="auto"/>
        <w:rPr>
          <w:rFonts w:ascii="Calibri" w:hAnsi="Calibri"/>
          <w:b/>
          <w:sz w:val="28"/>
          <w:lang w:val="en-US"/>
        </w:rPr>
      </w:pPr>
      <w:r>
        <w:rPr>
          <w:lang w:val="en-US"/>
        </w:rPr>
        <w:br w:type="page"/>
      </w:r>
    </w:p>
    <w:p w14:paraId="1F1BFAB9" w14:textId="62BA4436" w:rsidR="00C34202" w:rsidRPr="00C34202" w:rsidRDefault="00C34202" w:rsidP="00C34202">
      <w:pPr>
        <w:spacing w:before="0"/>
        <w:contextualSpacing/>
        <w:rPr>
          <w:b/>
          <w:bCs/>
          <w:lang w:val="en-US"/>
        </w:rPr>
      </w:pPr>
      <w:r w:rsidRPr="00C34202">
        <w:rPr>
          <w:b/>
          <w:bCs/>
          <w:lang w:val="en-US"/>
        </w:rPr>
        <w:lastRenderedPageBreak/>
        <w:t>1</w:t>
      </w:r>
      <w:r w:rsidRPr="00C34202">
        <w:rPr>
          <w:b/>
          <w:bCs/>
          <w:lang w:val="en-US"/>
        </w:rPr>
        <w:tab/>
        <w:t>Introduction</w:t>
      </w:r>
    </w:p>
    <w:p w14:paraId="53BC569D" w14:textId="77777777" w:rsidR="00C34202" w:rsidRDefault="00C34202" w:rsidP="00C34202">
      <w:pPr>
        <w:spacing w:before="0"/>
        <w:contextualSpacing/>
        <w:rPr>
          <w:lang w:val="en-US"/>
        </w:rPr>
      </w:pPr>
    </w:p>
    <w:p w14:paraId="17844B33" w14:textId="454EB3A2" w:rsidR="00783563" w:rsidRDefault="00783563" w:rsidP="00C34202">
      <w:pPr>
        <w:spacing w:before="0"/>
        <w:contextualSpacing/>
        <w:rPr>
          <w:lang w:val="en-US"/>
        </w:rPr>
      </w:pPr>
      <w:r w:rsidRPr="002F17BD">
        <w:rPr>
          <w:lang w:val="en-US"/>
        </w:rPr>
        <w:t xml:space="preserve">The United States thanks the Secretariat for </w:t>
      </w:r>
      <w:bookmarkStart w:id="12" w:name="_Hlk217286881"/>
      <w:r w:rsidR="00B046FE">
        <w:rPr>
          <w:lang w:val="en-US"/>
        </w:rPr>
        <w:t>D</w:t>
      </w:r>
      <w:r w:rsidRPr="002F17BD">
        <w:rPr>
          <w:lang w:val="en-US"/>
        </w:rPr>
        <w:t xml:space="preserve">ocument </w:t>
      </w:r>
      <w:hyperlink r:id="rId19" w:history="1">
        <w:r w:rsidRPr="00B046FE">
          <w:rPr>
            <w:rStyle w:val="Hyperlink"/>
            <w:lang w:val="en-US"/>
          </w:rPr>
          <w:t>CWG</w:t>
        </w:r>
        <w:r w:rsidRPr="00B046FE">
          <w:rPr>
            <w:rStyle w:val="Hyperlink"/>
            <w:lang w:val="en-US"/>
          </w:rPr>
          <w:noBreakHyphen/>
          <w:t>FHR</w:t>
        </w:r>
        <w:r w:rsidRPr="00B046FE">
          <w:rPr>
            <w:rStyle w:val="Hyperlink"/>
            <w:lang w:val="en-US"/>
          </w:rPr>
          <w:noBreakHyphen/>
          <w:t>22/2</w:t>
        </w:r>
      </w:hyperlink>
      <w:bookmarkEnd w:id="12"/>
      <w:r w:rsidR="00182B24">
        <w:rPr>
          <w:lang w:val="en-US"/>
        </w:rPr>
        <w:t>,</w:t>
      </w:r>
      <w:r w:rsidRPr="002F17BD">
        <w:rPr>
          <w:lang w:val="en-US"/>
        </w:rPr>
        <w:t xml:space="preserve"> which proposes reforms to the Satellite Network Filing (SNF) cost recovery (CR) model. The United States has been active in matters concerning SNF CR, including </w:t>
      </w:r>
      <w:r w:rsidR="00B76922">
        <w:rPr>
          <w:lang w:val="en-US"/>
        </w:rPr>
        <w:t xml:space="preserve">within the </w:t>
      </w:r>
      <w:r w:rsidRPr="002F17BD">
        <w:rPr>
          <w:lang w:val="en-US"/>
        </w:rPr>
        <w:t>Council Expert Groups on Decision 482, Council Working Group</w:t>
      </w:r>
      <w:r w:rsidR="00B76922">
        <w:rPr>
          <w:lang w:val="en-US"/>
        </w:rPr>
        <w:t xml:space="preserve"> on Financial and Human Resources</w:t>
      </w:r>
      <w:r w:rsidRPr="002F17BD">
        <w:rPr>
          <w:lang w:val="en-US"/>
        </w:rPr>
        <w:t xml:space="preserve">, and </w:t>
      </w:r>
      <w:r w:rsidR="00B76922">
        <w:rPr>
          <w:lang w:val="en-US"/>
        </w:rPr>
        <w:t xml:space="preserve">the </w:t>
      </w:r>
      <w:r w:rsidRPr="002F17BD">
        <w:rPr>
          <w:lang w:val="en-US"/>
        </w:rPr>
        <w:t xml:space="preserve">Council itself. </w:t>
      </w:r>
      <w:r w:rsidR="005170AA" w:rsidRPr="002F17BD">
        <w:rPr>
          <w:lang w:val="en-US"/>
        </w:rPr>
        <w:t>The United States understand</w:t>
      </w:r>
      <w:r w:rsidR="00B05B5C" w:rsidRPr="002F17BD">
        <w:rPr>
          <w:lang w:val="en-US"/>
        </w:rPr>
        <w:t>s</w:t>
      </w:r>
      <w:r w:rsidR="005170AA" w:rsidRPr="002F17BD">
        <w:rPr>
          <w:lang w:val="en-US"/>
        </w:rPr>
        <w:t xml:space="preserve"> that</w:t>
      </w:r>
      <w:r w:rsidR="00B05B5C" w:rsidRPr="002F17BD">
        <w:rPr>
          <w:lang w:val="en-US"/>
        </w:rPr>
        <w:t xml:space="preserve"> the</w:t>
      </w:r>
      <w:r w:rsidR="005170AA" w:rsidRPr="002F17BD">
        <w:rPr>
          <w:lang w:val="en-US"/>
        </w:rPr>
        <w:t xml:space="preserve"> current SNF CR </w:t>
      </w:r>
      <w:r w:rsidR="00B76922">
        <w:rPr>
          <w:lang w:val="en-US"/>
        </w:rPr>
        <w:t>regime is not perfectly aligned with</w:t>
      </w:r>
      <w:r w:rsidR="005170AA" w:rsidRPr="002F17BD">
        <w:rPr>
          <w:lang w:val="en-US"/>
        </w:rPr>
        <w:t xml:space="preserve"> the actual costs borne by the </w:t>
      </w:r>
      <w:r w:rsidR="005170AA" w:rsidRPr="002F17BD">
        <w:t xml:space="preserve">Radiocommunication Bureau (BR). </w:t>
      </w:r>
      <w:r w:rsidRPr="002F17BD">
        <w:rPr>
          <w:lang w:val="en-US"/>
        </w:rPr>
        <w:t xml:space="preserve">The United States </w:t>
      </w:r>
      <w:r w:rsidR="00B76922">
        <w:rPr>
          <w:lang w:val="en-US"/>
        </w:rPr>
        <w:t xml:space="preserve">welcomes additional collaboration with ITU membership </w:t>
      </w:r>
      <w:r w:rsidRPr="002F17BD">
        <w:rPr>
          <w:lang w:val="en-US"/>
        </w:rPr>
        <w:t xml:space="preserve">towards a SNF CR model that accurately estimates and recovers </w:t>
      </w:r>
      <w:r w:rsidR="00B76922">
        <w:rPr>
          <w:lang w:val="en-US"/>
        </w:rPr>
        <w:t xml:space="preserve">an appropriate level of </w:t>
      </w:r>
      <w:r w:rsidRPr="002F17BD">
        <w:rPr>
          <w:lang w:val="en-US"/>
        </w:rPr>
        <w:t xml:space="preserve">the </w:t>
      </w:r>
      <w:r w:rsidR="005170AA" w:rsidRPr="002F17BD">
        <w:rPr>
          <w:lang w:val="en-US"/>
        </w:rPr>
        <w:t>BR</w:t>
      </w:r>
      <w:r w:rsidRPr="002F17BD">
        <w:rPr>
          <w:lang w:val="en-US"/>
        </w:rPr>
        <w:t>’s direct and indirect costs of processing satellite filings</w:t>
      </w:r>
      <w:r w:rsidR="00B76922">
        <w:rPr>
          <w:lang w:val="en-US"/>
        </w:rPr>
        <w:t xml:space="preserve">, while recognizing challenges </w:t>
      </w:r>
      <w:r w:rsidR="00EA6361">
        <w:rPr>
          <w:lang w:val="en-US"/>
        </w:rPr>
        <w:t>to the attainment of</w:t>
      </w:r>
      <w:r w:rsidR="00B76922">
        <w:rPr>
          <w:lang w:val="en-US"/>
        </w:rPr>
        <w:t xml:space="preserve"> truly full cost recovery associated with satellite network filings</w:t>
      </w:r>
      <w:r w:rsidRPr="002F17BD">
        <w:rPr>
          <w:lang w:val="en-US"/>
        </w:rPr>
        <w:t>.</w:t>
      </w:r>
    </w:p>
    <w:p w14:paraId="56F8BEEF" w14:textId="77777777" w:rsidR="00C34202" w:rsidRPr="002F17BD" w:rsidRDefault="00C34202" w:rsidP="00C34202">
      <w:pPr>
        <w:spacing w:before="0"/>
        <w:contextualSpacing/>
        <w:rPr>
          <w:lang w:val="en-US"/>
        </w:rPr>
      </w:pPr>
    </w:p>
    <w:p w14:paraId="67C81737" w14:textId="084B2EDE" w:rsidR="00C34202" w:rsidRDefault="005170AA" w:rsidP="00C34202">
      <w:pPr>
        <w:spacing w:before="0"/>
        <w:contextualSpacing/>
      </w:pPr>
      <w:r w:rsidRPr="002F17BD">
        <w:rPr>
          <w:lang w:val="en-US"/>
        </w:rPr>
        <w:t xml:space="preserve">The United States is generally supportive of the </w:t>
      </w:r>
      <w:r w:rsidRPr="002F17BD">
        <w:t xml:space="preserve">proposed framework, transparency principles, and proposed full implementation timeline set out in </w:t>
      </w:r>
      <w:r w:rsidR="00C34202">
        <w:rPr>
          <w:lang w:val="en-US"/>
        </w:rPr>
        <w:t>D</w:t>
      </w:r>
      <w:r w:rsidR="00C34202" w:rsidRPr="002F17BD">
        <w:rPr>
          <w:lang w:val="en-US"/>
        </w:rPr>
        <w:t xml:space="preserve">ocument </w:t>
      </w:r>
      <w:hyperlink r:id="rId20" w:history="1">
        <w:r w:rsidR="00C34202" w:rsidRPr="00B046FE">
          <w:rPr>
            <w:rStyle w:val="Hyperlink"/>
            <w:lang w:val="en-US"/>
          </w:rPr>
          <w:t>CWG</w:t>
        </w:r>
        <w:r w:rsidR="00C34202" w:rsidRPr="00B046FE">
          <w:rPr>
            <w:rStyle w:val="Hyperlink"/>
            <w:lang w:val="en-US"/>
          </w:rPr>
          <w:noBreakHyphen/>
          <w:t>FHR</w:t>
        </w:r>
        <w:r w:rsidR="00C34202" w:rsidRPr="00B046FE">
          <w:rPr>
            <w:rStyle w:val="Hyperlink"/>
            <w:lang w:val="en-US"/>
          </w:rPr>
          <w:noBreakHyphen/>
          <w:t>22/2</w:t>
        </w:r>
      </w:hyperlink>
      <w:r w:rsidRPr="002F17BD">
        <w:t>. The United States offers its comments on certain matters and provides proposals that relate to document CWG</w:t>
      </w:r>
      <w:r w:rsidRPr="002F17BD">
        <w:noBreakHyphen/>
        <w:t>FHR</w:t>
      </w:r>
      <w:r w:rsidRPr="002F17BD">
        <w:noBreakHyphen/>
        <w:t>22/2.</w:t>
      </w:r>
    </w:p>
    <w:p w14:paraId="375FE671" w14:textId="77777777" w:rsidR="00C34202" w:rsidRDefault="00C34202" w:rsidP="00C34202">
      <w:pPr>
        <w:spacing w:before="0"/>
        <w:contextualSpacing/>
      </w:pPr>
    </w:p>
    <w:p w14:paraId="269CD040" w14:textId="21F19DC2" w:rsidR="00C34202" w:rsidRPr="00C34202" w:rsidRDefault="00C34202" w:rsidP="00C34202">
      <w:pPr>
        <w:spacing w:before="0"/>
        <w:contextualSpacing/>
        <w:rPr>
          <w:b/>
          <w:bCs/>
        </w:rPr>
      </w:pPr>
      <w:r w:rsidRPr="00C34202">
        <w:rPr>
          <w:b/>
          <w:bCs/>
        </w:rPr>
        <w:t>2</w:t>
      </w:r>
      <w:r w:rsidRPr="00C34202">
        <w:rPr>
          <w:b/>
          <w:bCs/>
        </w:rPr>
        <w:tab/>
        <w:t>Free filing</w:t>
      </w:r>
    </w:p>
    <w:p w14:paraId="5AC58F72" w14:textId="77777777" w:rsidR="00C34202" w:rsidRPr="00C34202" w:rsidRDefault="00C34202" w:rsidP="00C34202">
      <w:pPr>
        <w:spacing w:before="0"/>
        <w:contextualSpacing/>
      </w:pPr>
    </w:p>
    <w:p w14:paraId="76640678" w14:textId="0CC87DCE" w:rsidR="00B24F82" w:rsidRDefault="25479D74" w:rsidP="00C34202">
      <w:pPr>
        <w:spacing w:before="0"/>
        <w:contextualSpacing/>
      </w:pPr>
      <w:r w:rsidRPr="002F17BD">
        <w:t>The United States reiterates its view that one of the ITU’s core functions is the registration of radio frequency assignments and of associated orbital positions.</w:t>
      </w:r>
      <w:r w:rsidR="00C34202">
        <w:t xml:space="preserve"> </w:t>
      </w:r>
      <w:r w:rsidRPr="002F17BD">
        <w:t>Its performance of this role benefits all ITU Member States and directly enables ITU Member States' application of the ITU’s Radio Regulations. While it has been recognized as appropriate that ITU could collect fees for the direct costs associated with processing satellite filings per se, it is less clear that it would be appropriate to extend this fee regime to include all indirect costs across the General Secretariat.</w:t>
      </w:r>
    </w:p>
    <w:p w14:paraId="769037B1" w14:textId="77777777" w:rsidR="00C34202" w:rsidRPr="002F17BD" w:rsidRDefault="00C34202" w:rsidP="00C34202">
      <w:pPr>
        <w:spacing w:before="0"/>
        <w:contextualSpacing/>
      </w:pPr>
    </w:p>
    <w:p w14:paraId="42429C4C" w14:textId="028EEFA0" w:rsidR="00B1637B" w:rsidRDefault="00B1637B" w:rsidP="00C34202">
      <w:pPr>
        <w:spacing w:before="0"/>
        <w:contextualSpacing/>
        <w:rPr>
          <w:lang w:val="en-US"/>
        </w:rPr>
      </w:pPr>
      <w:r w:rsidRPr="002F17BD">
        <w:t xml:space="preserve">In fact, since the original adoption of Resolution 91 and the establishment of Council Decision 482, the number of Member States that submit filings and participate in satellite communications has dramatically expanded, reinforcing that this service is a benefit </w:t>
      </w:r>
      <w:r w:rsidR="003B3DAC" w:rsidRPr="002F17BD">
        <w:t>not to</w:t>
      </w:r>
      <w:r w:rsidRPr="002F17BD">
        <w:t xml:space="preserve"> a small subset of members, but the ITU </w:t>
      </w:r>
      <w:proofErr w:type="gramStart"/>
      <w:r w:rsidRPr="002F17BD">
        <w:t>membership as a whole</w:t>
      </w:r>
      <w:proofErr w:type="gramEnd"/>
      <w:r w:rsidRPr="002F17BD">
        <w:t>.</w:t>
      </w:r>
    </w:p>
    <w:p w14:paraId="6ECE9F31" w14:textId="77777777" w:rsidR="00C34202" w:rsidRPr="002F17BD" w:rsidRDefault="00C34202" w:rsidP="00C34202">
      <w:pPr>
        <w:spacing w:before="0"/>
        <w:contextualSpacing/>
        <w:rPr>
          <w:lang w:val="en-US"/>
        </w:rPr>
      </w:pPr>
    </w:p>
    <w:p w14:paraId="627E9C32" w14:textId="456967BF" w:rsidR="00B24F82" w:rsidRDefault="00B1637B" w:rsidP="00C34202">
      <w:pPr>
        <w:spacing w:before="0"/>
        <w:contextualSpacing/>
        <w:rPr>
          <w:lang w:val="en-US"/>
        </w:rPr>
      </w:pPr>
      <w:r w:rsidRPr="002F17BD">
        <w:t xml:space="preserve">In addition, in crafting the current satellite filing fee regime, it must be </w:t>
      </w:r>
      <w:proofErr w:type="gramStart"/>
      <w:r w:rsidRPr="002F17BD">
        <w:t>taken into account</w:t>
      </w:r>
      <w:proofErr w:type="gramEnd"/>
      <w:r w:rsidRPr="002F17BD">
        <w:t xml:space="preserve"> that the ITU has endorsed free filings in certain instances as a benefit to the Union.</w:t>
      </w:r>
      <w:r w:rsidR="00C34202">
        <w:t xml:space="preserve"> </w:t>
      </w:r>
      <w:r w:rsidRPr="002F17BD">
        <w:t xml:space="preserve">The </w:t>
      </w:r>
      <w:r w:rsidR="00F64BA3" w:rsidRPr="002F17BD">
        <w:t xml:space="preserve">processing of these </w:t>
      </w:r>
      <w:r w:rsidRPr="002F17BD">
        <w:t>filings ha</w:t>
      </w:r>
      <w:r w:rsidR="00F64BA3" w:rsidRPr="002F17BD">
        <w:t>s</w:t>
      </w:r>
      <w:r w:rsidRPr="002F17BD">
        <w:t xml:space="preserve"> a significant cost and should be assessed as a part of the next steps in considering the indirect costs of satellite filings.</w:t>
      </w:r>
    </w:p>
    <w:p w14:paraId="20EE4042" w14:textId="77777777" w:rsidR="00C34202" w:rsidRPr="002F17BD" w:rsidRDefault="00C34202" w:rsidP="00C34202">
      <w:pPr>
        <w:spacing w:before="0"/>
        <w:contextualSpacing/>
        <w:rPr>
          <w:lang w:val="en-US"/>
        </w:rPr>
      </w:pPr>
    </w:p>
    <w:p w14:paraId="0D45E897" w14:textId="77BDDB88" w:rsidR="00A44123" w:rsidRPr="002F17BD" w:rsidRDefault="004F568C" w:rsidP="00C34202">
      <w:pPr>
        <w:spacing w:before="0"/>
        <w:contextualSpacing/>
      </w:pPr>
      <w:r w:rsidRPr="002F17BD">
        <w:t xml:space="preserve">The budget impact of the free filing </w:t>
      </w:r>
      <w:r w:rsidR="2A62F2AD" w:rsidRPr="002F17BD">
        <w:t>regime</w:t>
      </w:r>
      <w:r w:rsidRPr="002F17BD">
        <w:t xml:space="preserve"> has been </w:t>
      </w:r>
      <w:r w:rsidR="002C2D0E" w:rsidRPr="002F17BD">
        <w:t>presented to Member States</w:t>
      </w:r>
      <w:r w:rsidRPr="002F17BD">
        <w:t>.</w:t>
      </w:r>
      <w:r w:rsidRPr="002F17BD">
        <w:rPr>
          <w:rStyle w:val="FootnoteReference"/>
        </w:rPr>
        <w:footnoteReference w:id="2"/>
      </w:r>
      <w:r w:rsidRPr="002F17BD">
        <w:t xml:space="preserve"> </w:t>
      </w:r>
      <w:r w:rsidR="00C34202">
        <w:t xml:space="preserve"> </w:t>
      </w:r>
      <w:r w:rsidR="00A44123" w:rsidRPr="002F17BD">
        <w:t xml:space="preserve"> Council Expert Group</w:t>
      </w:r>
      <w:r w:rsidRPr="002F17BD">
        <w:t xml:space="preserve"> </w:t>
      </w:r>
      <w:r w:rsidR="00A44123" w:rsidRPr="002F17BD">
        <w:t xml:space="preserve">on Decision 482 (2025) </w:t>
      </w:r>
      <w:r w:rsidR="007C393F" w:rsidRPr="002F17BD">
        <w:t xml:space="preserve">attempted to lessen the budget impact by </w:t>
      </w:r>
      <w:r w:rsidRPr="002F17BD">
        <w:t>develop</w:t>
      </w:r>
      <w:r w:rsidR="007C393F" w:rsidRPr="002F17BD">
        <w:t xml:space="preserve">ing </w:t>
      </w:r>
      <w:r w:rsidRPr="002F17BD">
        <w:t xml:space="preserve">amendments that </w:t>
      </w:r>
      <w:r w:rsidR="002C2D0E" w:rsidRPr="002F17BD">
        <w:t xml:space="preserve">disallow </w:t>
      </w:r>
      <w:r w:rsidR="0095701E" w:rsidRPr="002F17BD">
        <w:t xml:space="preserve">Member States from claiming a free filing for </w:t>
      </w:r>
      <w:r w:rsidR="002C2D0E" w:rsidRPr="002F17BD">
        <w:t xml:space="preserve">certain </w:t>
      </w:r>
      <w:r w:rsidR="5EDF8AA6" w:rsidRPr="002F17BD">
        <w:t>non-geostationary (</w:t>
      </w:r>
      <w:r w:rsidRPr="002F17BD">
        <w:t>non</w:t>
      </w:r>
      <w:r w:rsidR="0A309704" w:rsidRPr="002F17BD">
        <w:t>-</w:t>
      </w:r>
      <w:r w:rsidRPr="002F17BD">
        <w:t>GSO</w:t>
      </w:r>
      <w:r w:rsidR="4EFE25C7" w:rsidRPr="002F17BD">
        <w:t>)</w:t>
      </w:r>
      <w:r w:rsidRPr="002F17BD">
        <w:t xml:space="preserve"> satellite system filings</w:t>
      </w:r>
      <w:r w:rsidR="00C93A81" w:rsidRPr="002F17BD">
        <w:t xml:space="preserve">. </w:t>
      </w:r>
      <w:r w:rsidRPr="002F17BD">
        <w:t xml:space="preserve">However, the United States notes in </w:t>
      </w:r>
      <w:r w:rsidR="00C34202">
        <w:rPr>
          <w:lang w:val="en-US"/>
        </w:rPr>
        <w:t>D</w:t>
      </w:r>
      <w:r w:rsidR="00C34202" w:rsidRPr="002F17BD">
        <w:rPr>
          <w:lang w:val="en-US"/>
        </w:rPr>
        <w:t xml:space="preserve">ocument </w:t>
      </w:r>
      <w:hyperlink r:id="rId21" w:history="1">
        <w:r w:rsidR="00C34202" w:rsidRPr="00B046FE">
          <w:rPr>
            <w:rStyle w:val="Hyperlink"/>
            <w:lang w:val="en-US"/>
          </w:rPr>
          <w:t>CWG</w:t>
        </w:r>
        <w:r w:rsidR="00C34202" w:rsidRPr="00B046FE">
          <w:rPr>
            <w:rStyle w:val="Hyperlink"/>
            <w:lang w:val="en-US"/>
          </w:rPr>
          <w:noBreakHyphen/>
          <w:t>FHR</w:t>
        </w:r>
        <w:r w:rsidR="00C34202" w:rsidRPr="00B046FE">
          <w:rPr>
            <w:rStyle w:val="Hyperlink"/>
            <w:lang w:val="en-US"/>
          </w:rPr>
          <w:noBreakHyphen/>
          <w:t>22/2</w:t>
        </w:r>
      </w:hyperlink>
      <w:r w:rsidRPr="002F17BD">
        <w:t xml:space="preserve">, </w:t>
      </w:r>
      <w:r w:rsidRPr="002F17BD">
        <w:rPr>
          <w:rFonts w:cstheme="minorBidi"/>
        </w:rPr>
        <w:t>§</w:t>
      </w:r>
      <w:r w:rsidRPr="002F17BD">
        <w:t xml:space="preserve">4.2, that many Member States do not </w:t>
      </w:r>
      <w:r w:rsidR="00FE3E22" w:rsidRPr="002F17BD">
        <w:t xml:space="preserve">exercise their free </w:t>
      </w:r>
      <w:r w:rsidR="004A452B" w:rsidRPr="002F17BD">
        <w:t>filing</w:t>
      </w:r>
      <w:r w:rsidR="00FE3E22" w:rsidRPr="002F17BD">
        <w:t>, leaving the ITU exposed to a much greater potential shortfall in</w:t>
      </w:r>
      <w:r w:rsidRPr="002F17BD">
        <w:t xml:space="preserve"> </w:t>
      </w:r>
      <w:r w:rsidR="00452767" w:rsidRPr="002F17BD">
        <w:t>CR</w:t>
      </w:r>
      <w:r w:rsidRPr="002F17BD">
        <w:t>.</w:t>
      </w:r>
    </w:p>
    <w:p w14:paraId="3BC5459B" w14:textId="2838824F" w:rsidR="001E6538" w:rsidRPr="002F17BD" w:rsidRDefault="001E6538" w:rsidP="00C34202">
      <w:pPr>
        <w:spacing w:before="0"/>
        <w:contextualSpacing/>
      </w:pPr>
    </w:p>
    <w:p w14:paraId="1683B7F7" w14:textId="391A352E" w:rsidR="001E6538" w:rsidRDefault="00D90FE5" w:rsidP="00C34202">
      <w:pPr>
        <w:spacing w:before="0"/>
        <w:contextualSpacing/>
      </w:pPr>
      <w:r w:rsidRPr="002F17BD">
        <w:lastRenderedPageBreak/>
        <w:t xml:space="preserve">The United States does not accept the framing that </w:t>
      </w:r>
      <w:r w:rsidR="23FCC98B" w:rsidRPr="002F17BD">
        <w:t xml:space="preserve">the </w:t>
      </w:r>
      <w:r w:rsidRPr="002F17BD">
        <w:t xml:space="preserve">free </w:t>
      </w:r>
      <w:r w:rsidR="56F6C2DA" w:rsidRPr="002F17BD">
        <w:t>filing</w:t>
      </w:r>
      <w:r w:rsidRPr="002F17BD">
        <w:t xml:space="preserve"> mainly benefits developed countries; rather, it is a Union-wide benefit that safeguards access for all Members. </w:t>
      </w:r>
      <w:r w:rsidR="7ADD7347" w:rsidRPr="002F17BD">
        <w:t>T</w:t>
      </w:r>
      <w:r w:rsidR="001E6538" w:rsidRPr="002F17BD">
        <w:t xml:space="preserve">he United States emphasizes the policy basis for maintaining the free </w:t>
      </w:r>
      <w:r w:rsidR="0052AA95" w:rsidRPr="002F17BD">
        <w:t>filing regime</w:t>
      </w:r>
      <w:r w:rsidR="001E6538" w:rsidRPr="002F17BD">
        <w:t xml:space="preserve"> itself. Free filing is part of the core treaty function and the “purpose of the Union,” designed to ensure equity and inclusiveness across all Member States. Its costs should therefore be absorbed by contributory units and the regular ITU budget, not </w:t>
      </w:r>
      <w:r w:rsidR="00C521EC" w:rsidRPr="002F17BD">
        <w:t>included in</w:t>
      </w:r>
      <w:r w:rsidR="001E6538" w:rsidRPr="002F17BD">
        <w:t xml:space="preserve"> the fee regime. The free </w:t>
      </w:r>
      <w:r w:rsidR="7B27DD30" w:rsidRPr="002F17BD">
        <w:t>filing regime</w:t>
      </w:r>
      <w:r w:rsidR="001E6538" w:rsidRPr="002F17BD">
        <w:t xml:space="preserve"> should</w:t>
      </w:r>
      <w:r w:rsidRPr="002F17BD">
        <w:t xml:space="preserve"> therefore</w:t>
      </w:r>
      <w:r w:rsidR="001E6538" w:rsidRPr="002F17BD">
        <w:t xml:space="preserve"> be defended </w:t>
      </w:r>
      <w:r w:rsidR="0031467E">
        <w:t xml:space="preserve">in principle. </w:t>
      </w:r>
    </w:p>
    <w:p w14:paraId="1F230C3D" w14:textId="77777777" w:rsidR="00C34202" w:rsidRPr="002F17BD" w:rsidRDefault="00C34202" w:rsidP="00C34202">
      <w:pPr>
        <w:spacing w:before="0"/>
        <w:contextualSpacing/>
      </w:pPr>
    </w:p>
    <w:p w14:paraId="01A940B2" w14:textId="1556E284" w:rsidR="00F61C12" w:rsidRDefault="008B7FA9" w:rsidP="00C34202">
      <w:pPr>
        <w:spacing w:before="0"/>
        <w:contextualSpacing/>
      </w:pPr>
      <w:r w:rsidRPr="002F17BD">
        <w:t xml:space="preserve">The United States seeks clarity on the relationship between the principle of full </w:t>
      </w:r>
      <w:r w:rsidR="00D75D72" w:rsidRPr="002F17BD">
        <w:t xml:space="preserve">cost recovery </w:t>
      </w:r>
      <w:r w:rsidRPr="002F17BD">
        <w:t xml:space="preserve">and </w:t>
      </w:r>
      <w:r w:rsidR="00CB1C95" w:rsidRPr="002F17BD">
        <w:t>the recovery of costs associated with free filing</w:t>
      </w:r>
      <w:r w:rsidR="00F66BEE" w:rsidRPr="002F17BD">
        <w:t>s</w:t>
      </w:r>
      <w:r w:rsidR="00780B66" w:rsidRPr="002F17BD">
        <w:t xml:space="preserve">. </w:t>
      </w:r>
      <w:r w:rsidR="00FA5E2F" w:rsidRPr="002F17BD">
        <w:t>While</w:t>
      </w:r>
      <w:r w:rsidRPr="002F17BD">
        <w:t xml:space="preserve"> the Secretariat </w:t>
      </w:r>
      <w:r w:rsidR="00FA5E2F" w:rsidRPr="002F17BD">
        <w:t>suggests</w:t>
      </w:r>
      <w:r w:rsidR="00B91D4A" w:rsidRPr="002F17BD">
        <w:t xml:space="preserve"> </w:t>
      </w:r>
      <w:r w:rsidRPr="002F17BD">
        <w:t xml:space="preserve">that the entirety of costs associated with SNF activities (i.e., the filings that pay CR and the free filing ) </w:t>
      </w:r>
      <w:r w:rsidR="00452767" w:rsidRPr="002F17BD">
        <w:t>should be recovered</w:t>
      </w:r>
      <w:r w:rsidR="00F61C12" w:rsidRPr="002F17BD">
        <w:t xml:space="preserve"> by the filings that pay CR</w:t>
      </w:r>
      <w:r w:rsidR="00452767" w:rsidRPr="002F17BD">
        <w:t xml:space="preserve"> (</w:t>
      </w:r>
      <w:r w:rsidR="00C34202">
        <w:rPr>
          <w:lang w:val="en-US"/>
        </w:rPr>
        <w:t>D</w:t>
      </w:r>
      <w:r w:rsidR="00C34202" w:rsidRPr="002F17BD">
        <w:rPr>
          <w:lang w:val="en-US"/>
        </w:rPr>
        <w:t xml:space="preserve">ocument </w:t>
      </w:r>
      <w:hyperlink r:id="rId22" w:history="1">
        <w:r w:rsidR="00C34202" w:rsidRPr="00B046FE">
          <w:rPr>
            <w:rStyle w:val="Hyperlink"/>
            <w:lang w:val="en-US"/>
          </w:rPr>
          <w:t>CWG</w:t>
        </w:r>
        <w:r w:rsidR="00C34202" w:rsidRPr="00B046FE">
          <w:rPr>
            <w:rStyle w:val="Hyperlink"/>
            <w:lang w:val="en-US"/>
          </w:rPr>
          <w:noBreakHyphen/>
          <w:t>FHR</w:t>
        </w:r>
        <w:r w:rsidR="00C34202" w:rsidRPr="00B046FE">
          <w:rPr>
            <w:rStyle w:val="Hyperlink"/>
            <w:lang w:val="en-US"/>
          </w:rPr>
          <w:noBreakHyphen/>
          <w:t>22/2</w:t>
        </w:r>
      </w:hyperlink>
      <w:r w:rsidR="00452767" w:rsidRPr="002F17BD">
        <w:t xml:space="preserve">, </w:t>
      </w:r>
      <w:r w:rsidR="00452767" w:rsidRPr="002F17BD">
        <w:rPr>
          <w:rFonts w:cstheme="minorBidi"/>
        </w:rPr>
        <w:t>§§</w:t>
      </w:r>
      <w:r w:rsidR="00452767" w:rsidRPr="002F17BD">
        <w:t>4.2</w:t>
      </w:r>
      <w:r w:rsidR="00452767" w:rsidRPr="002F17BD">
        <w:rPr>
          <w:rStyle w:val="FootnoteReference"/>
        </w:rPr>
        <w:footnoteReference w:id="3"/>
      </w:r>
      <w:r w:rsidR="00452767" w:rsidRPr="002F17BD">
        <w:t xml:space="preserve"> and 4.7</w:t>
      </w:r>
      <w:r w:rsidR="00452767" w:rsidRPr="002F17BD">
        <w:rPr>
          <w:rStyle w:val="FootnoteReference"/>
        </w:rPr>
        <w:footnoteReference w:id="4"/>
      </w:r>
      <w:r w:rsidR="00452767" w:rsidRPr="002F17BD">
        <w:t>)</w:t>
      </w:r>
      <w:r w:rsidR="00C652E6" w:rsidRPr="002F17BD">
        <w:t>, t</w:t>
      </w:r>
      <w:r w:rsidR="00452767" w:rsidRPr="002F17BD">
        <w:t xml:space="preserve">his seems impossible unless filings paying CR are overcharged to </w:t>
      </w:r>
      <w:r w:rsidR="00F61C12" w:rsidRPr="002F17BD">
        <w:t xml:space="preserve">make up </w:t>
      </w:r>
      <w:r w:rsidR="00452767" w:rsidRPr="002F17BD">
        <w:t>the costs associated with the free filing</w:t>
      </w:r>
      <w:r w:rsidR="00B64516" w:rsidRPr="002F17BD">
        <w:t xml:space="preserve">. </w:t>
      </w:r>
      <w:r w:rsidR="002E76F8" w:rsidRPr="002F17BD">
        <w:t xml:space="preserve">Therefore, the United States supports </w:t>
      </w:r>
      <w:r w:rsidR="00A15A39" w:rsidRPr="002F17BD">
        <w:t>the view that the direct and indirect costs of processing free</w:t>
      </w:r>
      <w:r w:rsidR="007E506A" w:rsidRPr="002F17BD">
        <w:t xml:space="preserve"> </w:t>
      </w:r>
      <w:r w:rsidR="00A15A39" w:rsidRPr="002F17BD">
        <w:t>filing</w:t>
      </w:r>
      <w:r w:rsidR="00935E4A" w:rsidRPr="002F17BD">
        <w:t>s</w:t>
      </w:r>
      <w:r w:rsidR="00A15A39" w:rsidRPr="002F17BD">
        <w:t xml:space="preserve"> should be funded from the ITU's</w:t>
      </w:r>
      <w:r w:rsidR="00064A8D" w:rsidRPr="002F17BD">
        <w:t xml:space="preserve"> </w:t>
      </w:r>
      <w:r w:rsidR="002E76F8" w:rsidRPr="002F17BD">
        <w:t>regular budget</w:t>
      </w:r>
      <w:r w:rsidR="00064A8D" w:rsidRPr="002F17BD">
        <w:t>, consistent with Resolution 91’s principle of special consideration for developing countries.</w:t>
      </w:r>
    </w:p>
    <w:p w14:paraId="25102AA8" w14:textId="77777777" w:rsidR="00C34202" w:rsidRDefault="00C34202" w:rsidP="00C34202">
      <w:pPr>
        <w:spacing w:before="0"/>
        <w:contextualSpacing/>
      </w:pPr>
    </w:p>
    <w:p w14:paraId="3FA25355" w14:textId="1D07532E" w:rsidR="00C34202" w:rsidRPr="00C34202" w:rsidRDefault="00C34202" w:rsidP="00C34202">
      <w:pPr>
        <w:spacing w:before="0"/>
        <w:contextualSpacing/>
        <w:rPr>
          <w:b/>
          <w:bCs/>
        </w:rPr>
      </w:pPr>
      <w:r w:rsidRPr="00C34202">
        <w:rPr>
          <w:b/>
          <w:bCs/>
        </w:rPr>
        <w:t>3</w:t>
      </w:r>
      <w:r w:rsidRPr="00C34202">
        <w:rPr>
          <w:b/>
          <w:bCs/>
        </w:rPr>
        <w:tab/>
        <w:t>Cost components to be recovered</w:t>
      </w:r>
    </w:p>
    <w:p w14:paraId="7742B679" w14:textId="77777777" w:rsidR="00C34202" w:rsidRPr="002F17BD" w:rsidRDefault="00C34202" w:rsidP="00C34202">
      <w:pPr>
        <w:spacing w:before="0"/>
        <w:contextualSpacing/>
      </w:pPr>
    </w:p>
    <w:p w14:paraId="3A1F0EC0" w14:textId="30AA6D82" w:rsidR="00C34202" w:rsidRDefault="00334EAB" w:rsidP="2A454DAA">
      <w:pPr>
        <w:tabs>
          <w:tab w:val="clear" w:pos="567"/>
          <w:tab w:val="left" w:pos="720"/>
        </w:tabs>
        <w:spacing w:before="0"/>
        <w:contextualSpacing/>
      </w:pPr>
      <w:r>
        <w:t xml:space="preserve">The United States generally </w:t>
      </w:r>
      <w:r w:rsidR="52232A7B">
        <w:t>accepts</w:t>
      </w:r>
      <w:r>
        <w:t xml:space="preserve"> the overall descriptions of </w:t>
      </w:r>
      <w:r w:rsidR="00C11BD8">
        <w:t xml:space="preserve">Direct and Capital costs discussed in </w:t>
      </w:r>
      <w:r w:rsidR="00C34202" w:rsidRPr="2A454DAA">
        <w:rPr>
          <w:lang w:val="en-US"/>
        </w:rPr>
        <w:t xml:space="preserve">Document </w:t>
      </w:r>
      <w:hyperlink r:id="rId23">
        <w:r w:rsidR="00C34202" w:rsidRPr="2A454DAA">
          <w:rPr>
            <w:rStyle w:val="Hyperlink"/>
            <w:lang w:val="en-US"/>
          </w:rPr>
          <w:t>CWGFHR22/2</w:t>
        </w:r>
      </w:hyperlink>
      <w:r w:rsidR="00C11BD8">
        <w:t xml:space="preserve">, </w:t>
      </w:r>
      <w:r w:rsidR="00C11BD8" w:rsidRPr="2A454DAA">
        <w:rPr>
          <w:rFonts w:cstheme="minorBidi"/>
        </w:rPr>
        <w:t>§</w:t>
      </w:r>
      <w:r w:rsidR="00C11BD8">
        <w:t>4.3</w:t>
      </w:r>
      <w:r w:rsidR="007B025E">
        <w:t xml:space="preserve">. </w:t>
      </w:r>
      <w:r>
        <w:t xml:space="preserve">However, with respect to the specific items </w:t>
      </w:r>
      <w:proofErr w:type="gramStart"/>
      <w:r>
        <w:t>of:</w:t>
      </w:r>
      <w:proofErr w:type="gramEnd"/>
      <w:r>
        <w:t xml:space="preserve"> 1) software or equipment used exclusively for SNF, 2) investment in specialized systems or facilities, and 3) major ICT upgrades, the United States seeks clarification of how these costs will be distributed</w:t>
      </w:r>
      <w:r w:rsidR="007B025E">
        <w:t xml:space="preserve">. </w:t>
      </w:r>
      <w:r>
        <w:t xml:space="preserve">The United States believes it is most appropriate to </w:t>
      </w:r>
      <w:r w:rsidR="007B025E">
        <w:t xml:space="preserve">prorate these costs across the expected user base (filings) over the item's projected lifetime (e.g., the software, specialized system, or </w:t>
      </w:r>
      <w:r>
        <w:t>ICT configuration</w:t>
      </w:r>
      <w:r w:rsidR="007B025E">
        <w:t xml:space="preserve">). </w:t>
      </w:r>
      <w:r w:rsidR="00F630DA">
        <w:t xml:space="preserve">Additionally, the United States seeks clarification on how travel and fieldwork </w:t>
      </w:r>
      <w:r w:rsidR="00E138CC">
        <w:t>ar</w:t>
      </w:r>
      <w:r w:rsidR="00B66FA7">
        <w:t>e</w:t>
      </w:r>
      <w:r w:rsidR="00E138CC">
        <w:t xml:space="preserve"> </w:t>
      </w:r>
      <w:r w:rsidR="00F630DA">
        <w:t xml:space="preserve">applicable as a direct cost to SNF. </w:t>
      </w:r>
    </w:p>
    <w:p w14:paraId="24AEC068" w14:textId="77777777" w:rsidR="00C34202" w:rsidRDefault="00C34202" w:rsidP="00C34202">
      <w:pPr>
        <w:tabs>
          <w:tab w:val="clear" w:pos="567"/>
          <w:tab w:val="left" w:pos="720"/>
        </w:tabs>
        <w:spacing w:before="0"/>
        <w:contextualSpacing/>
      </w:pPr>
    </w:p>
    <w:p w14:paraId="61E24546" w14:textId="71C70085" w:rsidR="0023645D" w:rsidRPr="00C34202" w:rsidRDefault="007B7B2E" w:rsidP="2A454DAA">
      <w:pPr>
        <w:tabs>
          <w:tab w:val="clear" w:pos="567"/>
          <w:tab w:val="left" w:pos="720"/>
        </w:tabs>
        <w:spacing w:before="0"/>
        <w:contextualSpacing/>
      </w:pPr>
      <w:r w:rsidRPr="2A454DAA">
        <w:rPr>
          <w:rStyle w:val="normaltextrun"/>
          <w:rFonts w:cs="Calibri"/>
        </w:rPr>
        <w:t xml:space="preserve">During Council 2025, the discussion on SNF indirect costs centred around creating a transparent process for determining indirect cost recovery. It was generally recognized that some costs beyond direct costs could be recovered through SNF fees. </w:t>
      </w:r>
      <w:r w:rsidR="009014DD" w:rsidRPr="2A454DAA">
        <w:rPr>
          <w:rFonts w:cstheme="minorBidi"/>
          <w:lang w:val="en-US"/>
        </w:rPr>
        <w:t xml:space="preserve">While </w:t>
      </w:r>
      <w:r w:rsidR="00B23253" w:rsidRPr="2A454DAA">
        <w:rPr>
          <w:rFonts w:cstheme="minorBidi"/>
          <w:lang w:val="en-US"/>
        </w:rPr>
        <w:t>activities</w:t>
      </w:r>
      <w:r w:rsidR="00EA6361" w:rsidRPr="2A454DAA">
        <w:rPr>
          <w:rFonts w:cstheme="minorBidi"/>
          <w:lang w:val="en-US"/>
        </w:rPr>
        <w:t xml:space="preserve"> </w:t>
      </w:r>
      <w:r w:rsidR="00B23253" w:rsidRPr="2A454DAA">
        <w:rPr>
          <w:rFonts w:cstheme="minorBidi"/>
          <w:lang w:val="en-US"/>
        </w:rPr>
        <w:t>s</w:t>
      </w:r>
      <w:r w:rsidR="007B025E" w:rsidRPr="2A454DAA">
        <w:rPr>
          <w:rFonts w:cstheme="minorBidi"/>
          <w:lang w:val="en-US"/>
        </w:rPr>
        <w:t xml:space="preserve">uch as BR system upgrades, shared ITU infrastructure, or broader ITU activities — </w:t>
      </w:r>
      <w:r w:rsidR="009014DD" w:rsidRPr="2A454DAA">
        <w:rPr>
          <w:rFonts w:cstheme="minorBidi"/>
          <w:lang w:val="en-US"/>
        </w:rPr>
        <w:t xml:space="preserve">are </w:t>
      </w:r>
      <w:r w:rsidR="007B025E" w:rsidRPr="2A454DAA">
        <w:rPr>
          <w:rFonts w:cstheme="minorBidi"/>
          <w:lang w:val="en-US"/>
        </w:rPr>
        <w:t>funded through contributory units and the regular ITU budget</w:t>
      </w:r>
      <w:r w:rsidR="009014DD" w:rsidRPr="2A454DAA">
        <w:rPr>
          <w:rFonts w:cstheme="minorBidi"/>
          <w:lang w:val="en-US"/>
        </w:rPr>
        <w:t xml:space="preserve">, </w:t>
      </w:r>
      <w:r w:rsidR="009014DD" w:rsidRPr="2A454DAA">
        <w:rPr>
          <w:rFonts w:cstheme="minorBidi"/>
        </w:rPr>
        <w:t xml:space="preserve">some of </w:t>
      </w:r>
      <w:r w:rsidR="00B23253" w:rsidRPr="2A454DAA">
        <w:rPr>
          <w:rFonts w:cstheme="minorBidi"/>
        </w:rPr>
        <w:t>these activities</w:t>
      </w:r>
      <w:r w:rsidR="009014DD" w:rsidRPr="2A454DAA">
        <w:rPr>
          <w:rFonts w:cstheme="minorBidi"/>
        </w:rPr>
        <w:t xml:space="preserve"> could be partially attributable to SNF in </w:t>
      </w:r>
      <w:r w:rsidR="00B23253" w:rsidRPr="2A454DAA">
        <w:rPr>
          <w:rFonts w:cstheme="minorBidi"/>
        </w:rPr>
        <w:t xml:space="preserve">an </w:t>
      </w:r>
      <w:r w:rsidR="009014DD" w:rsidRPr="2A454DAA">
        <w:rPr>
          <w:rFonts w:cstheme="minorBidi"/>
        </w:rPr>
        <w:t xml:space="preserve">appropriate </w:t>
      </w:r>
      <w:r w:rsidR="000D250F" w:rsidRPr="2A454DAA">
        <w:rPr>
          <w:rFonts w:cstheme="minorBidi"/>
        </w:rPr>
        <w:t>way but</w:t>
      </w:r>
      <w:r w:rsidR="009014DD" w:rsidRPr="2A454DAA">
        <w:rPr>
          <w:rFonts w:cstheme="minorBidi"/>
        </w:rPr>
        <w:t xml:space="preserve"> also may be difficult to </w:t>
      </w:r>
      <w:r w:rsidR="00B23253" w:rsidRPr="2A454DAA">
        <w:rPr>
          <w:rFonts w:cstheme="minorBidi"/>
        </w:rPr>
        <w:t xml:space="preserve">accurately </w:t>
      </w:r>
      <w:r w:rsidR="009014DD" w:rsidRPr="2A454DAA">
        <w:rPr>
          <w:rFonts w:cstheme="minorBidi"/>
        </w:rPr>
        <w:t xml:space="preserve">quantify. </w:t>
      </w:r>
      <w:r w:rsidR="009C3334" w:rsidRPr="2A454DAA">
        <w:rPr>
          <w:rStyle w:val="eop"/>
          <w:rFonts w:cs="Calibri"/>
          <w:color w:val="000000" w:themeColor="text1"/>
        </w:rPr>
        <w:t xml:space="preserve">To that end, it is important to also understand how the ITU assesses indirect cost recovery for other goods and services provided by ITU, taking account of Resolution 91. We further recognize that ITU indicated that ongoing financial and organizational reforms would support increased efficiencies and cost reductions related to provision of satellite cost recovery services. </w:t>
      </w:r>
      <w:r w:rsidR="007B025E" w:rsidRPr="2A454DAA">
        <w:rPr>
          <w:rFonts w:cstheme="minorBidi"/>
          <w:lang w:val="en-US"/>
        </w:rPr>
        <w:t>The United States looks forward to reviewing and discussing the Secretariat’s proposal for indirect</w:t>
      </w:r>
      <w:r w:rsidR="007B025E" w:rsidRPr="2A454DAA">
        <w:rPr>
          <w:rFonts w:ascii="Cambria Math" w:hAnsi="Cambria Math" w:cs="Cambria Math"/>
          <w:lang w:val="en-US"/>
        </w:rPr>
        <w:t>‑</w:t>
      </w:r>
      <w:r w:rsidR="007B025E" w:rsidRPr="2A454DAA">
        <w:rPr>
          <w:rFonts w:cstheme="minorBidi"/>
          <w:lang w:val="en-US"/>
        </w:rPr>
        <w:t>cost implementation at Council 2026, with particular attention to transparency in allocation and consistency with treaty</w:t>
      </w:r>
      <w:r w:rsidR="007B025E" w:rsidRPr="2A454DAA">
        <w:rPr>
          <w:rFonts w:ascii="Cambria Math" w:hAnsi="Cambria Math" w:cs="Cambria Math"/>
          <w:lang w:val="en-US"/>
        </w:rPr>
        <w:t>‑</w:t>
      </w:r>
      <w:r w:rsidR="007B025E" w:rsidRPr="2A454DAA">
        <w:rPr>
          <w:rFonts w:cstheme="minorBidi"/>
          <w:lang w:val="en-US"/>
        </w:rPr>
        <w:t>mandated obligations.</w:t>
      </w:r>
    </w:p>
    <w:p w14:paraId="39AC0931" w14:textId="77777777" w:rsidR="00C34202" w:rsidRDefault="00C34202" w:rsidP="00C34202">
      <w:pPr>
        <w:spacing w:before="0"/>
        <w:contextualSpacing/>
        <w:rPr>
          <w:lang w:val="en-US"/>
        </w:rPr>
      </w:pPr>
    </w:p>
    <w:p w14:paraId="6484ACD1" w14:textId="5F18135F" w:rsidR="001D5C82" w:rsidRPr="002F17BD" w:rsidRDefault="001D5C82" w:rsidP="00C34202">
      <w:pPr>
        <w:spacing w:before="0"/>
        <w:contextualSpacing/>
        <w:rPr>
          <w:lang w:val="en-US"/>
        </w:rPr>
      </w:pPr>
      <w:r w:rsidRPr="002F17BD">
        <w:rPr>
          <w:lang w:val="en-US"/>
        </w:rPr>
        <w:lastRenderedPageBreak/>
        <w:t>To support this discussion, the United States requests a more detailed breakdown of cost allocation, including:</w:t>
      </w:r>
    </w:p>
    <w:p w14:paraId="5CEC15FE" w14:textId="1DF3D6C4" w:rsidR="00C34202" w:rsidRDefault="001D5C82" w:rsidP="00C34202">
      <w:pPr>
        <w:pStyle w:val="ListParagraph"/>
        <w:numPr>
          <w:ilvl w:val="0"/>
          <w:numId w:val="3"/>
        </w:numPr>
        <w:tabs>
          <w:tab w:val="clear" w:pos="567"/>
          <w:tab w:val="left" w:pos="450"/>
        </w:tabs>
        <w:spacing w:before="0"/>
        <w:ind w:left="360"/>
        <w:rPr>
          <w:lang w:val="en-US"/>
        </w:rPr>
      </w:pPr>
      <w:r w:rsidRPr="00C34202">
        <w:rPr>
          <w:lang w:val="en-US"/>
        </w:rPr>
        <w:t xml:space="preserve">How the </w:t>
      </w:r>
      <w:r w:rsidR="00935E4A" w:rsidRPr="00C34202">
        <w:rPr>
          <w:lang w:val="en-US"/>
        </w:rPr>
        <w:t xml:space="preserve">ITU </w:t>
      </w:r>
      <w:r w:rsidR="00450749" w:rsidRPr="00C34202">
        <w:rPr>
          <w:lang w:val="en-US"/>
        </w:rPr>
        <w:t>will track proposed</w:t>
      </w:r>
      <w:r w:rsidRPr="00C34202">
        <w:rPr>
          <w:lang w:val="en-US"/>
        </w:rPr>
        <w:t xml:space="preserve"> indirect costs in </w:t>
      </w:r>
      <w:proofErr w:type="gramStart"/>
      <w:r w:rsidRPr="00C34202">
        <w:rPr>
          <w:lang w:val="en-US"/>
        </w:rPr>
        <w:t>practice</w:t>
      </w:r>
      <w:r w:rsidR="00C34202">
        <w:rPr>
          <w:lang w:val="en-US"/>
        </w:rPr>
        <w:t>;</w:t>
      </w:r>
      <w:proofErr w:type="gramEnd"/>
    </w:p>
    <w:p w14:paraId="05082E5A" w14:textId="6DDC9A3D" w:rsidR="00C34202" w:rsidRDefault="001D5C82" w:rsidP="00C34202">
      <w:pPr>
        <w:pStyle w:val="ListParagraph"/>
        <w:numPr>
          <w:ilvl w:val="0"/>
          <w:numId w:val="3"/>
        </w:numPr>
        <w:tabs>
          <w:tab w:val="clear" w:pos="567"/>
          <w:tab w:val="left" w:pos="450"/>
        </w:tabs>
        <w:spacing w:before="0"/>
        <w:ind w:left="360"/>
        <w:rPr>
          <w:lang w:val="en-US"/>
        </w:rPr>
      </w:pPr>
      <w:r w:rsidRPr="00C34202">
        <w:rPr>
          <w:lang w:val="en-US"/>
        </w:rPr>
        <w:t>Which indirect costs are legitimately attributable to satellite filings versus general overhead (e.g., HR, legal, floor space, shared IT systems</w:t>
      </w:r>
      <w:proofErr w:type="gramStart"/>
      <w:r w:rsidRPr="00C34202">
        <w:rPr>
          <w:lang w:val="en-US"/>
        </w:rPr>
        <w:t>)</w:t>
      </w:r>
      <w:r w:rsidR="00C34202">
        <w:rPr>
          <w:lang w:val="en-US"/>
        </w:rPr>
        <w:t>;</w:t>
      </w:r>
      <w:proofErr w:type="gramEnd"/>
    </w:p>
    <w:p w14:paraId="4FBEC178" w14:textId="4095C8D8" w:rsidR="00C34202" w:rsidRDefault="001D5C82" w:rsidP="00C34202">
      <w:pPr>
        <w:pStyle w:val="ListParagraph"/>
        <w:numPr>
          <w:ilvl w:val="0"/>
          <w:numId w:val="3"/>
        </w:numPr>
        <w:tabs>
          <w:tab w:val="clear" w:pos="567"/>
          <w:tab w:val="left" w:pos="450"/>
        </w:tabs>
        <w:spacing w:before="0"/>
        <w:ind w:left="360"/>
        <w:rPr>
          <w:lang w:val="en-US"/>
        </w:rPr>
      </w:pPr>
      <w:r w:rsidRPr="00C34202">
        <w:rPr>
          <w:lang w:val="en-US"/>
        </w:rPr>
        <w:t xml:space="preserve">Whether the cost of free filings is included in the total cost base used for fee </w:t>
      </w:r>
      <w:proofErr w:type="gramStart"/>
      <w:r w:rsidRPr="00C34202">
        <w:rPr>
          <w:lang w:val="en-US"/>
        </w:rPr>
        <w:t>calculations</w:t>
      </w:r>
      <w:r w:rsidR="00C34202">
        <w:rPr>
          <w:lang w:val="en-US"/>
        </w:rPr>
        <w:t>;</w:t>
      </w:r>
      <w:proofErr w:type="gramEnd"/>
    </w:p>
    <w:p w14:paraId="3C464DA8" w14:textId="1DD2D3BA" w:rsidR="00C34202" w:rsidRDefault="001D5C82" w:rsidP="00C34202">
      <w:pPr>
        <w:pStyle w:val="ListParagraph"/>
        <w:numPr>
          <w:ilvl w:val="0"/>
          <w:numId w:val="3"/>
        </w:numPr>
        <w:tabs>
          <w:tab w:val="clear" w:pos="567"/>
          <w:tab w:val="left" w:pos="450"/>
        </w:tabs>
        <w:spacing w:before="0"/>
        <w:ind w:left="360"/>
        <w:rPr>
          <w:lang w:val="en-US"/>
        </w:rPr>
      </w:pPr>
      <w:r w:rsidRPr="00C34202">
        <w:rPr>
          <w:lang w:val="en-US"/>
        </w:rPr>
        <w:t>How the Secretariat will avoid spreading all indirect costs only over fee</w:t>
      </w:r>
      <w:r w:rsidRPr="00C34202">
        <w:rPr>
          <w:rFonts w:ascii="Cambria Math" w:hAnsi="Cambria Math" w:cs="Cambria Math"/>
          <w:lang w:val="en-US"/>
        </w:rPr>
        <w:t>‑</w:t>
      </w:r>
      <w:r w:rsidRPr="00C34202">
        <w:rPr>
          <w:lang w:val="en-US"/>
        </w:rPr>
        <w:t>bearing activities (such as satellites and publications)</w:t>
      </w:r>
      <w:r w:rsidR="00C34202">
        <w:rPr>
          <w:lang w:val="en-US"/>
        </w:rPr>
        <w:t>; and</w:t>
      </w:r>
    </w:p>
    <w:p w14:paraId="544F14E1" w14:textId="2EDBAB45" w:rsidR="007B025E" w:rsidRPr="00C34202" w:rsidRDefault="001D5C82" w:rsidP="00C34202">
      <w:pPr>
        <w:pStyle w:val="ListParagraph"/>
        <w:numPr>
          <w:ilvl w:val="0"/>
          <w:numId w:val="3"/>
        </w:numPr>
        <w:tabs>
          <w:tab w:val="clear" w:pos="567"/>
          <w:tab w:val="left" w:pos="450"/>
        </w:tabs>
        <w:spacing w:before="0"/>
        <w:ind w:left="360"/>
        <w:rPr>
          <w:lang w:val="en-US"/>
        </w:rPr>
      </w:pPr>
      <w:r w:rsidRPr="00C34202">
        <w:rPr>
          <w:lang w:val="en-US"/>
        </w:rPr>
        <w:t>How transparency and clear boundaries will be ensured in the allocation of indirect costs.</w:t>
      </w:r>
    </w:p>
    <w:p w14:paraId="6F854543" w14:textId="77777777" w:rsidR="00C34202" w:rsidRDefault="00C34202" w:rsidP="00C34202">
      <w:pPr>
        <w:spacing w:before="0"/>
        <w:contextualSpacing/>
        <w:rPr>
          <w:lang w:val="en-US"/>
        </w:rPr>
      </w:pPr>
    </w:p>
    <w:p w14:paraId="4FDD8B0B" w14:textId="041273A3" w:rsidR="00B2282C" w:rsidRDefault="007C09DE" w:rsidP="35B57696">
      <w:pPr>
        <w:spacing w:before="0"/>
        <w:contextualSpacing/>
      </w:pPr>
      <w:r w:rsidRPr="35B57696">
        <w:t>The United States challenges the narrative that satellite cost recovery should operate as an entirely self</w:t>
      </w:r>
      <w:r w:rsidRPr="35B57696">
        <w:rPr>
          <w:rFonts w:ascii="Cambria Math" w:hAnsi="Cambria Math" w:cs="Cambria Math"/>
        </w:rPr>
        <w:t>‑</w:t>
      </w:r>
      <w:r w:rsidRPr="35B57696">
        <w:t>sustaining business line. Satellite filing is a treaty</w:t>
      </w:r>
      <w:r w:rsidRPr="35B57696">
        <w:rPr>
          <w:rFonts w:ascii="Cambria Math" w:hAnsi="Cambria Math" w:cs="Cambria Math"/>
        </w:rPr>
        <w:t>‑</w:t>
      </w:r>
      <w:r w:rsidRPr="35B57696">
        <w:t>mandated, non</w:t>
      </w:r>
      <w:r w:rsidRPr="35B57696">
        <w:rPr>
          <w:rFonts w:ascii="Cambria Math" w:hAnsi="Cambria Math" w:cs="Cambria Math"/>
        </w:rPr>
        <w:t>‑</w:t>
      </w:r>
      <w:r w:rsidRPr="35B57696">
        <w:t>discretionary service that forms part of the core purpose of the Union. Resolution</w:t>
      </w:r>
      <w:r w:rsidRPr="35B57696">
        <w:rPr>
          <w:rFonts w:ascii="Calibri" w:hAnsi="Calibri" w:cs="Calibri"/>
        </w:rPr>
        <w:t> </w:t>
      </w:r>
      <w:r w:rsidRPr="35B57696">
        <w:t>91 recognized that special consideration should be given to developing countries and did not originally envision full cost recovery or a self</w:t>
      </w:r>
      <w:r w:rsidRPr="35B57696">
        <w:rPr>
          <w:rFonts w:ascii="Cambria Math" w:hAnsi="Cambria Math" w:cs="Cambria Math"/>
        </w:rPr>
        <w:t>‑</w:t>
      </w:r>
      <w:r w:rsidRPr="35B57696">
        <w:t xml:space="preserve">sustaining model. If such an interpretation is now intended, it should be made explicit and debated by the Council. The United States reemphasizes that Member State contributions (contributory units) </w:t>
      </w:r>
      <w:r w:rsidR="0A3203AF" w:rsidRPr="35B57696">
        <w:t xml:space="preserve">should </w:t>
      </w:r>
      <w:r w:rsidRPr="35B57696">
        <w:t>continue to cover at least some of these costs, rather than shifting the entire burden onto fee</w:t>
      </w:r>
      <w:r w:rsidRPr="35B57696">
        <w:rPr>
          <w:rFonts w:ascii="Cambria Math" w:hAnsi="Cambria Math" w:cs="Cambria Math"/>
        </w:rPr>
        <w:t>‑</w:t>
      </w:r>
      <w:r w:rsidRPr="35B57696">
        <w:t>bearing filings.</w:t>
      </w:r>
    </w:p>
    <w:p w14:paraId="2908CFD0" w14:textId="77777777" w:rsidR="00C34202" w:rsidRDefault="00C34202" w:rsidP="00C34202">
      <w:pPr>
        <w:spacing w:before="0"/>
        <w:contextualSpacing/>
        <w:rPr>
          <w:lang w:val="en-US"/>
        </w:rPr>
      </w:pPr>
    </w:p>
    <w:p w14:paraId="76E8B1A4" w14:textId="2910878F" w:rsidR="00C34202" w:rsidRPr="00C34202" w:rsidRDefault="00C34202" w:rsidP="00C34202">
      <w:pPr>
        <w:spacing w:before="0"/>
        <w:contextualSpacing/>
        <w:rPr>
          <w:b/>
          <w:bCs/>
          <w:lang w:val="en-US"/>
        </w:rPr>
      </w:pPr>
      <w:r w:rsidRPr="00C34202">
        <w:rPr>
          <w:b/>
          <w:bCs/>
          <w:lang w:val="en-US"/>
        </w:rPr>
        <w:t>4</w:t>
      </w:r>
      <w:r w:rsidRPr="00C34202">
        <w:rPr>
          <w:b/>
          <w:bCs/>
          <w:lang w:val="en-US"/>
        </w:rPr>
        <w:tab/>
        <w:t>Efficiency and incentives</w:t>
      </w:r>
    </w:p>
    <w:p w14:paraId="23331B22" w14:textId="77777777" w:rsidR="00C34202" w:rsidRDefault="00C34202" w:rsidP="00C34202">
      <w:pPr>
        <w:spacing w:before="0"/>
        <w:contextualSpacing/>
      </w:pPr>
    </w:p>
    <w:p w14:paraId="2D3FA23E" w14:textId="52EADD0D" w:rsidR="00807AF6" w:rsidRDefault="00807AF6" w:rsidP="00C34202">
      <w:pPr>
        <w:spacing w:before="0"/>
        <w:contextualSpacing/>
      </w:pPr>
      <w:r w:rsidRPr="002F17BD">
        <w:t>The United States notes that the Secretariat has itself acknowledged the potential for efficiency gains in satellite network filing processes, including through better software, modernized systems, and streamlined procedures.</w:t>
      </w:r>
      <w:r w:rsidR="00614050" w:rsidRPr="002F17BD">
        <w:t xml:space="preserve"> </w:t>
      </w:r>
      <w:r w:rsidRPr="002F17BD">
        <w:t>The United States requests clarification on how these efficiency gains will be</w:t>
      </w:r>
      <w:r w:rsidR="005818EC" w:rsidRPr="002F17BD">
        <w:t xml:space="preserve"> quantified and measured and</w:t>
      </w:r>
      <w:r w:rsidRPr="002F17BD">
        <w:t xml:space="preserve"> realized in practice, and how Members will be informed of progress.</w:t>
      </w:r>
      <w:r w:rsidR="005818EC" w:rsidRPr="002F17BD">
        <w:t xml:space="preserve"> Indicators toward an efficiency gain goal should also be measurable.</w:t>
      </w:r>
    </w:p>
    <w:p w14:paraId="446047CB" w14:textId="77777777" w:rsidR="00C34202" w:rsidRPr="002F17BD" w:rsidRDefault="00C34202" w:rsidP="00C34202">
      <w:pPr>
        <w:spacing w:before="0"/>
        <w:contextualSpacing/>
      </w:pPr>
    </w:p>
    <w:p w14:paraId="7D3FE735" w14:textId="172F1557" w:rsidR="00807AF6" w:rsidRDefault="00807AF6" w:rsidP="00C34202">
      <w:pPr>
        <w:spacing w:before="0"/>
        <w:contextualSpacing/>
      </w:pPr>
      <w:r w:rsidRPr="002F17BD">
        <w:t>The United States further emphasizes that efficiency gains should translate into lower costs and fees for Members, not simply additional revenue for the Union.</w:t>
      </w:r>
      <w:r w:rsidR="00614050" w:rsidRPr="002F17BD">
        <w:t xml:space="preserve"> </w:t>
      </w:r>
      <w:r w:rsidRPr="002F17BD">
        <w:t>We therefore ask whether mechanisms or triggers can be established so that, as efficiencies are achieved, the cost base used for fee calculations is reduced accordingly.</w:t>
      </w:r>
    </w:p>
    <w:p w14:paraId="51FA6DBB" w14:textId="77777777" w:rsidR="00C34202" w:rsidRPr="002F17BD" w:rsidRDefault="00C34202" w:rsidP="00C34202">
      <w:pPr>
        <w:spacing w:before="0"/>
        <w:contextualSpacing/>
      </w:pPr>
    </w:p>
    <w:p w14:paraId="22E44D01" w14:textId="04526760" w:rsidR="00C34202" w:rsidRDefault="00807AF6" w:rsidP="2A454DAA">
      <w:pPr>
        <w:spacing w:before="0"/>
        <w:contextualSpacing/>
      </w:pPr>
      <w:r>
        <w:t xml:space="preserve">Finally, the United States encourages </w:t>
      </w:r>
      <w:r w:rsidR="008067F2">
        <w:t>the use of this exercise</w:t>
      </w:r>
      <w:r>
        <w:t xml:space="preserve"> to support broader results</w:t>
      </w:r>
      <w:r w:rsidRPr="2A454DAA">
        <w:rPr>
          <w:rFonts w:ascii="Cambria Math" w:hAnsi="Cambria Math" w:cs="Cambria Math"/>
        </w:rPr>
        <w:t>‑</w:t>
      </w:r>
      <w:r>
        <w:t>based management and prioritization across ITU activities, not only in satellites.</w:t>
      </w:r>
      <w:r w:rsidR="008067F2">
        <w:t xml:space="preserve"> </w:t>
      </w:r>
      <w:r>
        <w:t>Efficiency and accountability should be embedded across the Union</w:t>
      </w:r>
      <w:r w:rsidRPr="2A454DAA">
        <w:rPr>
          <w:rFonts w:ascii="Calibri" w:hAnsi="Calibri" w:cs="Calibri"/>
        </w:rPr>
        <w:t>’</w:t>
      </w:r>
      <w:r>
        <w:t>s operations, consistent with the principle that cost recovery is not budget recovery.</w:t>
      </w:r>
    </w:p>
    <w:p w14:paraId="41D418EF" w14:textId="77777777" w:rsidR="00C34202" w:rsidRDefault="00C34202" w:rsidP="00C34202">
      <w:pPr>
        <w:spacing w:before="0"/>
        <w:contextualSpacing/>
      </w:pPr>
    </w:p>
    <w:p w14:paraId="206950BF" w14:textId="7DDA4FC3" w:rsidR="00C34202" w:rsidRPr="00C34202" w:rsidRDefault="00C34202" w:rsidP="00C34202">
      <w:pPr>
        <w:spacing w:before="0"/>
        <w:contextualSpacing/>
        <w:rPr>
          <w:b/>
          <w:bCs/>
        </w:rPr>
      </w:pPr>
      <w:r w:rsidRPr="00C34202">
        <w:rPr>
          <w:b/>
          <w:bCs/>
        </w:rPr>
        <w:t>5</w:t>
      </w:r>
      <w:r w:rsidRPr="00C34202">
        <w:rPr>
          <w:b/>
          <w:bCs/>
        </w:rPr>
        <w:tab/>
        <w:t>History shows the need for periodic review and evaluation</w:t>
      </w:r>
    </w:p>
    <w:p w14:paraId="37C8C2B2" w14:textId="77777777" w:rsidR="00C34202" w:rsidRDefault="00C34202" w:rsidP="00C34202">
      <w:pPr>
        <w:spacing w:before="0"/>
        <w:contextualSpacing/>
        <w:rPr>
          <w:rFonts w:ascii="Calibri" w:hAnsi="Calibri"/>
          <w:b/>
          <w:sz w:val="28"/>
        </w:rPr>
      </w:pPr>
    </w:p>
    <w:p w14:paraId="5FFD7E22" w14:textId="0EBC36CF" w:rsidR="001C20F8" w:rsidRDefault="00565D8D" w:rsidP="402313B5">
      <w:pPr>
        <w:spacing w:before="0"/>
        <w:contextualSpacing/>
        <w:rPr>
          <w:lang w:val="en-US"/>
        </w:rPr>
      </w:pPr>
      <w:r w:rsidRPr="402313B5">
        <w:rPr>
          <w:lang w:val="en-US"/>
        </w:rPr>
        <w:t>History has shown that a CR methodology that is not periodically reviewed will eventually fail to well-match</w:t>
      </w:r>
      <w:r w:rsidR="00AF422B" w:rsidRPr="402313B5">
        <w:rPr>
          <w:lang w:val="en-US"/>
        </w:rPr>
        <w:t xml:space="preserve"> </w:t>
      </w:r>
      <w:r w:rsidRPr="402313B5">
        <w:rPr>
          <w:lang w:val="en-US"/>
        </w:rPr>
        <w:t>the trends in filings and the costs borne by the BR</w:t>
      </w:r>
      <w:r w:rsidR="006B0977" w:rsidRPr="402313B5">
        <w:rPr>
          <w:lang w:val="en-US"/>
        </w:rPr>
        <w:t xml:space="preserve">. </w:t>
      </w:r>
      <w:r w:rsidR="002B5695" w:rsidRPr="402313B5">
        <w:rPr>
          <w:lang w:val="en-US"/>
        </w:rPr>
        <w:t xml:space="preserve">As such, periodic review and evaluation </w:t>
      </w:r>
      <w:r w:rsidR="00215763" w:rsidRPr="402313B5">
        <w:rPr>
          <w:lang w:val="en-US"/>
        </w:rPr>
        <w:t xml:space="preserve">are </w:t>
      </w:r>
      <w:r w:rsidR="002B5695" w:rsidRPr="402313B5">
        <w:rPr>
          <w:lang w:val="en-US"/>
        </w:rPr>
        <w:t>necessary</w:t>
      </w:r>
      <w:r w:rsidR="006B0977" w:rsidRPr="402313B5">
        <w:rPr>
          <w:lang w:val="en-US"/>
        </w:rPr>
        <w:t xml:space="preserve">. </w:t>
      </w:r>
      <w:r w:rsidR="002B5695" w:rsidRPr="402313B5">
        <w:rPr>
          <w:lang w:val="en-US"/>
        </w:rPr>
        <w:t xml:space="preserve">The United States would appreciate </w:t>
      </w:r>
      <w:r w:rsidR="00215763" w:rsidRPr="402313B5">
        <w:rPr>
          <w:lang w:val="en-US"/>
        </w:rPr>
        <w:t>it if the ITU cost estimates indicate whether certain cost factors are expected to increase over</w:t>
      </w:r>
      <w:r w:rsidR="001C20F8" w:rsidRPr="402313B5">
        <w:rPr>
          <w:lang w:val="en-US"/>
        </w:rPr>
        <w:t xml:space="preserve"> time, for example, at the rate of inflation.</w:t>
      </w:r>
    </w:p>
    <w:p w14:paraId="511E6D66" w14:textId="77777777" w:rsidR="00C34202" w:rsidRPr="002F17BD" w:rsidRDefault="00C34202" w:rsidP="00C34202">
      <w:pPr>
        <w:spacing w:before="0"/>
        <w:contextualSpacing/>
        <w:rPr>
          <w:lang w:val="en-US"/>
        </w:rPr>
      </w:pPr>
    </w:p>
    <w:p w14:paraId="6A83BD19" w14:textId="4675E299" w:rsidR="001C20F8" w:rsidRPr="002F17BD" w:rsidRDefault="001C20F8" w:rsidP="00C34202">
      <w:pPr>
        <w:spacing w:before="0"/>
        <w:contextualSpacing/>
      </w:pPr>
      <w:r w:rsidRPr="002F17BD">
        <w:t>A basic tenet of the CR methodology has been that the costs are computed when the filing is submitted, and do not change</w:t>
      </w:r>
      <w:r w:rsidR="00B23253">
        <w:t>.</w:t>
      </w:r>
      <w:r w:rsidRPr="002F17BD">
        <w:t xml:space="preserve"> </w:t>
      </w:r>
      <w:r w:rsidR="3E6011BB" w:rsidRPr="002F17BD">
        <w:t>T</w:t>
      </w:r>
      <w:r w:rsidR="007A6124" w:rsidRPr="002F17BD">
        <w:t xml:space="preserve">he United States expresses concern </w:t>
      </w:r>
      <w:r w:rsidR="00B6691A" w:rsidRPr="002F17BD">
        <w:t>that</w:t>
      </w:r>
      <w:r w:rsidR="007A6124" w:rsidRPr="002F17BD">
        <w:t xml:space="preserve"> </w:t>
      </w:r>
      <w:r w:rsidR="00E27210" w:rsidRPr="002F17BD">
        <w:t>a “true up”</w:t>
      </w:r>
      <w:r w:rsidR="007A6124" w:rsidRPr="002F17BD">
        <w:t xml:space="preserve"> mechanisms could conflate </w:t>
      </w:r>
      <w:r w:rsidR="00716FA6" w:rsidRPr="002F17BD">
        <w:t>cost recovery with budget recovery. Shortfalls in budget</w:t>
      </w:r>
      <w:r w:rsidR="0027343C" w:rsidRPr="002F17BD">
        <w:t xml:space="preserve">ed </w:t>
      </w:r>
      <w:r w:rsidR="00F825D1" w:rsidRPr="002F17BD">
        <w:t>revenue</w:t>
      </w:r>
      <w:r w:rsidR="00341B1E" w:rsidRPr="002F17BD">
        <w:t xml:space="preserve"> should not allow ITU to retroactively </w:t>
      </w:r>
      <w:r w:rsidR="001635E5" w:rsidRPr="002F17BD">
        <w:t xml:space="preserve">increase fees when the actual level of </w:t>
      </w:r>
      <w:r w:rsidR="00C83AB3" w:rsidRPr="002F17BD">
        <w:t>fi</w:t>
      </w:r>
      <w:r w:rsidR="001635E5" w:rsidRPr="002F17BD">
        <w:t>lings is lower</w:t>
      </w:r>
      <w:r w:rsidR="00FC04E9" w:rsidRPr="002F17BD">
        <w:t>.</w:t>
      </w:r>
      <w:r w:rsidR="00C83AB3" w:rsidRPr="002F17BD">
        <w:t xml:space="preserve"> </w:t>
      </w:r>
      <w:r w:rsidR="00FC04E9" w:rsidRPr="002F17BD">
        <w:t xml:space="preserve">If work is not performed because the </w:t>
      </w:r>
      <w:r w:rsidR="001635E5" w:rsidRPr="002F17BD">
        <w:t>filing</w:t>
      </w:r>
      <w:r w:rsidR="002A11C3" w:rsidRPr="002F17BD">
        <w:t>s</w:t>
      </w:r>
      <w:r w:rsidR="001635E5" w:rsidRPr="002F17BD">
        <w:t xml:space="preserve"> </w:t>
      </w:r>
      <w:r w:rsidR="002A11C3" w:rsidRPr="002F17BD">
        <w:t>did</w:t>
      </w:r>
      <w:r w:rsidR="001635E5" w:rsidRPr="002F17BD">
        <w:t xml:space="preserve"> not arrive</w:t>
      </w:r>
      <w:r w:rsidR="001F12A0" w:rsidRPr="002F17BD">
        <w:t xml:space="preserve">, there is no cost to recover. </w:t>
      </w:r>
    </w:p>
    <w:p w14:paraId="1F4B29C6" w14:textId="77777777" w:rsidR="00C34202" w:rsidRDefault="00C34202" w:rsidP="00C34202">
      <w:pPr>
        <w:spacing w:before="0"/>
        <w:contextualSpacing/>
      </w:pPr>
    </w:p>
    <w:p w14:paraId="16B38706" w14:textId="3F455B73" w:rsidR="002A11C3" w:rsidRDefault="002B6189" w:rsidP="2A454DAA">
      <w:pPr>
        <w:spacing w:before="0"/>
        <w:contextualSpacing/>
      </w:pPr>
      <w:r>
        <w:t>The United States, therefore, reasserts the principle that this is cost recovery, not budget recovery. Any true</w:t>
      </w:r>
      <w:r w:rsidR="00095BCA">
        <w:t xml:space="preserve"> </w:t>
      </w:r>
      <w:r>
        <w:t>up/true</w:t>
      </w:r>
      <w:r w:rsidR="00095BCA">
        <w:t xml:space="preserve"> </w:t>
      </w:r>
      <w:r>
        <w:t xml:space="preserve">down mechanism </w:t>
      </w:r>
      <w:r w:rsidR="27D0FDE6">
        <w:t xml:space="preserve">needs to </w:t>
      </w:r>
      <w:r>
        <w:t xml:space="preserve">guard against retroactivity and be limited to transparent disclosure of surpluses or </w:t>
      </w:r>
      <w:proofErr w:type="gramStart"/>
      <w:r>
        <w:t>deficits,</w:t>
      </w:r>
      <w:proofErr w:type="gramEnd"/>
      <w:r>
        <w:t xml:space="preserve"> not retroactive fee increases.</w:t>
      </w:r>
      <w:r w:rsidR="003E2B49">
        <w:t xml:space="preserve"> </w:t>
      </w:r>
      <w:r>
        <w:t xml:space="preserve">The United States looks forward to further discussion of how adjustments can be implemented in a way that preserves predictability for Members while </w:t>
      </w:r>
      <w:r w:rsidR="15E6C182">
        <w:t xml:space="preserve">helping to </w:t>
      </w:r>
      <w:r>
        <w:t>ensur</w:t>
      </w:r>
      <w:r w:rsidR="7C5F3B7F">
        <w:t>e</w:t>
      </w:r>
      <w:r>
        <w:t xml:space="preserve"> transparency in ITU’s financial reporting</w:t>
      </w:r>
    </w:p>
    <w:p w14:paraId="71F8A806" w14:textId="77777777" w:rsidR="00C34202" w:rsidRDefault="00C34202" w:rsidP="00C34202">
      <w:pPr>
        <w:spacing w:before="0"/>
        <w:contextualSpacing/>
      </w:pPr>
    </w:p>
    <w:p w14:paraId="6DD6EDEE" w14:textId="18C335C1" w:rsidR="00C34202" w:rsidRPr="00C34202" w:rsidRDefault="00C34202" w:rsidP="00C34202">
      <w:pPr>
        <w:spacing w:before="0"/>
        <w:contextualSpacing/>
        <w:rPr>
          <w:b/>
          <w:bCs/>
        </w:rPr>
      </w:pPr>
      <w:r w:rsidRPr="00C34202">
        <w:rPr>
          <w:b/>
          <w:bCs/>
        </w:rPr>
        <w:t>6</w:t>
      </w:r>
      <w:r w:rsidRPr="00C34202">
        <w:rPr>
          <w:b/>
          <w:bCs/>
        </w:rPr>
        <w:tab/>
        <w:t>Stability, transparency, and guardrails</w:t>
      </w:r>
    </w:p>
    <w:p w14:paraId="662B55D4" w14:textId="58ABA976" w:rsidR="00030E45" w:rsidRPr="002F17BD" w:rsidRDefault="00030E45" w:rsidP="00C34202">
      <w:pPr>
        <w:pStyle w:val="Heading1"/>
        <w:spacing w:before="0"/>
        <w:contextualSpacing/>
        <w:rPr>
          <w:lang w:val="en-US"/>
        </w:rPr>
      </w:pPr>
    </w:p>
    <w:p w14:paraId="47096766" w14:textId="62D22297" w:rsidR="001E01FE" w:rsidRDefault="001E01FE" w:rsidP="00C34202">
      <w:pPr>
        <w:spacing w:before="0"/>
        <w:contextualSpacing/>
        <w:rPr>
          <w:lang w:val="en-US"/>
        </w:rPr>
      </w:pPr>
      <w:r w:rsidRPr="002F17BD">
        <w:rPr>
          <w:lang w:val="en-US"/>
        </w:rPr>
        <w:t>The United States emphasizes the importance of stability and transparency in the evolution of SNF cost recovery fees. Predictability is essential for operators’ budgeting</w:t>
      </w:r>
      <w:r w:rsidR="005818EC" w:rsidRPr="002F17BD">
        <w:rPr>
          <w:lang w:val="en-US"/>
        </w:rPr>
        <w:t>,</w:t>
      </w:r>
      <w:r w:rsidRPr="002F17BD">
        <w:rPr>
          <w:lang w:val="en-US"/>
        </w:rPr>
        <w:t xml:space="preserve"> planning,</w:t>
      </w:r>
      <w:r w:rsidR="005818EC" w:rsidRPr="002F17BD">
        <w:rPr>
          <w:lang w:val="en-US"/>
        </w:rPr>
        <w:t xml:space="preserve"> and year over year forecasting </w:t>
      </w:r>
      <w:proofErr w:type="gramStart"/>
      <w:r w:rsidR="005818EC" w:rsidRPr="002F17BD">
        <w:rPr>
          <w:lang w:val="en-US"/>
        </w:rPr>
        <w:t>in order to</w:t>
      </w:r>
      <w:proofErr w:type="gramEnd"/>
      <w:r w:rsidR="005818EC" w:rsidRPr="002F17BD">
        <w:rPr>
          <w:lang w:val="en-US"/>
        </w:rPr>
        <w:t xml:space="preserve"> allocate resources efficiently,</w:t>
      </w:r>
      <w:r w:rsidRPr="002F17BD">
        <w:rPr>
          <w:lang w:val="en-US"/>
        </w:rPr>
        <w:t xml:space="preserve"> and sudden or sharp increases undermine confidence in the system.</w:t>
      </w:r>
    </w:p>
    <w:p w14:paraId="64319E25" w14:textId="77777777" w:rsidR="00C34202" w:rsidRPr="002F17BD" w:rsidRDefault="00C34202" w:rsidP="00C34202">
      <w:pPr>
        <w:spacing w:before="0"/>
        <w:contextualSpacing/>
        <w:rPr>
          <w:lang w:val="en-US"/>
        </w:rPr>
      </w:pPr>
    </w:p>
    <w:p w14:paraId="4ED09D41" w14:textId="3285F690" w:rsidR="001E01FE" w:rsidRDefault="001E01FE" w:rsidP="00C34202">
      <w:pPr>
        <w:spacing w:before="0"/>
        <w:contextualSpacing/>
        <w:rPr>
          <w:lang w:val="en-US"/>
        </w:rPr>
      </w:pPr>
      <w:r w:rsidRPr="002F17BD">
        <w:rPr>
          <w:lang w:val="en-US"/>
        </w:rPr>
        <w:t>To safeguard against</w:t>
      </w:r>
      <w:r w:rsidR="00B23253">
        <w:rPr>
          <w:lang w:val="en-US"/>
        </w:rPr>
        <w:t xml:space="preserve"> future</w:t>
      </w:r>
      <w:r w:rsidRPr="002F17BD">
        <w:rPr>
          <w:lang w:val="en-US"/>
        </w:rPr>
        <w:t xml:space="preserve"> fee shocks, the United States proposes that </w:t>
      </w:r>
      <w:r w:rsidR="00F04E07" w:rsidRPr="002F17BD">
        <w:rPr>
          <w:lang w:val="en-US"/>
        </w:rPr>
        <w:t>Council consider establishing guardrails on annual fee adjustments, such as limits on the percentage increase that may</w:t>
      </w:r>
      <w:r w:rsidRPr="002F17BD">
        <w:rPr>
          <w:lang w:val="en-US"/>
        </w:rPr>
        <w:t xml:space="preserve"> be applied each year. This would prevent situations such as the recent example </w:t>
      </w:r>
      <w:r w:rsidR="00F04E07" w:rsidRPr="002F17BD">
        <w:rPr>
          <w:lang w:val="en-US"/>
        </w:rPr>
        <w:t xml:space="preserve">in which fees rose from CHF 30,000 to CHF </w:t>
      </w:r>
      <w:r w:rsidRPr="002F17BD">
        <w:rPr>
          <w:lang w:val="en-US"/>
        </w:rPr>
        <w:t>50,000 in a single adjustment cycle.</w:t>
      </w:r>
    </w:p>
    <w:p w14:paraId="5CA9C072" w14:textId="77777777" w:rsidR="00C34202" w:rsidRPr="002F17BD" w:rsidRDefault="00C34202" w:rsidP="00C34202">
      <w:pPr>
        <w:spacing w:before="0"/>
        <w:contextualSpacing/>
        <w:rPr>
          <w:lang w:val="en-US"/>
        </w:rPr>
      </w:pPr>
    </w:p>
    <w:p w14:paraId="616DD766" w14:textId="3A8D2BF4" w:rsidR="009955AD" w:rsidRDefault="001E01FE" w:rsidP="2A454DAA">
      <w:pPr>
        <w:spacing w:before="0"/>
        <w:contextualSpacing/>
        <w:rPr>
          <w:lang w:val="en-US"/>
        </w:rPr>
      </w:pPr>
      <w:r w:rsidRPr="2A454DAA">
        <w:rPr>
          <w:lang w:val="en-US"/>
        </w:rPr>
        <w:t xml:space="preserve">Such guardrails would </w:t>
      </w:r>
      <w:r w:rsidR="0BFA47B8" w:rsidRPr="2A454DAA">
        <w:rPr>
          <w:lang w:val="en-US"/>
        </w:rPr>
        <w:t xml:space="preserve">help </w:t>
      </w:r>
      <w:r w:rsidRPr="2A454DAA">
        <w:rPr>
          <w:lang w:val="en-US"/>
        </w:rPr>
        <w:t>ensure that cost recovery remains consistent with its purpose: recovering actual costs of processing filings, not generating unpredictable revenue swings.</w:t>
      </w:r>
      <w:r w:rsidR="00A84ED2" w:rsidRPr="2A454DAA">
        <w:rPr>
          <w:lang w:val="en-US"/>
        </w:rPr>
        <w:t xml:space="preserve"> </w:t>
      </w:r>
      <w:r w:rsidRPr="2A454DAA">
        <w:rPr>
          <w:lang w:val="en-US"/>
        </w:rPr>
        <w:t>They would also reinforce transparency, allowing Members and operators to anticipate changes and plan accordingly.</w:t>
      </w:r>
    </w:p>
    <w:p w14:paraId="76BB4546" w14:textId="77777777" w:rsidR="00C34202" w:rsidRDefault="00C34202" w:rsidP="00C34202">
      <w:pPr>
        <w:spacing w:before="0"/>
        <w:contextualSpacing/>
        <w:rPr>
          <w:lang w:val="en-US"/>
        </w:rPr>
      </w:pPr>
    </w:p>
    <w:p w14:paraId="3AE55D5F" w14:textId="2A9DF1D4" w:rsidR="00C34202" w:rsidRPr="00C34202" w:rsidRDefault="00C34202" w:rsidP="00C34202">
      <w:pPr>
        <w:spacing w:before="0"/>
        <w:contextualSpacing/>
        <w:rPr>
          <w:b/>
          <w:bCs/>
          <w:lang w:val="en-US"/>
        </w:rPr>
      </w:pPr>
      <w:r w:rsidRPr="00C34202">
        <w:rPr>
          <w:b/>
          <w:bCs/>
          <w:lang w:val="en-US"/>
        </w:rPr>
        <w:t>7</w:t>
      </w:r>
      <w:r w:rsidRPr="00C34202">
        <w:rPr>
          <w:b/>
          <w:bCs/>
          <w:lang w:val="en-US"/>
        </w:rPr>
        <w:tab/>
        <w:t>Implementation path and governance</w:t>
      </w:r>
    </w:p>
    <w:p w14:paraId="6531ED24" w14:textId="095D9275" w:rsidR="009C6BD1" w:rsidRPr="002F17BD" w:rsidRDefault="009C6BD1" w:rsidP="00C34202">
      <w:pPr>
        <w:pStyle w:val="Heading1"/>
        <w:spacing w:before="0"/>
        <w:contextualSpacing/>
        <w:rPr>
          <w:lang w:val="en-US"/>
        </w:rPr>
      </w:pPr>
    </w:p>
    <w:p w14:paraId="27635FA5" w14:textId="76C37D35" w:rsidR="009C6BD1" w:rsidRDefault="009C6BD1" w:rsidP="2A454DAA">
      <w:pPr>
        <w:spacing w:before="0"/>
        <w:contextualSpacing/>
        <w:rPr>
          <w:lang w:val="en-US"/>
        </w:rPr>
      </w:pPr>
      <w:r w:rsidRPr="2A454DAA">
        <w:rPr>
          <w:lang w:val="en-US"/>
        </w:rPr>
        <w:t xml:space="preserve">The United States </w:t>
      </w:r>
      <w:r w:rsidR="4E4EAE86" w:rsidRPr="2A454DAA">
        <w:rPr>
          <w:lang w:val="en-US"/>
        </w:rPr>
        <w:t>concurs</w:t>
      </w:r>
      <w:r w:rsidRPr="2A454DAA">
        <w:rPr>
          <w:lang w:val="en-US"/>
        </w:rPr>
        <w:t xml:space="preserve"> with the transition phase and full implementation timeline proposed in </w:t>
      </w:r>
      <w:r w:rsidR="00C34202" w:rsidRPr="2A454DAA">
        <w:rPr>
          <w:lang w:val="en-US"/>
        </w:rPr>
        <w:t xml:space="preserve">Document </w:t>
      </w:r>
      <w:hyperlink r:id="rId24">
        <w:r w:rsidR="00C34202" w:rsidRPr="2A454DAA">
          <w:rPr>
            <w:rStyle w:val="Hyperlink"/>
            <w:lang w:val="en-US"/>
          </w:rPr>
          <w:t>CWGFHR22/2</w:t>
        </w:r>
      </w:hyperlink>
      <w:r w:rsidR="00C34202" w:rsidRPr="2A454DAA">
        <w:rPr>
          <w:lang w:val="en-US"/>
        </w:rPr>
        <w:t xml:space="preserve"> </w:t>
      </w:r>
      <w:r w:rsidRPr="2A454DAA">
        <w:rPr>
          <w:rFonts w:cstheme="minorBidi"/>
          <w:lang w:val="en-US"/>
        </w:rPr>
        <w:t>§</w:t>
      </w:r>
      <w:r w:rsidRPr="2A454DAA">
        <w:rPr>
          <w:lang w:val="en-US"/>
        </w:rPr>
        <w:t>5.</w:t>
      </w:r>
    </w:p>
    <w:p w14:paraId="0BA3F2ED" w14:textId="3E7C0947" w:rsidR="00565D8D" w:rsidRPr="00783563" w:rsidRDefault="00E34E01" w:rsidP="00E34E01">
      <w:pPr>
        <w:spacing w:before="600"/>
        <w:jc w:val="center"/>
        <w:rPr>
          <w:lang w:val="en-US"/>
        </w:rPr>
      </w:pPr>
      <w:r>
        <w:rPr>
          <w:lang w:val="en-US"/>
        </w:rPr>
        <w:t>________________</w:t>
      </w:r>
    </w:p>
    <w:sectPr w:rsidR="00565D8D" w:rsidRPr="00783563" w:rsidSect="00AD3606">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BC2B" w14:textId="77777777" w:rsidR="002F65BB" w:rsidRDefault="002F65BB">
      <w:r>
        <w:separator/>
      </w:r>
    </w:p>
  </w:endnote>
  <w:endnote w:type="continuationSeparator" w:id="0">
    <w:p w14:paraId="3AC05758" w14:textId="77777777" w:rsidR="002F65BB" w:rsidRDefault="002F65BB">
      <w:r>
        <w:continuationSeparator/>
      </w:r>
    </w:p>
  </w:endnote>
  <w:endnote w:type="continuationNotice" w:id="1">
    <w:p w14:paraId="5BB2054F" w14:textId="77777777" w:rsidR="002F65BB" w:rsidRDefault="002F65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1AC95D73"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F359DF">
            <w:rPr>
              <w:bCs/>
            </w:rPr>
            <w:t>32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r w:rsidRPr="003E2EF3">
              <w:rPr>
                <w:rStyle w:val="Hyperlink"/>
              </w:rPr>
              <w:t>council.itu.int/working-groups</w:t>
            </w:r>
          </w:hyperlink>
        </w:p>
      </w:tc>
      <w:tc>
        <w:tcPr>
          <w:tcW w:w="6957" w:type="dxa"/>
        </w:tcPr>
        <w:p w14:paraId="3F62E0D8" w14:textId="7A0F3E81"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F359DF">
            <w:rPr>
              <w:bCs/>
            </w:rPr>
            <w:t>32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9961" w14:textId="77777777" w:rsidR="002F65BB" w:rsidRDefault="002F65BB">
      <w:r>
        <w:t>____________________</w:t>
      </w:r>
    </w:p>
  </w:footnote>
  <w:footnote w:type="continuationSeparator" w:id="0">
    <w:p w14:paraId="54C4BA36" w14:textId="77777777" w:rsidR="002F65BB" w:rsidRDefault="002F65BB">
      <w:r>
        <w:continuationSeparator/>
      </w:r>
    </w:p>
  </w:footnote>
  <w:footnote w:type="continuationNotice" w:id="1">
    <w:p w14:paraId="1ECC56BD" w14:textId="77777777" w:rsidR="002F65BB" w:rsidRDefault="002F65BB">
      <w:pPr>
        <w:spacing w:before="0"/>
      </w:pPr>
    </w:p>
  </w:footnote>
  <w:footnote w:id="2">
    <w:p w14:paraId="6E8FD861" w14:textId="6CC1A0C3" w:rsidR="004F568C" w:rsidRPr="004F568C" w:rsidRDefault="004F568C">
      <w:pPr>
        <w:pStyle w:val="FootnoteText"/>
        <w:rPr>
          <w:lang w:val="en-US"/>
        </w:rPr>
      </w:pPr>
      <w:r>
        <w:rPr>
          <w:rStyle w:val="FootnoteReference"/>
        </w:rPr>
        <w:footnoteRef/>
      </w:r>
      <w:r>
        <w:t xml:space="preserve"> </w:t>
      </w:r>
      <w:r w:rsidR="00E34E01">
        <w:tab/>
      </w:r>
      <w:hyperlink r:id="rId1" w:history="1">
        <w:r w:rsidRPr="00E34E01">
          <w:rPr>
            <w:rStyle w:val="Hyperlink"/>
            <w:sz w:val="22"/>
            <w:szCs w:val="22"/>
          </w:rPr>
          <w:t>EG-DEC482-2/3</w:t>
        </w:r>
      </w:hyperlink>
    </w:p>
  </w:footnote>
  <w:footnote w:id="3">
    <w:p w14:paraId="17E4BCF9" w14:textId="2155179C" w:rsidR="00452767" w:rsidRPr="00452767" w:rsidRDefault="00452767">
      <w:pPr>
        <w:pStyle w:val="FootnoteText"/>
        <w:rPr>
          <w:lang w:val="en-US"/>
        </w:rPr>
      </w:pPr>
      <w:r>
        <w:rPr>
          <w:rStyle w:val="FootnoteReference"/>
        </w:rPr>
        <w:footnoteRef/>
      </w:r>
      <w:r>
        <w:t xml:space="preserve"> </w:t>
      </w:r>
      <w:r w:rsidR="00F359DF">
        <w:tab/>
      </w:r>
      <w:r w:rsidRPr="00F359DF">
        <w:rPr>
          <w:sz w:val="22"/>
          <w:szCs w:val="22"/>
          <w:lang w:val="en-US"/>
        </w:rPr>
        <w:t>“</w:t>
      </w:r>
      <w:r w:rsidR="002E76F8" w:rsidRPr="00F359DF">
        <w:rPr>
          <w:sz w:val="22"/>
          <w:szCs w:val="22"/>
          <w:lang w:val="en-US"/>
        </w:rPr>
        <w:t>…</w:t>
      </w:r>
      <w:r w:rsidRPr="00F359DF">
        <w:rPr>
          <w:sz w:val="22"/>
          <w:szCs w:val="22"/>
        </w:rPr>
        <w:t>should be interpreted to mean that the costs incurred as a result of free entitlements should be covered using revenues from SNF cost recovery.</w:t>
      </w:r>
      <w:r w:rsidRPr="00F359DF">
        <w:rPr>
          <w:sz w:val="22"/>
          <w:szCs w:val="22"/>
          <w:lang w:val="en-US"/>
        </w:rPr>
        <w:t>”</w:t>
      </w:r>
    </w:p>
  </w:footnote>
  <w:footnote w:id="4">
    <w:p w14:paraId="09EF1E6E" w14:textId="58777810" w:rsidR="00452767" w:rsidRPr="00452767" w:rsidRDefault="00452767">
      <w:pPr>
        <w:pStyle w:val="FootnoteText"/>
        <w:rPr>
          <w:lang w:val="en-US"/>
        </w:rPr>
      </w:pPr>
      <w:r>
        <w:rPr>
          <w:rStyle w:val="FootnoteReference"/>
        </w:rPr>
        <w:footnoteRef/>
      </w:r>
      <w:r>
        <w:t xml:space="preserve"> </w:t>
      </w:r>
      <w:r w:rsidR="00F359DF">
        <w:tab/>
      </w:r>
      <w:r w:rsidRPr="00F359DF">
        <w:rPr>
          <w:sz w:val="22"/>
          <w:szCs w:val="22"/>
          <w:lang w:val="en-US"/>
        </w:rPr>
        <w:t>“The fee schedule will incorporate the cost of processing free entitlements</w:t>
      </w:r>
      <w:r w:rsidR="002E76F8" w:rsidRPr="00F359DF">
        <w:rPr>
          <w:sz w:val="22"/>
          <w:szCs w:val="22"/>
          <w:lang w:val="en-US"/>
        </w:rPr>
        <w:t>…</w:t>
      </w:r>
      <w:r w:rsidRPr="00F359DF">
        <w:rPr>
          <w:sz w:val="22"/>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CBA71A3">
                  <v:rect id="Rectangle 2"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25DCD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1834ABC">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6AE01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B84315"/>
    <w:multiLevelType w:val="hybridMultilevel"/>
    <w:tmpl w:val="76B6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9253C"/>
    <w:multiLevelType w:val="hybridMultilevel"/>
    <w:tmpl w:val="931E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250575992">
    <w:abstractNumId w:val="1"/>
  </w:num>
  <w:num w:numId="3" w16cid:durableId="174071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375"/>
    <w:rsid w:val="000210D4"/>
    <w:rsid w:val="00022A8E"/>
    <w:rsid w:val="00030283"/>
    <w:rsid w:val="00030E45"/>
    <w:rsid w:val="00031BB2"/>
    <w:rsid w:val="00037D53"/>
    <w:rsid w:val="000619E5"/>
    <w:rsid w:val="00063016"/>
    <w:rsid w:val="00063AAA"/>
    <w:rsid w:val="00064A8D"/>
    <w:rsid w:val="00066795"/>
    <w:rsid w:val="00076AF6"/>
    <w:rsid w:val="00085CF2"/>
    <w:rsid w:val="00092437"/>
    <w:rsid w:val="00095BCA"/>
    <w:rsid w:val="000A30EB"/>
    <w:rsid w:val="000A57A6"/>
    <w:rsid w:val="000B1705"/>
    <w:rsid w:val="000D250F"/>
    <w:rsid w:val="000D75B2"/>
    <w:rsid w:val="000F0AEA"/>
    <w:rsid w:val="00102020"/>
    <w:rsid w:val="0010292D"/>
    <w:rsid w:val="00102DAC"/>
    <w:rsid w:val="00107B18"/>
    <w:rsid w:val="001121F5"/>
    <w:rsid w:val="00130599"/>
    <w:rsid w:val="00135C79"/>
    <w:rsid w:val="001400DC"/>
    <w:rsid w:val="00140CE1"/>
    <w:rsid w:val="001635E5"/>
    <w:rsid w:val="001751FF"/>
    <w:rsid w:val="0017539C"/>
    <w:rsid w:val="00175AC2"/>
    <w:rsid w:val="0017609F"/>
    <w:rsid w:val="00182B24"/>
    <w:rsid w:val="0019628A"/>
    <w:rsid w:val="001A7817"/>
    <w:rsid w:val="001A7D1D"/>
    <w:rsid w:val="001B488C"/>
    <w:rsid w:val="001B51DD"/>
    <w:rsid w:val="001C20F8"/>
    <w:rsid w:val="001C2315"/>
    <w:rsid w:val="001C628E"/>
    <w:rsid w:val="001D5B74"/>
    <w:rsid w:val="001D5C82"/>
    <w:rsid w:val="001E01FE"/>
    <w:rsid w:val="001E0EDA"/>
    <w:rsid w:val="001E0F7B"/>
    <w:rsid w:val="001E0FBE"/>
    <w:rsid w:val="001E5E1F"/>
    <w:rsid w:val="001E6538"/>
    <w:rsid w:val="001F12A0"/>
    <w:rsid w:val="001F18BB"/>
    <w:rsid w:val="001F7725"/>
    <w:rsid w:val="002025C3"/>
    <w:rsid w:val="0020447B"/>
    <w:rsid w:val="002119FD"/>
    <w:rsid w:val="002130E0"/>
    <w:rsid w:val="00215763"/>
    <w:rsid w:val="00215A2C"/>
    <w:rsid w:val="0023645D"/>
    <w:rsid w:val="002404ED"/>
    <w:rsid w:val="0024262A"/>
    <w:rsid w:val="00244F7F"/>
    <w:rsid w:val="00245553"/>
    <w:rsid w:val="00251D83"/>
    <w:rsid w:val="00260ACE"/>
    <w:rsid w:val="00260BC4"/>
    <w:rsid w:val="00262F9E"/>
    <w:rsid w:val="00264425"/>
    <w:rsid w:val="00265875"/>
    <w:rsid w:val="0027303B"/>
    <w:rsid w:val="0027343C"/>
    <w:rsid w:val="0028109B"/>
    <w:rsid w:val="00286B89"/>
    <w:rsid w:val="0029606B"/>
    <w:rsid w:val="002A11C3"/>
    <w:rsid w:val="002A2188"/>
    <w:rsid w:val="002A591F"/>
    <w:rsid w:val="002A5E4F"/>
    <w:rsid w:val="002A6346"/>
    <w:rsid w:val="002B0841"/>
    <w:rsid w:val="002B1F58"/>
    <w:rsid w:val="002B5695"/>
    <w:rsid w:val="002B5BB6"/>
    <w:rsid w:val="002B6189"/>
    <w:rsid w:val="002B6F92"/>
    <w:rsid w:val="002C1C7A"/>
    <w:rsid w:val="002C2D0E"/>
    <w:rsid w:val="002C54E2"/>
    <w:rsid w:val="002D5DBD"/>
    <w:rsid w:val="002E1ECF"/>
    <w:rsid w:val="002E6419"/>
    <w:rsid w:val="002E67AC"/>
    <w:rsid w:val="002E76F8"/>
    <w:rsid w:val="002E7811"/>
    <w:rsid w:val="002F17BD"/>
    <w:rsid w:val="002F65BB"/>
    <w:rsid w:val="0030160F"/>
    <w:rsid w:val="0030172A"/>
    <w:rsid w:val="00303FDC"/>
    <w:rsid w:val="003058DA"/>
    <w:rsid w:val="0031467E"/>
    <w:rsid w:val="0031751D"/>
    <w:rsid w:val="00320223"/>
    <w:rsid w:val="0032241A"/>
    <w:rsid w:val="00322D0D"/>
    <w:rsid w:val="00325A82"/>
    <w:rsid w:val="00325BA4"/>
    <w:rsid w:val="00334EAB"/>
    <w:rsid w:val="00337F64"/>
    <w:rsid w:val="00341B1E"/>
    <w:rsid w:val="003450FD"/>
    <w:rsid w:val="003515F5"/>
    <w:rsid w:val="00361129"/>
    <w:rsid w:val="00361465"/>
    <w:rsid w:val="003877F5"/>
    <w:rsid w:val="003942D4"/>
    <w:rsid w:val="003958A8"/>
    <w:rsid w:val="003A1793"/>
    <w:rsid w:val="003B3DAC"/>
    <w:rsid w:val="003B4939"/>
    <w:rsid w:val="003B6D23"/>
    <w:rsid w:val="003C20F6"/>
    <w:rsid w:val="003C2533"/>
    <w:rsid w:val="003C551E"/>
    <w:rsid w:val="003D55B9"/>
    <w:rsid w:val="003D5A7F"/>
    <w:rsid w:val="003E2B49"/>
    <w:rsid w:val="003E2EF3"/>
    <w:rsid w:val="003F210D"/>
    <w:rsid w:val="0040142C"/>
    <w:rsid w:val="004016E2"/>
    <w:rsid w:val="0040435A"/>
    <w:rsid w:val="00415AF5"/>
    <w:rsid w:val="0041609E"/>
    <w:rsid w:val="0041675E"/>
    <w:rsid w:val="00416A24"/>
    <w:rsid w:val="004300BC"/>
    <w:rsid w:val="00431C28"/>
    <w:rsid w:val="00431D9E"/>
    <w:rsid w:val="00433CE8"/>
    <w:rsid w:val="00434A5C"/>
    <w:rsid w:val="00450749"/>
    <w:rsid w:val="00452767"/>
    <w:rsid w:val="004544D9"/>
    <w:rsid w:val="00456AF8"/>
    <w:rsid w:val="00461FE5"/>
    <w:rsid w:val="00466D28"/>
    <w:rsid w:val="00472BAD"/>
    <w:rsid w:val="00484009"/>
    <w:rsid w:val="00484AEE"/>
    <w:rsid w:val="00490E72"/>
    <w:rsid w:val="00491157"/>
    <w:rsid w:val="004921C8"/>
    <w:rsid w:val="00495B0B"/>
    <w:rsid w:val="00497638"/>
    <w:rsid w:val="004A0AE6"/>
    <w:rsid w:val="004A1B8B"/>
    <w:rsid w:val="004A1BAC"/>
    <w:rsid w:val="004A452B"/>
    <w:rsid w:val="004B2AC7"/>
    <w:rsid w:val="004B3AEA"/>
    <w:rsid w:val="004C4BFA"/>
    <w:rsid w:val="004D1851"/>
    <w:rsid w:val="004D599D"/>
    <w:rsid w:val="004E2037"/>
    <w:rsid w:val="004E2EA5"/>
    <w:rsid w:val="004E3751"/>
    <w:rsid w:val="004E3AEB"/>
    <w:rsid w:val="004E771C"/>
    <w:rsid w:val="004F2409"/>
    <w:rsid w:val="004F568C"/>
    <w:rsid w:val="004F5B73"/>
    <w:rsid w:val="004F5EC4"/>
    <w:rsid w:val="00501FCB"/>
    <w:rsid w:val="0050223C"/>
    <w:rsid w:val="005062CC"/>
    <w:rsid w:val="005170AA"/>
    <w:rsid w:val="005243FF"/>
    <w:rsid w:val="0052AA95"/>
    <w:rsid w:val="00544B36"/>
    <w:rsid w:val="0055382F"/>
    <w:rsid w:val="00564CD9"/>
    <w:rsid w:val="00564FBC"/>
    <w:rsid w:val="00565D8D"/>
    <w:rsid w:val="005762C9"/>
    <w:rsid w:val="005800BC"/>
    <w:rsid w:val="005818EC"/>
    <w:rsid w:val="00582442"/>
    <w:rsid w:val="00587462"/>
    <w:rsid w:val="00595EA6"/>
    <w:rsid w:val="005A2828"/>
    <w:rsid w:val="005A335D"/>
    <w:rsid w:val="005C3CDB"/>
    <w:rsid w:val="005E2BD5"/>
    <w:rsid w:val="005F3269"/>
    <w:rsid w:val="005F63FB"/>
    <w:rsid w:val="006044B9"/>
    <w:rsid w:val="0061127D"/>
    <w:rsid w:val="00614050"/>
    <w:rsid w:val="00621916"/>
    <w:rsid w:val="00623AE3"/>
    <w:rsid w:val="00632D22"/>
    <w:rsid w:val="00635B0E"/>
    <w:rsid w:val="00642568"/>
    <w:rsid w:val="00644A40"/>
    <w:rsid w:val="0064737F"/>
    <w:rsid w:val="006535F1"/>
    <w:rsid w:val="0065557D"/>
    <w:rsid w:val="00660D50"/>
    <w:rsid w:val="00662984"/>
    <w:rsid w:val="00664C4F"/>
    <w:rsid w:val="00667B61"/>
    <w:rsid w:val="006716BB"/>
    <w:rsid w:val="006735E5"/>
    <w:rsid w:val="0067616A"/>
    <w:rsid w:val="00676C7D"/>
    <w:rsid w:val="006805ED"/>
    <w:rsid w:val="006A5A3C"/>
    <w:rsid w:val="006B0977"/>
    <w:rsid w:val="006B1859"/>
    <w:rsid w:val="006B6680"/>
    <w:rsid w:val="006B6DCC"/>
    <w:rsid w:val="006C00EC"/>
    <w:rsid w:val="006C365A"/>
    <w:rsid w:val="006C4BB5"/>
    <w:rsid w:val="006D7728"/>
    <w:rsid w:val="00702DEF"/>
    <w:rsid w:val="00706861"/>
    <w:rsid w:val="00716FA6"/>
    <w:rsid w:val="007240E0"/>
    <w:rsid w:val="007275FB"/>
    <w:rsid w:val="00733F2C"/>
    <w:rsid w:val="00736B37"/>
    <w:rsid w:val="00736CDF"/>
    <w:rsid w:val="00736E9B"/>
    <w:rsid w:val="0073767A"/>
    <w:rsid w:val="00741307"/>
    <w:rsid w:val="0075051B"/>
    <w:rsid w:val="00763807"/>
    <w:rsid w:val="00775655"/>
    <w:rsid w:val="00780B66"/>
    <w:rsid w:val="00783563"/>
    <w:rsid w:val="00786C77"/>
    <w:rsid w:val="00793188"/>
    <w:rsid w:val="00794D34"/>
    <w:rsid w:val="00794E07"/>
    <w:rsid w:val="007A25EB"/>
    <w:rsid w:val="007A6124"/>
    <w:rsid w:val="007B025E"/>
    <w:rsid w:val="007B5CA6"/>
    <w:rsid w:val="007B638F"/>
    <w:rsid w:val="007B7B2E"/>
    <w:rsid w:val="007C09DE"/>
    <w:rsid w:val="007C393F"/>
    <w:rsid w:val="007D42ED"/>
    <w:rsid w:val="007D4620"/>
    <w:rsid w:val="007E506A"/>
    <w:rsid w:val="007F2648"/>
    <w:rsid w:val="00800996"/>
    <w:rsid w:val="00804EAC"/>
    <w:rsid w:val="008051C3"/>
    <w:rsid w:val="008067F2"/>
    <w:rsid w:val="00807AF6"/>
    <w:rsid w:val="00813E5E"/>
    <w:rsid w:val="00825E55"/>
    <w:rsid w:val="0083301D"/>
    <w:rsid w:val="008334F0"/>
    <w:rsid w:val="0083581B"/>
    <w:rsid w:val="0084008C"/>
    <w:rsid w:val="00841FBA"/>
    <w:rsid w:val="00863874"/>
    <w:rsid w:val="00864AFF"/>
    <w:rsid w:val="00865925"/>
    <w:rsid w:val="00865DB3"/>
    <w:rsid w:val="0086763B"/>
    <w:rsid w:val="0087086F"/>
    <w:rsid w:val="00891503"/>
    <w:rsid w:val="008964B4"/>
    <w:rsid w:val="008A33B6"/>
    <w:rsid w:val="008A40FB"/>
    <w:rsid w:val="008A4C6B"/>
    <w:rsid w:val="008B4A6A"/>
    <w:rsid w:val="008B5EAF"/>
    <w:rsid w:val="008B65A0"/>
    <w:rsid w:val="008B75BA"/>
    <w:rsid w:val="008B7FA9"/>
    <w:rsid w:val="008C1F1C"/>
    <w:rsid w:val="008C26FB"/>
    <w:rsid w:val="008C7E27"/>
    <w:rsid w:val="008D3BE8"/>
    <w:rsid w:val="008D625A"/>
    <w:rsid w:val="008E058E"/>
    <w:rsid w:val="008F7448"/>
    <w:rsid w:val="0090147A"/>
    <w:rsid w:val="009014DD"/>
    <w:rsid w:val="00902914"/>
    <w:rsid w:val="00914402"/>
    <w:rsid w:val="009173EF"/>
    <w:rsid w:val="00923F81"/>
    <w:rsid w:val="009246AF"/>
    <w:rsid w:val="00932906"/>
    <w:rsid w:val="00935E4A"/>
    <w:rsid w:val="00940A7E"/>
    <w:rsid w:val="00942E9F"/>
    <w:rsid w:val="009437DB"/>
    <w:rsid w:val="00946102"/>
    <w:rsid w:val="00950D3C"/>
    <w:rsid w:val="009544AB"/>
    <w:rsid w:val="0095701E"/>
    <w:rsid w:val="00961B0B"/>
    <w:rsid w:val="00962D33"/>
    <w:rsid w:val="00963ACC"/>
    <w:rsid w:val="00967403"/>
    <w:rsid w:val="00971C28"/>
    <w:rsid w:val="0097200A"/>
    <w:rsid w:val="00972A35"/>
    <w:rsid w:val="0097458C"/>
    <w:rsid w:val="009754C3"/>
    <w:rsid w:val="00977C84"/>
    <w:rsid w:val="00993E84"/>
    <w:rsid w:val="009955AD"/>
    <w:rsid w:val="009B2D4B"/>
    <w:rsid w:val="009B38C3"/>
    <w:rsid w:val="009B558B"/>
    <w:rsid w:val="009C253A"/>
    <w:rsid w:val="009C3334"/>
    <w:rsid w:val="009C6BD1"/>
    <w:rsid w:val="009D0928"/>
    <w:rsid w:val="009E17BD"/>
    <w:rsid w:val="009E485A"/>
    <w:rsid w:val="009F347C"/>
    <w:rsid w:val="009F4330"/>
    <w:rsid w:val="009F5CEA"/>
    <w:rsid w:val="00A028D9"/>
    <w:rsid w:val="00A04CEC"/>
    <w:rsid w:val="00A061AF"/>
    <w:rsid w:val="00A15254"/>
    <w:rsid w:val="00A15314"/>
    <w:rsid w:val="00A15A39"/>
    <w:rsid w:val="00A26B5D"/>
    <w:rsid w:val="00A26B8D"/>
    <w:rsid w:val="00A27F92"/>
    <w:rsid w:val="00A32257"/>
    <w:rsid w:val="00A32458"/>
    <w:rsid w:val="00A34664"/>
    <w:rsid w:val="00A36286"/>
    <w:rsid w:val="00A36D20"/>
    <w:rsid w:val="00A36F1D"/>
    <w:rsid w:val="00A419B9"/>
    <w:rsid w:val="00A44123"/>
    <w:rsid w:val="00A467DF"/>
    <w:rsid w:val="00A514A4"/>
    <w:rsid w:val="00A52C84"/>
    <w:rsid w:val="00A55622"/>
    <w:rsid w:val="00A6581E"/>
    <w:rsid w:val="00A83502"/>
    <w:rsid w:val="00A84075"/>
    <w:rsid w:val="00A84ED2"/>
    <w:rsid w:val="00A91380"/>
    <w:rsid w:val="00A94376"/>
    <w:rsid w:val="00A96664"/>
    <w:rsid w:val="00AA3470"/>
    <w:rsid w:val="00AB0EF1"/>
    <w:rsid w:val="00AB2FBC"/>
    <w:rsid w:val="00AC197B"/>
    <w:rsid w:val="00AD15B3"/>
    <w:rsid w:val="00AD3606"/>
    <w:rsid w:val="00AD4A3D"/>
    <w:rsid w:val="00AE090D"/>
    <w:rsid w:val="00AF422B"/>
    <w:rsid w:val="00AF6E49"/>
    <w:rsid w:val="00B01BD6"/>
    <w:rsid w:val="00B046FE"/>
    <w:rsid w:val="00B04A67"/>
    <w:rsid w:val="00B0583C"/>
    <w:rsid w:val="00B05B5C"/>
    <w:rsid w:val="00B1637B"/>
    <w:rsid w:val="00B2282C"/>
    <w:rsid w:val="00B23253"/>
    <w:rsid w:val="00B24F82"/>
    <w:rsid w:val="00B250D6"/>
    <w:rsid w:val="00B31E0F"/>
    <w:rsid w:val="00B34D11"/>
    <w:rsid w:val="00B358B2"/>
    <w:rsid w:val="00B40A81"/>
    <w:rsid w:val="00B44910"/>
    <w:rsid w:val="00B52C5A"/>
    <w:rsid w:val="00B64516"/>
    <w:rsid w:val="00B6691A"/>
    <w:rsid w:val="00B66FA7"/>
    <w:rsid w:val="00B71D4F"/>
    <w:rsid w:val="00B72267"/>
    <w:rsid w:val="00B76922"/>
    <w:rsid w:val="00B76EB6"/>
    <w:rsid w:val="00B7737B"/>
    <w:rsid w:val="00B824C8"/>
    <w:rsid w:val="00B829BA"/>
    <w:rsid w:val="00B84B9D"/>
    <w:rsid w:val="00B91D4A"/>
    <w:rsid w:val="00BA4690"/>
    <w:rsid w:val="00BA4794"/>
    <w:rsid w:val="00BA496C"/>
    <w:rsid w:val="00BA7E9E"/>
    <w:rsid w:val="00BC062D"/>
    <w:rsid w:val="00BC11AE"/>
    <w:rsid w:val="00BC251A"/>
    <w:rsid w:val="00BC3CA0"/>
    <w:rsid w:val="00BD032B"/>
    <w:rsid w:val="00BD1007"/>
    <w:rsid w:val="00BD1693"/>
    <w:rsid w:val="00BE2640"/>
    <w:rsid w:val="00BE7A69"/>
    <w:rsid w:val="00BF083A"/>
    <w:rsid w:val="00C00B98"/>
    <w:rsid w:val="00C01189"/>
    <w:rsid w:val="00C11BD8"/>
    <w:rsid w:val="00C13C58"/>
    <w:rsid w:val="00C13D37"/>
    <w:rsid w:val="00C13D71"/>
    <w:rsid w:val="00C15C2E"/>
    <w:rsid w:val="00C17486"/>
    <w:rsid w:val="00C20595"/>
    <w:rsid w:val="00C34202"/>
    <w:rsid w:val="00C34310"/>
    <w:rsid w:val="00C36C57"/>
    <w:rsid w:val="00C374DE"/>
    <w:rsid w:val="00C4150D"/>
    <w:rsid w:val="00C41A57"/>
    <w:rsid w:val="00C47AD4"/>
    <w:rsid w:val="00C50745"/>
    <w:rsid w:val="00C521EC"/>
    <w:rsid w:val="00C52D81"/>
    <w:rsid w:val="00C55198"/>
    <w:rsid w:val="00C55399"/>
    <w:rsid w:val="00C6192D"/>
    <w:rsid w:val="00C64849"/>
    <w:rsid w:val="00C6522A"/>
    <w:rsid w:val="00C652E6"/>
    <w:rsid w:val="00C76711"/>
    <w:rsid w:val="00C81C2D"/>
    <w:rsid w:val="00C8242F"/>
    <w:rsid w:val="00C83AB3"/>
    <w:rsid w:val="00C87F4F"/>
    <w:rsid w:val="00C928AA"/>
    <w:rsid w:val="00C93A81"/>
    <w:rsid w:val="00CA0A3F"/>
    <w:rsid w:val="00CA4EED"/>
    <w:rsid w:val="00CA6393"/>
    <w:rsid w:val="00CA7CB8"/>
    <w:rsid w:val="00CB18FF"/>
    <w:rsid w:val="00CB1C95"/>
    <w:rsid w:val="00CC54FE"/>
    <w:rsid w:val="00CD0C08"/>
    <w:rsid w:val="00CD7CC9"/>
    <w:rsid w:val="00CE03FB"/>
    <w:rsid w:val="00CE433C"/>
    <w:rsid w:val="00CF0161"/>
    <w:rsid w:val="00CF05DA"/>
    <w:rsid w:val="00CF33F3"/>
    <w:rsid w:val="00CF46E2"/>
    <w:rsid w:val="00CF5E3A"/>
    <w:rsid w:val="00CF6200"/>
    <w:rsid w:val="00D06183"/>
    <w:rsid w:val="00D14EF2"/>
    <w:rsid w:val="00D22C42"/>
    <w:rsid w:val="00D22E39"/>
    <w:rsid w:val="00D4065E"/>
    <w:rsid w:val="00D446E3"/>
    <w:rsid w:val="00D464CC"/>
    <w:rsid w:val="00D53C61"/>
    <w:rsid w:val="00D55A53"/>
    <w:rsid w:val="00D65041"/>
    <w:rsid w:val="00D75D72"/>
    <w:rsid w:val="00D775C4"/>
    <w:rsid w:val="00D77BE4"/>
    <w:rsid w:val="00D80784"/>
    <w:rsid w:val="00D90FE5"/>
    <w:rsid w:val="00D97FEF"/>
    <w:rsid w:val="00DA6100"/>
    <w:rsid w:val="00DB00D5"/>
    <w:rsid w:val="00DB1936"/>
    <w:rsid w:val="00DB384B"/>
    <w:rsid w:val="00DC0527"/>
    <w:rsid w:val="00DC251E"/>
    <w:rsid w:val="00DE2231"/>
    <w:rsid w:val="00DF0189"/>
    <w:rsid w:val="00DF6A91"/>
    <w:rsid w:val="00E0009A"/>
    <w:rsid w:val="00E01C7C"/>
    <w:rsid w:val="00E03C3D"/>
    <w:rsid w:val="00E06FD5"/>
    <w:rsid w:val="00E10E80"/>
    <w:rsid w:val="00E124F0"/>
    <w:rsid w:val="00E138CC"/>
    <w:rsid w:val="00E227F3"/>
    <w:rsid w:val="00E23A76"/>
    <w:rsid w:val="00E27210"/>
    <w:rsid w:val="00E321E1"/>
    <w:rsid w:val="00E3334D"/>
    <w:rsid w:val="00E34E01"/>
    <w:rsid w:val="00E404DC"/>
    <w:rsid w:val="00E52846"/>
    <w:rsid w:val="00E545C6"/>
    <w:rsid w:val="00E57D32"/>
    <w:rsid w:val="00E60F04"/>
    <w:rsid w:val="00E65B24"/>
    <w:rsid w:val="00E67FE1"/>
    <w:rsid w:val="00E846D5"/>
    <w:rsid w:val="00E854E4"/>
    <w:rsid w:val="00E86DBF"/>
    <w:rsid w:val="00E9087A"/>
    <w:rsid w:val="00EA6361"/>
    <w:rsid w:val="00EB0D6F"/>
    <w:rsid w:val="00EB2232"/>
    <w:rsid w:val="00EB2A0D"/>
    <w:rsid w:val="00EB728E"/>
    <w:rsid w:val="00EC5337"/>
    <w:rsid w:val="00EC5E18"/>
    <w:rsid w:val="00ED454D"/>
    <w:rsid w:val="00EE266C"/>
    <w:rsid w:val="00EE3071"/>
    <w:rsid w:val="00EE49E8"/>
    <w:rsid w:val="00F04E07"/>
    <w:rsid w:val="00F14155"/>
    <w:rsid w:val="00F15D89"/>
    <w:rsid w:val="00F16BAB"/>
    <w:rsid w:val="00F2150A"/>
    <w:rsid w:val="00F231D8"/>
    <w:rsid w:val="00F2485F"/>
    <w:rsid w:val="00F313C0"/>
    <w:rsid w:val="00F356F0"/>
    <w:rsid w:val="00F359DF"/>
    <w:rsid w:val="00F35FA2"/>
    <w:rsid w:val="00F44C00"/>
    <w:rsid w:val="00F45D2C"/>
    <w:rsid w:val="00F463A3"/>
    <w:rsid w:val="00F46C5F"/>
    <w:rsid w:val="00F47926"/>
    <w:rsid w:val="00F51AC8"/>
    <w:rsid w:val="00F5259D"/>
    <w:rsid w:val="00F60A1F"/>
    <w:rsid w:val="00F61C12"/>
    <w:rsid w:val="00F630DA"/>
    <w:rsid w:val="00F632C0"/>
    <w:rsid w:val="00F64767"/>
    <w:rsid w:val="00F64BA3"/>
    <w:rsid w:val="00F66BEE"/>
    <w:rsid w:val="00F731A7"/>
    <w:rsid w:val="00F74694"/>
    <w:rsid w:val="00F825D1"/>
    <w:rsid w:val="00F82E29"/>
    <w:rsid w:val="00F82E64"/>
    <w:rsid w:val="00F83FF5"/>
    <w:rsid w:val="00F94A63"/>
    <w:rsid w:val="00FA1C28"/>
    <w:rsid w:val="00FA43C9"/>
    <w:rsid w:val="00FA58A5"/>
    <w:rsid w:val="00FA5E2F"/>
    <w:rsid w:val="00FB0CD5"/>
    <w:rsid w:val="00FB1279"/>
    <w:rsid w:val="00FB2C31"/>
    <w:rsid w:val="00FB6B76"/>
    <w:rsid w:val="00FB7596"/>
    <w:rsid w:val="00FC04E9"/>
    <w:rsid w:val="00FC46FE"/>
    <w:rsid w:val="00FD7016"/>
    <w:rsid w:val="00FE3E22"/>
    <w:rsid w:val="00FE4077"/>
    <w:rsid w:val="00FE500D"/>
    <w:rsid w:val="00FE77D2"/>
    <w:rsid w:val="07945426"/>
    <w:rsid w:val="088A41F1"/>
    <w:rsid w:val="0A309704"/>
    <w:rsid w:val="0A3203AF"/>
    <w:rsid w:val="0BFA47B8"/>
    <w:rsid w:val="0F39EF86"/>
    <w:rsid w:val="11294EEF"/>
    <w:rsid w:val="125AC797"/>
    <w:rsid w:val="130756BC"/>
    <w:rsid w:val="1340029B"/>
    <w:rsid w:val="15DC5093"/>
    <w:rsid w:val="15E6C182"/>
    <w:rsid w:val="1B41FC02"/>
    <w:rsid w:val="1F1290A8"/>
    <w:rsid w:val="1FF959E7"/>
    <w:rsid w:val="23140506"/>
    <w:rsid w:val="23FCC98B"/>
    <w:rsid w:val="251600B6"/>
    <w:rsid w:val="25479D74"/>
    <w:rsid w:val="27D0FDE6"/>
    <w:rsid w:val="2A304169"/>
    <w:rsid w:val="2A454DAA"/>
    <w:rsid w:val="2A62F2AD"/>
    <w:rsid w:val="2B4CC706"/>
    <w:rsid w:val="2CFCC32A"/>
    <w:rsid w:val="31003653"/>
    <w:rsid w:val="35B57696"/>
    <w:rsid w:val="38ADF761"/>
    <w:rsid w:val="3A3876E3"/>
    <w:rsid w:val="3C2CE523"/>
    <w:rsid w:val="3C5CCE19"/>
    <w:rsid w:val="3E6011BB"/>
    <w:rsid w:val="402313B5"/>
    <w:rsid w:val="42560CD7"/>
    <w:rsid w:val="442F5550"/>
    <w:rsid w:val="4A5AB49E"/>
    <w:rsid w:val="4B86A847"/>
    <w:rsid w:val="4BAB6AA3"/>
    <w:rsid w:val="4CD19189"/>
    <w:rsid w:val="4E4EAE86"/>
    <w:rsid w:val="4EFE25C7"/>
    <w:rsid w:val="4FDB2F64"/>
    <w:rsid w:val="52232A7B"/>
    <w:rsid w:val="52ADFC8F"/>
    <w:rsid w:val="541F732F"/>
    <w:rsid w:val="564BE126"/>
    <w:rsid w:val="56D68398"/>
    <w:rsid w:val="56F6C2DA"/>
    <w:rsid w:val="573FFA83"/>
    <w:rsid w:val="59559FF6"/>
    <w:rsid w:val="59A043E5"/>
    <w:rsid w:val="5AC45D93"/>
    <w:rsid w:val="5AE022B4"/>
    <w:rsid w:val="5D1D3521"/>
    <w:rsid w:val="5D99A10A"/>
    <w:rsid w:val="5EDF8AA6"/>
    <w:rsid w:val="60A11F18"/>
    <w:rsid w:val="62870C3F"/>
    <w:rsid w:val="63B86269"/>
    <w:rsid w:val="63CEC4E0"/>
    <w:rsid w:val="664D0F27"/>
    <w:rsid w:val="6910C216"/>
    <w:rsid w:val="6930C92F"/>
    <w:rsid w:val="69D092A0"/>
    <w:rsid w:val="6D1C67AD"/>
    <w:rsid w:val="6EA89AEA"/>
    <w:rsid w:val="72E0916F"/>
    <w:rsid w:val="7ADD7347"/>
    <w:rsid w:val="7B27DD30"/>
    <w:rsid w:val="7B834148"/>
    <w:rsid w:val="7C5F3B7F"/>
    <w:rsid w:val="7FCA6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C66F6D3E-FAC3-4DFC-A019-46DB8D96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563"/>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5170AA"/>
    <w:pPr>
      <w:keepNext/>
      <w:keepLines/>
      <w:spacing w:before="480"/>
      <w:ind w:left="567" w:hanging="567"/>
      <w:outlineLvl w:val="0"/>
    </w:pPr>
    <w:rPr>
      <w:rFonts w:ascii="Calibri" w:hAnsi="Calibri"/>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character" w:styleId="CommentReference">
    <w:name w:val="annotation reference"/>
    <w:basedOn w:val="DefaultParagraphFont"/>
    <w:semiHidden/>
    <w:unhideWhenUsed/>
    <w:rsid w:val="007C393F"/>
    <w:rPr>
      <w:sz w:val="16"/>
      <w:szCs w:val="16"/>
    </w:rPr>
  </w:style>
  <w:style w:type="paragraph" w:styleId="CommentText">
    <w:name w:val="annotation text"/>
    <w:basedOn w:val="Normal"/>
    <w:link w:val="CommentTextChar"/>
    <w:unhideWhenUsed/>
    <w:rsid w:val="007C393F"/>
    <w:rPr>
      <w:sz w:val="20"/>
    </w:rPr>
  </w:style>
  <w:style w:type="character" w:customStyle="1" w:styleId="CommentTextChar">
    <w:name w:val="Comment Text Char"/>
    <w:basedOn w:val="DefaultParagraphFont"/>
    <w:link w:val="CommentText"/>
    <w:rsid w:val="007C393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7C393F"/>
    <w:rPr>
      <w:b/>
      <w:bCs/>
    </w:rPr>
  </w:style>
  <w:style w:type="character" w:customStyle="1" w:styleId="CommentSubjectChar">
    <w:name w:val="Comment Subject Char"/>
    <w:basedOn w:val="CommentTextChar"/>
    <w:link w:val="CommentSubject"/>
    <w:semiHidden/>
    <w:rsid w:val="007C393F"/>
    <w:rPr>
      <w:rFonts w:asciiTheme="minorHAnsi" w:hAnsiTheme="minorHAnsi"/>
      <w:b/>
      <w:bCs/>
      <w:lang w:val="en-GB" w:eastAsia="en-US"/>
    </w:rPr>
  </w:style>
  <w:style w:type="paragraph" w:styleId="Revision">
    <w:name w:val="Revision"/>
    <w:hidden/>
    <w:uiPriority w:val="99"/>
    <w:semiHidden/>
    <w:rsid w:val="00F630DA"/>
    <w:rPr>
      <w:rFonts w:asciiTheme="minorHAnsi" w:hAnsiTheme="minorHAnsi"/>
      <w:sz w:val="24"/>
      <w:lang w:val="en-GB" w:eastAsia="en-US"/>
    </w:rPr>
  </w:style>
  <w:style w:type="paragraph" w:styleId="ListParagraph">
    <w:name w:val="List Paragraph"/>
    <w:basedOn w:val="Normal"/>
    <w:uiPriority w:val="34"/>
    <w:qFormat/>
    <w:rsid w:val="00C4150D"/>
    <w:pPr>
      <w:ind w:left="720"/>
      <w:contextualSpacing/>
    </w:pPr>
  </w:style>
  <w:style w:type="character" w:customStyle="1" w:styleId="normaltextrun">
    <w:name w:val="normaltextrun"/>
    <w:basedOn w:val="DefaultParagraphFont"/>
    <w:rsid w:val="007B7B2E"/>
  </w:style>
  <w:style w:type="character" w:customStyle="1" w:styleId="eop">
    <w:name w:val="eop"/>
    <w:basedOn w:val="DefaultParagraphFont"/>
    <w:rsid w:val="009C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5312">
      <w:bodyDiv w:val="1"/>
      <w:marLeft w:val="0"/>
      <w:marRight w:val="0"/>
      <w:marTop w:val="0"/>
      <w:marBottom w:val="0"/>
      <w:divBdr>
        <w:top w:val="none" w:sz="0" w:space="0" w:color="auto"/>
        <w:left w:val="none" w:sz="0" w:space="0" w:color="auto"/>
        <w:bottom w:val="none" w:sz="0" w:space="0" w:color="auto"/>
        <w:right w:val="none" w:sz="0" w:space="0" w:color="auto"/>
      </w:divBdr>
    </w:div>
    <w:div w:id="586037387">
      <w:bodyDiv w:val="1"/>
      <w:marLeft w:val="0"/>
      <w:marRight w:val="0"/>
      <w:marTop w:val="0"/>
      <w:marBottom w:val="0"/>
      <w:divBdr>
        <w:top w:val="none" w:sz="0" w:space="0" w:color="auto"/>
        <w:left w:val="none" w:sz="0" w:space="0" w:color="auto"/>
        <w:bottom w:val="none" w:sz="0" w:space="0" w:color="auto"/>
        <w:right w:val="none" w:sz="0" w:space="0" w:color="auto"/>
      </w:divBdr>
    </w:div>
    <w:div w:id="646906356">
      <w:bodyDiv w:val="1"/>
      <w:marLeft w:val="0"/>
      <w:marRight w:val="0"/>
      <w:marTop w:val="0"/>
      <w:marBottom w:val="0"/>
      <w:divBdr>
        <w:top w:val="none" w:sz="0" w:space="0" w:color="auto"/>
        <w:left w:val="none" w:sz="0" w:space="0" w:color="auto"/>
        <w:bottom w:val="none" w:sz="0" w:space="0" w:color="auto"/>
        <w:right w:val="none" w:sz="0" w:space="0" w:color="auto"/>
      </w:divBdr>
    </w:div>
    <w:div w:id="933318013">
      <w:bodyDiv w:val="1"/>
      <w:marLeft w:val="0"/>
      <w:marRight w:val="0"/>
      <w:marTop w:val="0"/>
      <w:marBottom w:val="0"/>
      <w:divBdr>
        <w:top w:val="none" w:sz="0" w:space="0" w:color="auto"/>
        <w:left w:val="none" w:sz="0" w:space="0" w:color="auto"/>
        <w:bottom w:val="none" w:sz="0" w:space="0" w:color="auto"/>
        <w:right w:val="none" w:sz="0" w:space="0" w:color="auto"/>
      </w:divBdr>
    </w:div>
    <w:div w:id="1047678720">
      <w:bodyDiv w:val="1"/>
      <w:marLeft w:val="0"/>
      <w:marRight w:val="0"/>
      <w:marTop w:val="0"/>
      <w:marBottom w:val="0"/>
      <w:divBdr>
        <w:top w:val="none" w:sz="0" w:space="0" w:color="auto"/>
        <w:left w:val="none" w:sz="0" w:space="0" w:color="auto"/>
        <w:bottom w:val="none" w:sz="0" w:space="0" w:color="auto"/>
        <w:right w:val="none" w:sz="0" w:space="0" w:color="auto"/>
      </w:divBdr>
    </w:div>
    <w:div w:id="1091202364">
      <w:bodyDiv w:val="1"/>
      <w:marLeft w:val="0"/>
      <w:marRight w:val="0"/>
      <w:marTop w:val="0"/>
      <w:marBottom w:val="0"/>
      <w:divBdr>
        <w:top w:val="none" w:sz="0" w:space="0" w:color="auto"/>
        <w:left w:val="none" w:sz="0" w:space="0" w:color="auto"/>
        <w:bottom w:val="none" w:sz="0" w:space="0" w:color="auto"/>
        <w:right w:val="none" w:sz="0" w:space="0" w:color="auto"/>
      </w:divBdr>
    </w:div>
    <w:div w:id="1471970618">
      <w:bodyDiv w:val="1"/>
      <w:marLeft w:val="0"/>
      <w:marRight w:val="0"/>
      <w:marTop w:val="0"/>
      <w:marBottom w:val="0"/>
      <w:divBdr>
        <w:top w:val="none" w:sz="0" w:space="0" w:color="auto"/>
        <w:left w:val="none" w:sz="0" w:space="0" w:color="auto"/>
        <w:bottom w:val="none" w:sz="0" w:space="0" w:color="auto"/>
        <w:right w:val="none" w:sz="0" w:space="0" w:color="auto"/>
      </w:divBdr>
    </w:div>
    <w:div w:id="1612975957">
      <w:bodyDiv w:val="1"/>
      <w:marLeft w:val="0"/>
      <w:marRight w:val="0"/>
      <w:marTop w:val="0"/>
      <w:marBottom w:val="0"/>
      <w:divBdr>
        <w:top w:val="none" w:sz="0" w:space="0" w:color="auto"/>
        <w:left w:val="none" w:sz="0" w:space="0" w:color="auto"/>
        <w:bottom w:val="none" w:sz="0" w:space="0" w:color="auto"/>
        <w:right w:val="none" w:sz="0" w:space="0" w:color="auto"/>
      </w:divBdr>
    </w:div>
    <w:div w:id="1628655909">
      <w:bodyDiv w:val="1"/>
      <w:marLeft w:val="0"/>
      <w:marRight w:val="0"/>
      <w:marTop w:val="0"/>
      <w:marBottom w:val="0"/>
      <w:divBdr>
        <w:top w:val="none" w:sz="0" w:space="0" w:color="auto"/>
        <w:left w:val="none" w:sz="0" w:space="0" w:color="auto"/>
        <w:bottom w:val="none" w:sz="0" w:space="0" w:color="auto"/>
        <w:right w:val="none" w:sz="0" w:space="0" w:color="auto"/>
      </w:divBdr>
    </w:div>
    <w:div w:id="17562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WGFHR22-C-0002/en" TargetMode="External"/><Relationship Id="rId18" Type="http://schemas.openxmlformats.org/officeDocument/2006/relationships/hyperlink" Target="https://www.itu.int/md/S25-CWGFHR21-C-0020/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md/S26-CWGFHR22-C-0002/en" TargetMode="External"/><Relationship Id="rId7" Type="http://schemas.openxmlformats.org/officeDocument/2006/relationships/settings" Target="settings.xml"/><Relationship Id="rId12" Type="http://schemas.openxmlformats.org/officeDocument/2006/relationships/hyperlink" Target="https://www.itu.int/md/S26-CWGFHR22-C-0002/en" TargetMode="External"/><Relationship Id="rId17" Type="http://schemas.openxmlformats.org/officeDocument/2006/relationships/hyperlink" Target="https://www.itu.int/md/S24-EG2DEC482-C-0003/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6-CWGFHR22-C-0002/en" TargetMode="External"/><Relationship Id="rId20" Type="http://schemas.openxmlformats.org/officeDocument/2006/relationships/hyperlink" Target="https://www.itu.int/md/S26-CWGFHR22-C-000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FHR22-C-0002/en" TargetMode="External"/><Relationship Id="rId24" Type="http://schemas.openxmlformats.org/officeDocument/2006/relationships/hyperlink" Target="https://www.itu.int/md/S26-CWGFHR22-C-0002/en" TargetMode="External"/><Relationship Id="rId5" Type="http://schemas.openxmlformats.org/officeDocument/2006/relationships/numbering" Target="numbering.xml"/><Relationship Id="rId15" Type="http://schemas.openxmlformats.org/officeDocument/2006/relationships/hyperlink" Target="https://www.itu.int/md/S25-CL-C-0125/en" TargetMode="External"/><Relationship Id="rId23" Type="http://schemas.openxmlformats.org/officeDocument/2006/relationships/hyperlink" Target="https://www.itu.int/md/S26-CWGFHR22-C-0002/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6-CWGFHR22-C-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091-E.pdf" TargetMode="External"/><Relationship Id="rId22" Type="http://schemas.openxmlformats.org/officeDocument/2006/relationships/hyperlink" Target="https://www.itu.int/md/S26-CWGFHR22-C-0002/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4-EG2DEC482-C-000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91ac75c-2214-44f2-a1c2-4a33e54530d6" xsi:nil="true"/>
    <lcf76f155ced4ddcb4097134ff3c332f xmlns="b91ac75c-2214-44f2-a1c2-4a33e54530d6">
      <Terms xmlns="http://schemas.microsoft.com/office/infopath/2007/PartnerControls"/>
    </lcf76f155ced4ddcb4097134ff3c332f>
    <TaxCatchAll xmlns="d444f2ea-5f0f-410c-a5db-9db573c5e1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4AA9959F9BFA4D8A95EE9B33862EAC" ma:contentTypeVersion="12" ma:contentTypeDescription="Create a new document." ma:contentTypeScope="" ma:versionID="86b2afdf2184016014149e9cd330547e">
  <xsd:schema xmlns:xsd="http://www.w3.org/2001/XMLSchema" xmlns:xs="http://www.w3.org/2001/XMLSchema" xmlns:p="http://schemas.microsoft.com/office/2006/metadata/properties" xmlns:ns2="b91ac75c-2214-44f2-a1c2-4a33e54530d6" xmlns:ns3="d444f2ea-5f0f-410c-a5db-9db573c5e1a7" targetNamespace="http://schemas.microsoft.com/office/2006/metadata/properties" ma:root="true" ma:fieldsID="6a27103d09fb7236176d831bcb8c5aa8" ns2:_="" ns3:_="">
    <xsd:import namespace="b91ac75c-2214-44f2-a1c2-4a33e54530d6"/>
    <xsd:import namespace="d444f2ea-5f0f-410c-a5db-9db573c5e1a7"/>
    <xsd:element name="properties">
      <xsd:complexType>
        <xsd:sequence>
          <xsd:element name="documentManagement">
            <xsd:complexType>
              <xsd:all>
                <xsd:element ref="ns2:Topic"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ac75c-2214-44f2-a1c2-4a33e54530d6"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complexType>
        <xsd:complexContent>
          <xsd:extension base="dms:MultiChoice">
            <xsd:sequence>
              <xsd:element name="Value" maxOccurs="unbounded" minOccurs="0" nillable="true">
                <xsd:simpleType>
                  <xsd:restriction base="dms:Choice">
                    <xsd:enumeration value="NTIA"/>
                    <xsd:enumeration value="NSS"/>
                    <xsd:enumeration value="I-Plan"/>
                    <xsd:enumeration value="Lower 3 GHz"/>
                    <xsd:enumeration value="7/8 GHz"/>
                    <xsd:enumeration value="Congress"/>
                    <xsd:enumeration value="SecDef"/>
                    <xsd:enumeration value="White House"/>
                    <xsd:enumeration value="DSS"/>
                    <xsd:enumeration value="DoD CIO"/>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4f2ea-5f0f-410c-a5db-9db573c5e1a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981499-8fbd-4f90-9f70-ab031119976d}" ma:internalName="TaxCatchAll" ma:showField="CatchAllData" ma:web="d444f2ea-5f0f-410c-a5db-9db573c5e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23CF-5B41-4F89-A701-BF42E1B42501}">
  <ds:schemaRefs>
    <ds:schemaRef ds:uri="http://purl.org/dc/elements/1.1/"/>
    <ds:schemaRef ds:uri="http://schemas.microsoft.com/office/2006/documentManagement/types"/>
    <ds:schemaRef ds:uri="http://purl.org/dc/terms/"/>
    <ds:schemaRef ds:uri="b91ac75c-2214-44f2-a1c2-4a33e54530d6"/>
    <ds:schemaRef ds:uri="http://purl.org/dc/dcmitype/"/>
    <ds:schemaRef ds:uri="http://schemas.microsoft.com/office/infopath/2007/PartnerControls"/>
    <ds:schemaRef ds:uri="http://schemas.openxmlformats.org/package/2006/metadata/core-properties"/>
    <ds:schemaRef ds:uri="d444f2ea-5f0f-410c-a5db-9db573c5e1a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AAE340-6E85-4B26-827A-21692C4E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ac75c-2214-44f2-a1c2-4a33e54530d6"/>
    <ds:schemaRef ds:uri="d444f2ea-5f0f-410c-a5db-9db573c5e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FB70E-7F7E-42C7-A5A9-8B24AD55BD6B}">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1759</Words>
  <Characters>11328</Characters>
  <Application>Microsoft Office Word</Application>
  <DocSecurity>4</DocSecurity>
  <Lines>182</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USA - Comments and proposals on satellite network filings and cost recovery</dc:title>
  <dc:subject/>
  <dc:creator>O'Keefe, Kelly E</dc:creator>
  <cp:keywords>CWG-FHR, Council-26, CWGs 2026</cp:keywords>
  <dc:description/>
  <cp:lastModifiedBy>GBS</cp:lastModifiedBy>
  <cp:revision>2</cp:revision>
  <dcterms:created xsi:type="dcterms:W3CDTF">2026-01-06T09:39:00Z</dcterms:created>
  <dcterms:modified xsi:type="dcterms:W3CDTF">2026-01-06T09:39:00Z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2025-12-16T22:05:47Z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48b6fe92-7bff-4ffe-a674-a45aba929c3c</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y fmtid="{D5CDD505-2E9C-101B-9397-08002B2CF9AE}" pid="10" name="GrammarlyDocumentId">
    <vt:lpwstr>69b61272-94fa-4726-b3ee-1bf278433c2a</vt:lpwstr>
  </property>
  <property fmtid="{D5CDD505-2E9C-101B-9397-08002B2CF9AE}" pid="11" name="ContentTypeId">
    <vt:lpwstr>0x0101001F4AA9959F9BFA4D8A95EE9B33862EAC</vt:lpwstr>
  </property>
  <property fmtid="{D5CDD505-2E9C-101B-9397-08002B2CF9AE}" pid="12" name="MediaServiceImageTags">
    <vt:lpwstr/>
  </property>
</Properties>
</file>