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3F63E83"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3E2EF3" w:rsidRPr="007D42ED">
              <w:rPr>
                <w:b/>
                <w:lang w:val="it-IT"/>
              </w:rPr>
              <w:t>22</w:t>
            </w:r>
            <w:r w:rsidRPr="007D42ED">
              <w:rPr>
                <w:b/>
                <w:lang w:val="it-IT"/>
              </w:rPr>
              <w:t>/</w:t>
            </w:r>
            <w:r w:rsidR="00DD67CB">
              <w:rPr>
                <w:b/>
                <w:lang w:val="it-IT"/>
              </w:rPr>
              <w:t>29</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4FC0D52" w:rsidR="00AD3606" w:rsidRPr="007D42ED" w:rsidRDefault="00537D98" w:rsidP="00AD3606">
            <w:pPr>
              <w:tabs>
                <w:tab w:val="left" w:pos="851"/>
              </w:tabs>
              <w:spacing w:before="0"/>
              <w:jc w:val="right"/>
              <w:rPr>
                <w:b/>
              </w:rPr>
            </w:pPr>
            <w:r>
              <w:rPr>
                <w:b/>
              </w:rPr>
              <w:t>31 December 2025</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7D42ED" w14:paraId="27000B2A" w14:textId="77777777" w:rsidTr="00AD3606">
        <w:trPr>
          <w:cantSplit/>
        </w:trPr>
        <w:tc>
          <w:tcPr>
            <w:tcW w:w="9214" w:type="dxa"/>
            <w:gridSpan w:val="2"/>
            <w:tcMar>
              <w:left w:w="0" w:type="dxa"/>
            </w:tcMar>
          </w:tcPr>
          <w:p w14:paraId="4E7CDB90" w14:textId="0C53FC98" w:rsidR="00AD3606" w:rsidRPr="007D42ED" w:rsidRDefault="00B01BD6" w:rsidP="00676C7D">
            <w:pPr>
              <w:pStyle w:val="Source"/>
              <w:framePr w:hSpace="0" w:wrap="auto" w:vAnchor="margin" w:hAnchor="text" w:xAlign="left" w:yAlign="inline"/>
            </w:pPr>
            <w:bookmarkStart w:id="8" w:name="dsource" w:colFirst="0" w:colLast="0"/>
            <w:bookmarkEnd w:id="7"/>
            <w:r w:rsidRPr="007D42ED">
              <w:t xml:space="preserve">Contribution </w:t>
            </w:r>
            <w:r w:rsidR="002D5DBD" w:rsidRPr="007D42ED">
              <w:t>by</w:t>
            </w:r>
            <w:r w:rsidRPr="007D42ED">
              <w:t xml:space="preserve"> </w:t>
            </w:r>
            <w:r w:rsidR="00DD2EEB">
              <w:t>GSOA</w:t>
            </w:r>
          </w:p>
        </w:tc>
      </w:tr>
      <w:tr w:rsidR="00AD3606" w:rsidRPr="007D42ED" w14:paraId="2340750D" w14:textId="77777777" w:rsidTr="00AD3606">
        <w:trPr>
          <w:cantSplit/>
        </w:trPr>
        <w:tc>
          <w:tcPr>
            <w:tcW w:w="9214" w:type="dxa"/>
            <w:gridSpan w:val="2"/>
            <w:tcMar>
              <w:left w:w="0" w:type="dxa"/>
            </w:tcMar>
          </w:tcPr>
          <w:p w14:paraId="47B91AA8" w14:textId="1603EC7A" w:rsidR="00AD3606" w:rsidRPr="007D42ED" w:rsidRDefault="00E47EDA" w:rsidP="00676C7D">
            <w:pPr>
              <w:pStyle w:val="Subtitle"/>
              <w:framePr w:hSpace="0" w:wrap="auto" w:xAlign="left" w:yAlign="inline"/>
            </w:pPr>
            <w:bookmarkStart w:id="9" w:name="dtitle1" w:colFirst="0" w:colLast="0"/>
            <w:bookmarkEnd w:id="8"/>
            <w:r w:rsidRPr="00E47EDA">
              <w:t>SATELLITE NETWORK FILINGS</w:t>
            </w:r>
          </w:p>
        </w:tc>
      </w:tr>
      <w:tr w:rsidR="00AD3606" w:rsidRPr="007D42E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D42ED" w:rsidRDefault="00F16BAB" w:rsidP="00F16BAB">
            <w:pPr>
              <w:spacing w:before="160"/>
              <w:rPr>
                <w:b/>
                <w:bCs/>
                <w:sz w:val="26"/>
                <w:szCs w:val="26"/>
              </w:rPr>
            </w:pPr>
            <w:r w:rsidRPr="007D42ED">
              <w:rPr>
                <w:b/>
                <w:bCs/>
                <w:sz w:val="26"/>
                <w:szCs w:val="26"/>
              </w:rPr>
              <w:t>Purpose</w:t>
            </w:r>
          </w:p>
          <w:p w14:paraId="7BC74D3F" w14:textId="21F4D2C8" w:rsidR="00846BB8" w:rsidRDefault="00846BB8" w:rsidP="00F16BAB">
            <w:pPr>
              <w:spacing w:before="160"/>
            </w:pPr>
            <w:r w:rsidRPr="00846BB8">
              <w:t xml:space="preserve">This document discusses the elements of proposals </w:t>
            </w:r>
            <w:r w:rsidR="001702BB">
              <w:t xml:space="preserve">on the updated methodology regarding </w:t>
            </w:r>
            <w:r w:rsidR="007943A5">
              <w:t>satellite network filings</w:t>
            </w:r>
            <w:r w:rsidR="00CC24A8">
              <w:t xml:space="preserve"> as in the input document </w:t>
            </w:r>
            <w:r w:rsidR="00D7062C" w:rsidRPr="00D7062C">
              <w:t>CWG-FHR-22/2</w:t>
            </w:r>
            <w:r w:rsidR="00537D98">
              <w:t>.</w:t>
            </w:r>
          </w:p>
          <w:p w14:paraId="5076D5C4" w14:textId="690B9105" w:rsidR="00AD3606" w:rsidRPr="007D42ED" w:rsidRDefault="00AD3606" w:rsidP="00F16BAB">
            <w:pPr>
              <w:spacing w:before="160"/>
              <w:rPr>
                <w:b/>
                <w:bCs/>
                <w:sz w:val="26"/>
                <w:szCs w:val="26"/>
              </w:rPr>
            </w:pPr>
            <w:r w:rsidRPr="007D42ED">
              <w:rPr>
                <w:b/>
                <w:bCs/>
                <w:sz w:val="26"/>
                <w:szCs w:val="26"/>
              </w:rPr>
              <w:t>Action required</w:t>
            </w:r>
          </w:p>
          <w:p w14:paraId="53A776F1" w14:textId="6870E496" w:rsidR="00891503" w:rsidRPr="007D42ED" w:rsidRDefault="002D5DBD" w:rsidP="00F16BAB">
            <w:pPr>
              <w:spacing w:before="160"/>
            </w:pPr>
            <w:r w:rsidRPr="007D42ED">
              <w:t xml:space="preserve">The Council Working Group on financial and human resources is invited to </w:t>
            </w:r>
            <w:r w:rsidRPr="007D42ED">
              <w:rPr>
                <w:b/>
                <w:bCs/>
              </w:rPr>
              <w:t>consider</w:t>
            </w:r>
            <w:r w:rsidRPr="007D42ED">
              <w:t xml:space="preserve"> </w:t>
            </w:r>
            <w:r w:rsidR="00E9087A" w:rsidRPr="007D42ED">
              <w:t>this document.</w:t>
            </w:r>
          </w:p>
          <w:p w14:paraId="6B8F565E" w14:textId="77777777" w:rsidR="000A57A6" w:rsidRPr="007D42ED" w:rsidRDefault="000A57A6">
            <w:r w:rsidRPr="007D42ED">
              <w:t>_______________</w:t>
            </w:r>
          </w:p>
          <w:p w14:paraId="00DEE14C" w14:textId="4DFE3D9C" w:rsidR="00AD3606" w:rsidRPr="00A419B9" w:rsidRDefault="00AD3606" w:rsidP="00F16BAB">
            <w:pPr>
              <w:spacing w:before="160"/>
              <w:rPr>
                <w:b/>
                <w:bCs/>
                <w:i/>
                <w:iCs/>
                <w:sz w:val="26"/>
                <w:szCs w:val="26"/>
              </w:rPr>
            </w:pPr>
            <w:r w:rsidRPr="007D42ED">
              <w:rPr>
                <w:b/>
                <w:bCs/>
                <w:sz w:val="26"/>
                <w:szCs w:val="26"/>
              </w:rPr>
              <w:t>References</w:t>
            </w:r>
          </w:p>
          <w:p w14:paraId="0175CD6C" w14:textId="3B171AE4" w:rsidR="00AD3606" w:rsidRPr="007D42ED" w:rsidRDefault="006758B8" w:rsidP="00F16BAB">
            <w:pPr>
              <w:spacing w:after="160"/>
              <w:rPr>
                <w:i/>
                <w:iCs/>
                <w:sz w:val="22"/>
                <w:szCs w:val="22"/>
              </w:rPr>
            </w:pPr>
            <w:r w:rsidRPr="006758B8">
              <w:rPr>
                <w:b/>
                <w:bCs/>
                <w:i/>
                <w:iCs/>
                <w:sz w:val="22"/>
                <w:szCs w:val="22"/>
                <w:lang w:val="it-IT"/>
              </w:rPr>
              <w:t>Document </w:t>
            </w:r>
            <w:hyperlink r:id="rId11" w:history="1">
              <w:r w:rsidRPr="00537D98">
                <w:rPr>
                  <w:rStyle w:val="Hyperlink"/>
                  <w:b/>
                  <w:bCs/>
                  <w:i/>
                  <w:iCs/>
                  <w:sz w:val="22"/>
                  <w:szCs w:val="22"/>
                  <w:lang w:val="it-IT"/>
                </w:rPr>
                <w:t>CWG-FHR-22/2</w:t>
              </w:r>
              <w:r w:rsidRPr="00537D98">
                <w:rPr>
                  <w:rStyle w:val="Hyperlink"/>
                  <w:i/>
                  <w:iCs/>
                  <w:sz w:val="22"/>
                  <w:szCs w:val="22"/>
                </w:rPr>
                <w:t> </w:t>
              </w:r>
            </w:hyperlink>
            <w:r>
              <w:rPr>
                <w:i/>
                <w:iCs/>
                <w:sz w:val="22"/>
                <w:szCs w:val="22"/>
              </w:rPr>
              <w:t xml:space="preserve"> </w:t>
            </w:r>
            <w:r w:rsidR="00537D98" w:rsidRPr="00537D98">
              <w:rPr>
                <w:i/>
                <w:iCs/>
                <w:sz w:val="22"/>
                <w:szCs w:val="22"/>
              </w:rPr>
              <w:t>Satellite network filings - Methodology update</w:t>
            </w:r>
          </w:p>
        </w:tc>
      </w:tr>
    </w:tbl>
    <w:p w14:paraId="0B68AE8D" w14:textId="77777777" w:rsidR="00537D98" w:rsidRDefault="00537D98">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br w:type="page"/>
      </w:r>
    </w:p>
    <w:p w14:paraId="73824E9E" w14:textId="632AC52D" w:rsidR="007D6879" w:rsidRDefault="00D34EC8" w:rsidP="00537D98">
      <w:pPr>
        <w:pStyle w:val="Heading2"/>
        <w:keepNext w:val="0"/>
        <w:keepLines w:val="0"/>
        <w:spacing w:before="120" w:after="120"/>
        <w:ind w:left="0" w:firstLine="0"/>
        <w:rPr>
          <w:b w:val="0"/>
          <w:bCs/>
        </w:rPr>
      </w:pPr>
      <w:r>
        <w:rPr>
          <w:b w:val="0"/>
          <w:bCs/>
        </w:rPr>
        <w:lastRenderedPageBreak/>
        <w:t xml:space="preserve">GSOA and </w:t>
      </w:r>
      <w:r w:rsidR="00C445F6">
        <w:rPr>
          <w:b w:val="0"/>
          <w:bCs/>
        </w:rPr>
        <w:t>its</w:t>
      </w:r>
      <w:r>
        <w:rPr>
          <w:b w:val="0"/>
          <w:bCs/>
        </w:rPr>
        <w:t xml:space="preserve"> members would like</w:t>
      </w:r>
      <w:r w:rsidR="0092226B">
        <w:rPr>
          <w:b w:val="0"/>
          <w:bCs/>
        </w:rPr>
        <w:t xml:space="preserve"> to</w:t>
      </w:r>
      <w:r>
        <w:rPr>
          <w:b w:val="0"/>
          <w:bCs/>
        </w:rPr>
        <w:t xml:space="preserve"> </w:t>
      </w:r>
      <w:r w:rsidR="00C445F6">
        <w:rPr>
          <w:b w:val="0"/>
          <w:bCs/>
        </w:rPr>
        <w:t>thank ITU Secretariat for the proposed methodology update</w:t>
      </w:r>
      <w:r w:rsidR="00452DA2">
        <w:rPr>
          <w:b w:val="0"/>
          <w:bCs/>
        </w:rPr>
        <w:t xml:space="preserve"> from </w:t>
      </w:r>
      <w:r w:rsidR="00452DA2" w:rsidRPr="00A07D34">
        <w:rPr>
          <w:b w:val="0"/>
          <w:bCs/>
        </w:rPr>
        <w:t>Document CWG-FHR-22/</w:t>
      </w:r>
      <w:proofErr w:type="gramStart"/>
      <w:r w:rsidR="00452DA2" w:rsidRPr="00A07D34">
        <w:rPr>
          <w:b w:val="0"/>
          <w:bCs/>
        </w:rPr>
        <w:t>2</w:t>
      </w:r>
      <w:r w:rsidR="00452DA2">
        <w:rPr>
          <w:b w:val="0"/>
          <w:bCs/>
        </w:rPr>
        <w:t>, and</w:t>
      </w:r>
      <w:proofErr w:type="gramEnd"/>
      <w:r w:rsidR="00452DA2">
        <w:rPr>
          <w:b w:val="0"/>
          <w:bCs/>
        </w:rPr>
        <w:t xml:space="preserve"> would like to </w:t>
      </w:r>
      <w:r w:rsidR="00A07D34">
        <w:rPr>
          <w:b w:val="0"/>
          <w:bCs/>
        </w:rPr>
        <w:t xml:space="preserve">clarify our understanding on </w:t>
      </w:r>
      <w:r w:rsidR="004561F8">
        <w:rPr>
          <w:b w:val="0"/>
          <w:bCs/>
        </w:rPr>
        <w:t xml:space="preserve">some elements </w:t>
      </w:r>
      <w:r w:rsidR="007E3FC2">
        <w:rPr>
          <w:b w:val="0"/>
          <w:bCs/>
        </w:rPr>
        <w:t xml:space="preserve">and share some observation on some of the elements. </w:t>
      </w:r>
      <w:r w:rsidR="00AA12A6">
        <w:rPr>
          <w:b w:val="0"/>
          <w:bCs/>
        </w:rPr>
        <w:t xml:space="preserve"> </w:t>
      </w:r>
    </w:p>
    <w:p w14:paraId="26F80D44" w14:textId="77777777" w:rsidR="0092226B" w:rsidRDefault="0092226B" w:rsidP="00537D98">
      <w:pPr>
        <w:spacing w:after="120"/>
      </w:pPr>
      <w:r w:rsidRPr="000C6330">
        <w:t xml:space="preserve">While </w:t>
      </w:r>
      <w:r>
        <w:t>GSOA</w:t>
      </w:r>
      <w:r w:rsidRPr="000C6330">
        <w:t xml:space="preserve"> recognize</w:t>
      </w:r>
      <w:r>
        <w:t>s</w:t>
      </w:r>
      <w:r w:rsidRPr="000C6330">
        <w:t xml:space="preserve"> the need for financial sustainability and transparency, </w:t>
      </w:r>
      <w:r>
        <w:t>GSOA</w:t>
      </w:r>
      <w:r w:rsidRPr="000C6330">
        <w:t xml:space="preserve"> believe</w:t>
      </w:r>
      <w:r>
        <w:t>s</w:t>
      </w:r>
      <w:r w:rsidRPr="000C6330">
        <w:t xml:space="preserve"> that the proposed changes require further analysis and stakeholder engagement before endorsement.</w:t>
      </w:r>
    </w:p>
    <w:p w14:paraId="1521A0B4" w14:textId="20351DE6" w:rsidR="0092226B" w:rsidRDefault="0092226B" w:rsidP="00DD67CB">
      <w:pPr>
        <w:tabs>
          <w:tab w:val="left" w:pos="3264"/>
        </w:tabs>
        <w:spacing w:before="480" w:after="120"/>
        <w:rPr>
          <w:b/>
        </w:rPr>
      </w:pPr>
      <w:r w:rsidRPr="00EC5296">
        <w:rPr>
          <w:b/>
        </w:rPr>
        <w:t>Treatment of Indirect Costs</w:t>
      </w:r>
    </w:p>
    <w:p w14:paraId="461ED94E" w14:textId="77777777" w:rsidR="0092226B" w:rsidRDefault="0092226B" w:rsidP="00537D98">
      <w:pPr>
        <w:spacing w:after="120"/>
      </w:pPr>
      <w:r>
        <w:t>The proposal introduces an Activity-Based Costing (ABC) model and recommends allocating indirect costs at a rate of 20–35% of direct costs, referencing benchmarks from national regulators. However, this approach raises concerns because the suggested allocation is not supported by BR’s actual cost structure, and comparisons with national regulators are inappropriate given ITU’s distinct mandate and operational processes.</w:t>
      </w:r>
    </w:p>
    <w:p w14:paraId="252A636A" w14:textId="5370EC27" w:rsidR="0092226B" w:rsidRPr="0092226B" w:rsidRDefault="0092226B" w:rsidP="00537D98">
      <w:pPr>
        <w:spacing w:after="120"/>
      </w:pPr>
      <w:r>
        <w:t>GSOA considers that indirect cost allocation be grounded in audited data from BR operations rather than external benchmarks. The methodology should be transparent, clearly defining cost drivers, and undergo review by the Expert Group on Decision 482 (EG-</w:t>
      </w:r>
      <w:r w:rsidR="00DD67CB">
        <w:t>DEC</w:t>
      </w:r>
      <w:r>
        <w:t>482) before implementation.</w:t>
      </w:r>
    </w:p>
    <w:p w14:paraId="3FF82FA9" w14:textId="7975DA57" w:rsidR="007D6879" w:rsidRPr="00A257E6" w:rsidRDefault="007D6879" w:rsidP="00DD67CB">
      <w:pPr>
        <w:pStyle w:val="Heading2"/>
        <w:keepNext w:val="0"/>
        <w:keepLines w:val="0"/>
        <w:spacing w:before="480" w:after="120"/>
      </w:pPr>
      <w:r w:rsidRPr="00A257E6">
        <w:t>Free entitlements</w:t>
      </w:r>
    </w:p>
    <w:p w14:paraId="7728FC17" w14:textId="0F60197A" w:rsidR="0068751A" w:rsidRDefault="00073FB8" w:rsidP="00537D98">
      <w:pPr>
        <w:tabs>
          <w:tab w:val="clear" w:pos="567"/>
          <w:tab w:val="clear" w:pos="1134"/>
          <w:tab w:val="clear" w:pos="1701"/>
          <w:tab w:val="clear" w:pos="2268"/>
          <w:tab w:val="clear" w:pos="2835"/>
        </w:tabs>
        <w:overflowPunct/>
        <w:autoSpaceDE/>
        <w:autoSpaceDN/>
        <w:adjustRightInd/>
        <w:spacing w:after="120"/>
        <w:textAlignment w:val="auto"/>
        <w:rPr>
          <w:lang w:val="es-ES"/>
        </w:rPr>
      </w:pPr>
      <w:r w:rsidRPr="00073FB8">
        <w:rPr>
          <w:lang w:val="es-ES"/>
        </w:rPr>
        <w:t>The document identifies free entitlements as a major source of under-recovery and inequity and proposes Council consider changes</w:t>
      </w:r>
      <w:r w:rsidR="00FE7062">
        <w:rPr>
          <w:lang w:val="es-ES"/>
        </w:rPr>
        <w:t xml:space="preserve"> and propose </w:t>
      </w:r>
      <w:r w:rsidR="0068751A">
        <w:rPr>
          <w:lang w:val="es-ES"/>
        </w:rPr>
        <w:t xml:space="preserve">the following options to update Decision 482: </w:t>
      </w:r>
    </w:p>
    <w:p w14:paraId="687C1CBA" w14:textId="0BCE5040" w:rsidR="0068751A" w:rsidRPr="0068751A" w:rsidRDefault="0068751A" w:rsidP="00DD67CB">
      <w:pPr>
        <w:pStyle w:val="ListParagraph"/>
        <w:numPr>
          <w:ilvl w:val="0"/>
          <w:numId w:val="2"/>
        </w:numPr>
        <w:tabs>
          <w:tab w:val="clear" w:pos="567"/>
          <w:tab w:val="clear" w:pos="1134"/>
          <w:tab w:val="clear" w:pos="1701"/>
          <w:tab w:val="clear" w:pos="2268"/>
          <w:tab w:val="clear" w:pos="2835"/>
        </w:tabs>
        <w:overflowPunct/>
        <w:autoSpaceDE/>
        <w:autoSpaceDN/>
        <w:adjustRightInd/>
        <w:spacing w:after="60"/>
        <w:contextualSpacing w:val="0"/>
        <w:textAlignment w:val="auto"/>
      </w:pPr>
      <w:r w:rsidRPr="0068751A">
        <w:t xml:space="preserve">Apply the free entitlement automatically to the </w:t>
      </w:r>
      <w:r w:rsidRPr="0068751A">
        <w:rPr>
          <w:b/>
          <w:bCs/>
        </w:rPr>
        <w:t>least expensive filing</w:t>
      </w:r>
      <w:r w:rsidRPr="0068751A">
        <w:t>, or</w:t>
      </w:r>
    </w:p>
    <w:p w14:paraId="7C66F31E" w14:textId="4E6229E9" w:rsidR="0068751A" w:rsidRPr="0068751A" w:rsidRDefault="0068751A" w:rsidP="00DD67CB">
      <w:pPr>
        <w:pStyle w:val="ListParagraph"/>
        <w:numPr>
          <w:ilvl w:val="0"/>
          <w:numId w:val="2"/>
        </w:numPr>
        <w:tabs>
          <w:tab w:val="clear" w:pos="567"/>
          <w:tab w:val="clear" w:pos="1134"/>
          <w:tab w:val="clear" w:pos="1701"/>
          <w:tab w:val="clear" w:pos="2268"/>
          <w:tab w:val="clear" w:pos="2835"/>
        </w:tabs>
        <w:overflowPunct/>
        <w:autoSpaceDE/>
        <w:autoSpaceDN/>
        <w:adjustRightInd/>
        <w:spacing w:before="60" w:after="60"/>
        <w:contextualSpacing w:val="0"/>
        <w:textAlignment w:val="auto"/>
      </w:pPr>
      <w:r w:rsidRPr="0068751A">
        <w:t xml:space="preserve">Apply it to the </w:t>
      </w:r>
      <w:r w:rsidRPr="0068751A">
        <w:rPr>
          <w:b/>
          <w:bCs/>
        </w:rPr>
        <w:t>first invoice only</w:t>
      </w:r>
      <w:r w:rsidRPr="0068751A">
        <w:t>, or</w:t>
      </w:r>
    </w:p>
    <w:p w14:paraId="1489C727" w14:textId="255E91DE" w:rsidR="0068751A" w:rsidRPr="0068751A" w:rsidRDefault="0068751A" w:rsidP="00DD67CB">
      <w:pPr>
        <w:pStyle w:val="ListParagraph"/>
        <w:numPr>
          <w:ilvl w:val="0"/>
          <w:numId w:val="2"/>
        </w:numPr>
        <w:tabs>
          <w:tab w:val="clear" w:pos="567"/>
          <w:tab w:val="clear" w:pos="1134"/>
          <w:tab w:val="clear" w:pos="1701"/>
          <w:tab w:val="clear" w:pos="2268"/>
          <w:tab w:val="clear" w:pos="2835"/>
        </w:tabs>
        <w:overflowPunct/>
        <w:autoSpaceDE/>
        <w:autoSpaceDN/>
        <w:adjustRightInd/>
        <w:spacing w:before="60" w:after="120"/>
        <w:contextualSpacing w:val="0"/>
        <w:textAlignment w:val="auto"/>
      </w:pPr>
      <w:r w:rsidRPr="0068751A">
        <w:t>Explicitly include the costs of free entitlements within the SNF cost-recovery base.</w:t>
      </w:r>
    </w:p>
    <w:p w14:paraId="33B8A792" w14:textId="0C0CE983" w:rsidR="570FE29D" w:rsidRDefault="570FE29D" w:rsidP="00DD67CB">
      <w:pPr>
        <w:tabs>
          <w:tab w:val="clear" w:pos="567"/>
          <w:tab w:val="clear" w:pos="1134"/>
          <w:tab w:val="clear" w:pos="1701"/>
          <w:tab w:val="clear" w:pos="2268"/>
          <w:tab w:val="clear" w:pos="2835"/>
        </w:tabs>
        <w:spacing w:before="240" w:after="120"/>
        <w:rPr>
          <w:lang w:val="es-ES"/>
        </w:rPr>
      </w:pPr>
      <w:proofErr w:type="spellStart"/>
      <w:r w:rsidRPr="5500B96F">
        <w:rPr>
          <w:lang w:val="es-ES"/>
        </w:rPr>
        <w:t>With</w:t>
      </w:r>
      <w:proofErr w:type="spellEnd"/>
      <w:r w:rsidRPr="5500B96F">
        <w:rPr>
          <w:lang w:val="es-ES"/>
        </w:rPr>
        <w:t xml:space="preserve"> </w:t>
      </w:r>
      <w:proofErr w:type="spellStart"/>
      <w:r w:rsidRPr="5500B96F">
        <w:rPr>
          <w:lang w:val="es-ES"/>
        </w:rPr>
        <w:t>respect</w:t>
      </w:r>
      <w:proofErr w:type="spellEnd"/>
      <w:r w:rsidRPr="5500B96F">
        <w:rPr>
          <w:lang w:val="es-ES"/>
        </w:rPr>
        <w:t xml:space="preserve"> to free entitlements, we are not persuaded that any of the three options proposed would operate predictably in practice. </w:t>
      </w:r>
    </w:p>
    <w:p w14:paraId="53CD0334" w14:textId="77777777" w:rsidR="00BB16B6" w:rsidRDefault="00BB16B6" w:rsidP="00537D98">
      <w:pPr>
        <w:tabs>
          <w:tab w:val="clear" w:pos="567"/>
          <w:tab w:val="clear" w:pos="1134"/>
          <w:tab w:val="clear" w:pos="1701"/>
          <w:tab w:val="clear" w:pos="2268"/>
          <w:tab w:val="clear" w:pos="2835"/>
        </w:tabs>
        <w:overflowPunct/>
        <w:autoSpaceDE/>
        <w:autoSpaceDN/>
        <w:adjustRightInd/>
        <w:spacing w:after="120"/>
        <w:textAlignment w:val="auto"/>
      </w:pPr>
      <w:r>
        <w:t>Option 1 would automatically assign the free entitlement to the filing with the lowest cost submitted by an administration. While this would increase ITU’s revenue by preventing administrations from applying the benefit to high-cost filings, it would almost eliminate the practical value of the entitlement in many cases. Indeed, many administrations submit at least one low-cost API/A filing annually (around CHF 500), so the benefit would become negligible compared to the current system. This approach undermines the principle of equitable access and inclusiveness in accordance with the current procedures within ITU.</w:t>
      </w:r>
    </w:p>
    <w:p w14:paraId="67BB74C2" w14:textId="77777777" w:rsidR="00BB16B6" w:rsidRDefault="00BB16B6" w:rsidP="00537D98">
      <w:pPr>
        <w:tabs>
          <w:tab w:val="clear" w:pos="567"/>
          <w:tab w:val="clear" w:pos="1134"/>
          <w:tab w:val="clear" w:pos="1701"/>
          <w:tab w:val="clear" w:pos="2268"/>
          <w:tab w:val="clear" w:pos="2835"/>
        </w:tabs>
        <w:overflowPunct/>
        <w:autoSpaceDE/>
        <w:autoSpaceDN/>
        <w:adjustRightInd/>
        <w:spacing w:after="120"/>
        <w:textAlignment w:val="auto"/>
      </w:pPr>
      <w:r>
        <w:t xml:space="preserve">Under the proposal in option 2, the first filing sent by an administration </w:t>
      </w:r>
      <w:proofErr w:type="gramStart"/>
      <w:r>
        <w:t>in a given year</w:t>
      </w:r>
      <w:proofErr w:type="gramEnd"/>
      <w:r>
        <w:t xml:space="preserve"> would automatically be free, regardless of complexity. Although this might seem neutral, administrations could easily adapt by submitting their most expensive filing first, which would require additional planning and bureaucracy. The change would not, apparently, improve cost recovery for ITU</w:t>
      </w:r>
      <w:r w:rsidRPr="00E03D95">
        <w:t xml:space="preserve"> </w:t>
      </w:r>
      <w:r>
        <w:t>significantly, as the financial impact would remain limited, while adding unnecessary administrative burden for both administrations and the Bureau.</w:t>
      </w:r>
    </w:p>
    <w:p w14:paraId="161F3A3D" w14:textId="77777777" w:rsidR="00BB16B6" w:rsidRPr="0057256A" w:rsidRDefault="00BB16B6" w:rsidP="00537D98">
      <w:pPr>
        <w:tabs>
          <w:tab w:val="clear" w:pos="567"/>
          <w:tab w:val="clear" w:pos="1134"/>
          <w:tab w:val="clear" w:pos="1701"/>
          <w:tab w:val="clear" w:pos="2268"/>
          <w:tab w:val="clear" w:pos="2835"/>
        </w:tabs>
        <w:overflowPunct/>
        <w:autoSpaceDE/>
        <w:autoSpaceDN/>
        <w:adjustRightInd/>
        <w:spacing w:after="120"/>
        <w:textAlignment w:val="auto"/>
      </w:pPr>
      <w:r>
        <w:lastRenderedPageBreak/>
        <w:t>Option 3 above would allow administrations to continue choosing which filing benefits from the free entitlement but would incorporate the associated costs into the global cost-recovery model, spreading them across all filings. While this would increase overall fees and partially offset under-recovery, it raises fairness concerns because not all filing types contribute equally to complexity. Historically, free entitlements have been funded by ITU’s regular budget as a membership benefit, and shifting this cost to the cost-recovery framework would represent a significant policy change requiring broader discussion and justification.</w:t>
      </w:r>
    </w:p>
    <w:p w14:paraId="4AFCD494" w14:textId="6BD0C625" w:rsidR="00022B69" w:rsidRPr="007D42ED" w:rsidRDefault="570FE29D" w:rsidP="00537D98">
      <w:pPr>
        <w:tabs>
          <w:tab w:val="clear" w:pos="567"/>
          <w:tab w:val="clear" w:pos="1134"/>
          <w:tab w:val="clear" w:pos="1701"/>
          <w:tab w:val="clear" w:pos="2268"/>
          <w:tab w:val="clear" w:pos="2835"/>
        </w:tabs>
        <w:overflowPunct/>
        <w:autoSpaceDE/>
        <w:autoSpaceDN/>
        <w:adjustRightInd/>
        <w:spacing w:after="120"/>
        <w:textAlignment w:val="auto"/>
        <w:rPr>
          <w:b/>
          <w:bCs/>
          <w:lang w:val="es-ES"/>
        </w:rPr>
      </w:pPr>
      <w:r w:rsidRPr="55B0DC5C">
        <w:rPr>
          <w:lang w:val="en-US"/>
        </w:rPr>
        <w:t xml:space="preserve">These options risk introducing arbitrary outcomes driven by filing </w:t>
      </w:r>
      <w:proofErr w:type="gramStart"/>
      <w:r w:rsidRPr="55B0DC5C">
        <w:rPr>
          <w:lang w:val="en-US"/>
        </w:rPr>
        <w:t>order</w:t>
      </w:r>
      <w:proofErr w:type="gramEnd"/>
      <w:r w:rsidRPr="55B0DC5C">
        <w:rPr>
          <w:lang w:val="en-US"/>
        </w:rPr>
        <w:t xml:space="preserve"> or initial cost estimates, rather than by a stable and transparent assessment of resource use. Given that filing complexity and effort are often only fully understood over the lifecycle of a submission, rigid allocation rules may inadvertently reduce, rather than enhance, fairness and predictability. </w:t>
      </w:r>
    </w:p>
    <w:bookmarkEnd w:id="5"/>
    <w:bookmarkEnd w:id="10"/>
    <w:p w14:paraId="257674B4" w14:textId="4876BDB1" w:rsidR="00A514A4" w:rsidRDefault="00050AD9" w:rsidP="00DD67CB">
      <w:pPr>
        <w:tabs>
          <w:tab w:val="clear" w:pos="567"/>
          <w:tab w:val="clear" w:pos="1134"/>
          <w:tab w:val="clear" w:pos="1701"/>
          <w:tab w:val="clear" w:pos="2268"/>
          <w:tab w:val="clear" w:pos="2835"/>
        </w:tabs>
        <w:overflowPunct/>
        <w:autoSpaceDE/>
        <w:autoSpaceDN/>
        <w:adjustRightInd/>
        <w:spacing w:before="480" w:after="120"/>
        <w:textAlignment w:val="auto"/>
        <w:rPr>
          <w:b/>
          <w:bCs/>
        </w:rPr>
      </w:pPr>
      <w:r w:rsidRPr="00050AD9">
        <w:rPr>
          <w:b/>
          <w:bCs/>
        </w:rPr>
        <w:t xml:space="preserve">Determination of the </w:t>
      </w:r>
      <w:r w:rsidR="00635CBF">
        <w:rPr>
          <w:b/>
          <w:bCs/>
        </w:rPr>
        <w:t xml:space="preserve">detailed methodology </w:t>
      </w:r>
    </w:p>
    <w:p w14:paraId="755484D9" w14:textId="77777777" w:rsidR="00AE66E7" w:rsidRDefault="00323A15" w:rsidP="00537D98">
      <w:pPr>
        <w:tabs>
          <w:tab w:val="clear" w:pos="567"/>
          <w:tab w:val="clear" w:pos="1134"/>
          <w:tab w:val="clear" w:pos="1701"/>
          <w:tab w:val="clear" w:pos="2268"/>
          <w:tab w:val="clear" w:pos="2835"/>
        </w:tabs>
        <w:overflowPunct/>
        <w:autoSpaceDE/>
        <w:autoSpaceDN/>
        <w:adjustRightInd/>
        <w:spacing w:after="120"/>
        <w:textAlignment w:val="auto"/>
      </w:pPr>
      <w:r>
        <w:t>Secretariat propose</w:t>
      </w:r>
      <w:r w:rsidR="007F30E3">
        <w:t xml:space="preserve"> t</w:t>
      </w:r>
      <w:r w:rsidR="00FE0EDC">
        <w:t>he costs for the direct elements of SNF work will be calculated using an ABC (Activity-Based Costing) methodology</w:t>
      </w:r>
      <w:r w:rsidR="00CA08FD">
        <w:t>.</w:t>
      </w:r>
      <w:r w:rsidR="00CA08FD" w:rsidRPr="00CA08FD">
        <w:t xml:space="preserve"> </w:t>
      </w:r>
      <w:r w:rsidR="00CA08FD" w:rsidRPr="00AA6E96">
        <w:t xml:space="preserve">Indirect </w:t>
      </w:r>
      <w:r w:rsidR="00CA08FD">
        <w:t>c</w:t>
      </w:r>
      <w:r w:rsidR="00CA08FD" w:rsidRPr="00AA6E96">
        <w:t>ost</w:t>
      </w:r>
      <w:r w:rsidR="00CA08FD">
        <w:t xml:space="preserve"> elements will also be calculated using similar methods </w:t>
      </w:r>
      <w:r w:rsidR="007F30E3">
        <w:t>through proportional usage and time-based drivers.</w:t>
      </w:r>
      <w:r>
        <w:t xml:space="preserve"> </w:t>
      </w:r>
    </w:p>
    <w:p w14:paraId="56333947" w14:textId="6E383936" w:rsidR="00AE66E7" w:rsidRDefault="00215A16" w:rsidP="00537D98">
      <w:pPr>
        <w:tabs>
          <w:tab w:val="clear" w:pos="567"/>
          <w:tab w:val="clear" w:pos="1134"/>
          <w:tab w:val="clear" w:pos="1701"/>
          <w:tab w:val="clear" w:pos="2268"/>
          <w:tab w:val="clear" w:pos="2835"/>
        </w:tabs>
        <w:overflowPunct/>
        <w:autoSpaceDE/>
        <w:autoSpaceDN/>
        <w:adjustRightInd/>
        <w:spacing w:after="120"/>
        <w:textAlignment w:val="auto"/>
      </w:pPr>
      <w:r>
        <w:t xml:space="preserve">We are looking forward to </w:t>
      </w:r>
      <w:proofErr w:type="gramStart"/>
      <w:r>
        <w:t>have</w:t>
      </w:r>
      <w:proofErr w:type="gramEnd"/>
      <w:r>
        <w:t xml:space="preserve"> more clarity </w:t>
      </w:r>
      <w:r w:rsidR="00672B15">
        <w:t xml:space="preserve">on the methodology </w:t>
      </w:r>
      <w:r>
        <w:t>and we understand</w:t>
      </w:r>
      <w:r w:rsidR="006046F4">
        <w:t xml:space="preserve"> from</w:t>
      </w:r>
      <w:r>
        <w:t xml:space="preserve"> the information session on the 16 Decembre, that ITU Secretariat will share more details of the </w:t>
      </w:r>
      <w:r w:rsidR="00672B15">
        <w:t>exact methodology</w:t>
      </w:r>
      <w:r>
        <w:t xml:space="preserve"> during WG FHR. </w:t>
      </w:r>
    </w:p>
    <w:p w14:paraId="5E1F78E9" w14:textId="19498E30" w:rsidR="00050AD9" w:rsidRDefault="00AE66E7" w:rsidP="00DD67CB">
      <w:pPr>
        <w:tabs>
          <w:tab w:val="clear" w:pos="567"/>
          <w:tab w:val="clear" w:pos="1134"/>
          <w:tab w:val="clear" w:pos="1701"/>
          <w:tab w:val="clear" w:pos="2268"/>
          <w:tab w:val="clear" w:pos="2835"/>
        </w:tabs>
        <w:overflowPunct/>
        <w:autoSpaceDE/>
        <w:autoSpaceDN/>
        <w:adjustRightInd/>
        <w:spacing w:before="240" w:after="120"/>
        <w:textAlignment w:val="auto"/>
      </w:pPr>
      <w:r>
        <w:t>We would however like to note that:</w:t>
      </w:r>
    </w:p>
    <w:p w14:paraId="3239A805" w14:textId="269635D0" w:rsidR="7ECF69B3" w:rsidRDefault="7EEA2FA3" w:rsidP="00537D98">
      <w:pPr>
        <w:tabs>
          <w:tab w:val="clear" w:pos="567"/>
          <w:tab w:val="clear" w:pos="1134"/>
          <w:tab w:val="clear" w:pos="1701"/>
          <w:tab w:val="clear" w:pos="2268"/>
          <w:tab w:val="clear" w:pos="2835"/>
        </w:tabs>
        <w:spacing w:after="120"/>
      </w:pPr>
      <w:r w:rsidRPr="55B0DC5C">
        <w:rPr>
          <w:rFonts w:eastAsia="Calibri" w:cs="Calibri"/>
          <w:szCs w:val="24"/>
          <w:lang w:val="en-US"/>
        </w:rPr>
        <w:t>While the objective of greater transparency is welcome,</w:t>
      </w:r>
      <w:r w:rsidR="09459444" w:rsidRPr="00C46909">
        <w:rPr>
          <w:lang w:val="en-US"/>
        </w:rPr>
        <w:t xml:space="preserve"> we note that the proposed </w:t>
      </w:r>
      <w:r w:rsidR="09459444" w:rsidRPr="55B0DC5C">
        <w:rPr>
          <w:lang w:val="en-US"/>
        </w:rPr>
        <w:t xml:space="preserve">ABC </w:t>
      </w:r>
      <w:r w:rsidR="09459444" w:rsidRPr="00C46909">
        <w:rPr>
          <w:lang w:val="en-US"/>
        </w:rPr>
        <w:t>framework has not yet been reviewed, tested, or validated in practice.</w:t>
      </w:r>
      <w:r w:rsidR="09459444" w:rsidRPr="55B0DC5C">
        <w:rPr>
          <w:lang w:val="en-US"/>
        </w:rPr>
        <w:t xml:space="preserve"> Some key parameters</w:t>
      </w:r>
      <w:r w:rsidR="70328BD3" w:rsidRPr="55B0DC5C">
        <w:rPr>
          <w:lang w:val="en-US"/>
        </w:rPr>
        <w:t xml:space="preserve">, </w:t>
      </w:r>
      <w:r w:rsidR="09459444" w:rsidRPr="55B0DC5C">
        <w:rPr>
          <w:lang w:val="en-US"/>
        </w:rPr>
        <w:t>such as activity drivers, allocation keys, and the treatment of shared services</w:t>
      </w:r>
      <w:r w:rsidR="1CCD513F" w:rsidRPr="55B0DC5C">
        <w:rPr>
          <w:lang w:val="en-US"/>
        </w:rPr>
        <w:t xml:space="preserve"> are </w:t>
      </w:r>
      <w:r w:rsidR="09459444" w:rsidRPr="55B0DC5C">
        <w:rPr>
          <w:lang w:val="en-US"/>
        </w:rPr>
        <w:t>still to be defined</w:t>
      </w:r>
      <w:r w:rsidR="4DD02F27" w:rsidRPr="55B0DC5C">
        <w:rPr>
          <w:lang w:val="en-US"/>
        </w:rPr>
        <w:t>/</w:t>
      </w:r>
      <w:r w:rsidR="0076025F" w:rsidRPr="55B0DC5C">
        <w:rPr>
          <w:lang w:val="en-US"/>
        </w:rPr>
        <w:t>clarified</w:t>
      </w:r>
      <w:r w:rsidR="4DD02F27" w:rsidRPr="55B0DC5C">
        <w:rPr>
          <w:lang w:val="en-US"/>
        </w:rPr>
        <w:t xml:space="preserve"> at this time. In the absence of a completed and reviewed cost model, it is difficult for Members and stakeholders to assess whether the outputs will accurately reflect actual resource consumption or whether they will simply formalize existing assumptions. </w:t>
      </w:r>
      <w:r w:rsidR="7ECF69B3" w:rsidRPr="55B0DC5C">
        <w:rPr>
          <w:rFonts w:eastAsia="Calibri" w:cs="Calibri"/>
          <w:szCs w:val="24"/>
          <w:lang w:val="en-US"/>
        </w:rPr>
        <w:t>Drawing fee implications before such validation risks pre-empting the evidence-based decision-making that Council has requested.</w:t>
      </w:r>
    </w:p>
    <w:p w14:paraId="07340F42" w14:textId="003889D8" w:rsidR="7ECF69B3" w:rsidRDefault="7ECF69B3" w:rsidP="00537D98">
      <w:pPr>
        <w:tabs>
          <w:tab w:val="clear" w:pos="567"/>
          <w:tab w:val="clear" w:pos="1134"/>
          <w:tab w:val="clear" w:pos="1701"/>
          <w:tab w:val="clear" w:pos="2268"/>
          <w:tab w:val="clear" w:pos="2835"/>
        </w:tabs>
        <w:spacing w:after="120"/>
      </w:pPr>
      <w:r w:rsidRPr="55B0DC5C">
        <w:rPr>
          <w:rFonts w:eastAsia="Calibri" w:cs="Calibri"/>
          <w:szCs w:val="24"/>
        </w:rPr>
        <w:t xml:space="preserve">Also, the methodology does not yet explain how cost-efficiency or cost-containment considerations will be embedded. As presented, the framework appears open-ended, with fees adjusting to costs incurred, rather than costs being subject to defined efficiency expectations or performance benchmarks. Transparency alone is not sufficient; without clear safeguards, there is a risk that the model functions as a cost pass-through rather than as an incentive to improve processes and manage resources efficiently. </w:t>
      </w:r>
    </w:p>
    <w:p w14:paraId="764F59DA" w14:textId="3AB1AE90" w:rsidR="7ECF69B3" w:rsidRDefault="7ECF69B3" w:rsidP="00537D98">
      <w:pPr>
        <w:tabs>
          <w:tab w:val="clear" w:pos="567"/>
          <w:tab w:val="clear" w:pos="1134"/>
          <w:tab w:val="clear" w:pos="1701"/>
          <w:tab w:val="clear" w:pos="2268"/>
          <w:tab w:val="clear" w:pos="2835"/>
        </w:tabs>
        <w:spacing w:after="120"/>
        <w:rPr>
          <w:rFonts w:eastAsia="Calibri" w:cs="Calibri"/>
          <w:szCs w:val="24"/>
        </w:rPr>
      </w:pPr>
      <w:r w:rsidRPr="55B0DC5C">
        <w:rPr>
          <w:rFonts w:eastAsia="Calibri" w:cs="Calibri"/>
          <w:szCs w:val="24"/>
        </w:rPr>
        <w:t xml:space="preserve">We also have reservations about the reliance on benchmarking against other regulatory authorities to justify overhead treatment. National regulators operate under </w:t>
      </w:r>
      <w:r w:rsidRPr="00C46909">
        <w:rPr>
          <w:rFonts w:eastAsia="Calibri" w:cs="Calibri"/>
          <w:szCs w:val="24"/>
        </w:rPr>
        <w:t>very different</w:t>
      </w:r>
      <w:r w:rsidRPr="55B0DC5C">
        <w:rPr>
          <w:rFonts w:eastAsia="Calibri" w:cs="Calibri"/>
          <w:szCs w:val="24"/>
        </w:rPr>
        <w:t xml:space="preserve"> institutional, legal, and funding arrangements, with statutory cost-recovery powers and budgetary autonomy that are not directly comparable to ITU’s membership-based model and assessed-contribution framework. While such examples may offer general insights, they do not, on their own, establish what constitutes appropriate or causally linked overhead allocation within ITU.</w:t>
      </w:r>
    </w:p>
    <w:p w14:paraId="37E8327D" w14:textId="43B2723B" w:rsidR="00362B1A" w:rsidRDefault="00362B1A" w:rsidP="00537D98">
      <w:pPr>
        <w:tabs>
          <w:tab w:val="clear" w:pos="567"/>
          <w:tab w:val="clear" w:pos="1134"/>
          <w:tab w:val="clear" w:pos="1701"/>
          <w:tab w:val="clear" w:pos="2268"/>
          <w:tab w:val="clear" w:pos="2835"/>
        </w:tabs>
        <w:overflowPunct/>
        <w:autoSpaceDE/>
        <w:autoSpaceDN/>
        <w:adjustRightInd/>
        <w:spacing w:after="120"/>
        <w:textAlignment w:val="auto"/>
      </w:pPr>
      <w:r>
        <w:lastRenderedPageBreak/>
        <w:t>GSOA considers that indirect cost allocation be grounded in audited data from BR operations rather than external benchmarks. The methodology should be transparent, clearly defining cost drivers, and undergo review by the Expert Group on Decision 482 (EG-482) before implementation.</w:t>
      </w:r>
    </w:p>
    <w:p w14:paraId="7B248D27" w14:textId="085194C5" w:rsidR="00E47EDA" w:rsidRDefault="00516136" w:rsidP="00DD67CB">
      <w:pPr>
        <w:tabs>
          <w:tab w:val="clear" w:pos="567"/>
          <w:tab w:val="clear" w:pos="1134"/>
          <w:tab w:val="clear" w:pos="1701"/>
          <w:tab w:val="clear" w:pos="2268"/>
          <w:tab w:val="clear" w:pos="2835"/>
        </w:tabs>
        <w:overflowPunct/>
        <w:autoSpaceDE/>
        <w:autoSpaceDN/>
        <w:adjustRightInd/>
        <w:spacing w:before="240" w:after="120"/>
        <w:textAlignment w:val="auto"/>
        <w:rPr>
          <w:b/>
          <w:bCs/>
        </w:rPr>
      </w:pPr>
      <w:r w:rsidRPr="00516136">
        <w:rPr>
          <w:b/>
          <w:bCs/>
        </w:rPr>
        <w:t>Introduce an annual true-up / true-down mechanism</w:t>
      </w:r>
    </w:p>
    <w:p w14:paraId="745F9F8D" w14:textId="3704CD2B" w:rsidR="00323DDE" w:rsidRDefault="00A3006D" w:rsidP="00537D98">
      <w:pPr>
        <w:tabs>
          <w:tab w:val="clear" w:pos="567"/>
          <w:tab w:val="clear" w:pos="1134"/>
          <w:tab w:val="clear" w:pos="1701"/>
          <w:tab w:val="clear" w:pos="2268"/>
          <w:tab w:val="clear" w:pos="2835"/>
          <w:tab w:val="num" w:pos="720"/>
        </w:tabs>
        <w:overflowPunct/>
        <w:autoSpaceDE/>
        <w:autoSpaceDN/>
        <w:adjustRightInd/>
        <w:spacing w:after="120"/>
        <w:textAlignment w:val="auto"/>
      </w:pPr>
      <w:r>
        <w:t xml:space="preserve">Due to difficulty to </w:t>
      </w:r>
      <w:r w:rsidR="00155F59">
        <w:t xml:space="preserve">forecast </w:t>
      </w:r>
      <w:r>
        <w:t xml:space="preserve">demand to </w:t>
      </w:r>
      <w:r w:rsidR="00155F59">
        <w:t xml:space="preserve">anticipate </w:t>
      </w:r>
      <w:r>
        <w:t xml:space="preserve">service volume, </w:t>
      </w:r>
      <w:r w:rsidR="004C620E">
        <w:t>p</w:t>
      </w:r>
      <w:r w:rsidR="00323DDE" w:rsidRPr="00323DDE">
        <w:t>roposal</w:t>
      </w:r>
      <w:r w:rsidR="004C620E">
        <w:t xml:space="preserve"> is</w:t>
      </w:r>
      <w:r w:rsidR="00323DDE" w:rsidRPr="00323DDE">
        <w:t xml:space="preserve"> to compare </w:t>
      </w:r>
      <w:r w:rsidR="00323DDE">
        <w:t>a</w:t>
      </w:r>
      <w:r w:rsidR="00323DDE" w:rsidRPr="00323DDE">
        <w:t>ctual SNF costs vs. actual SNF revenues</w:t>
      </w:r>
      <w:r w:rsidR="00323DDE">
        <w:t xml:space="preserve"> and adjust in future fees </w:t>
      </w:r>
      <w:r w:rsidR="00323DDE" w:rsidRPr="00323DDE">
        <w:t>annually</w:t>
      </w:r>
      <w:r w:rsidR="00323DDE">
        <w:t>.</w:t>
      </w:r>
    </w:p>
    <w:p w14:paraId="5BABCBA1" w14:textId="71E44B0D" w:rsidR="007B76AB" w:rsidRDefault="24DCBA27" w:rsidP="00537D98">
      <w:pPr>
        <w:tabs>
          <w:tab w:val="clear" w:pos="567"/>
          <w:tab w:val="clear" w:pos="1134"/>
          <w:tab w:val="clear" w:pos="1701"/>
          <w:tab w:val="clear" w:pos="2268"/>
          <w:tab w:val="clear" w:pos="2835"/>
        </w:tabs>
        <w:overflowPunct/>
        <w:autoSpaceDE/>
        <w:autoSpaceDN/>
        <w:adjustRightInd/>
        <w:spacing w:after="120"/>
        <w:textAlignment w:val="auto"/>
      </w:pPr>
      <w:proofErr w:type="spellStart"/>
      <w:r w:rsidRPr="55B0DC5C">
        <w:rPr>
          <w:rFonts w:eastAsia="Calibri" w:cs="Calibri"/>
          <w:szCs w:val="24"/>
          <w:lang w:val="es-ES"/>
        </w:rPr>
        <w:t>With</w:t>
      </w:r>
      <w:proofErr w:type="spellEnd"/>
      <w:r w:rsidRPr="55B0DC5C">
        <w:rPr>
          <w:rFonts w:eastAsia="Calibri" w:cs="Calibri"/>
          <w:szCs w:val="24"/>
          <w:lang w:val="es-ES"/>
        </w:rPr>
        <w:t xml:space="preserve"> </w:t>
      </w:r>
      <w:proofErr w:type="spellStart"/>
      <w:r w:rsidRPr="55B0DC5C">
        <w:rPr>
          <w:rFonts w:eastAsia="Calibri" w:cs="Calibri"/>
          <w:szCs w:val="24"/>
          <w:lang w:val="es-ES"/>
        </w:rPr>
        <w:t>respect</w:t>
      </w:r>
      <w:proofErr w:type="spellEnd"/>
      <w:r w:rsidRPr="55B0DC5C">
        <w:rPr>
          <w:rFonts w:eastAsia="Calibri" w:cs="Calibri"/>
          <w:szCs w:val="24"/>
          <w:lang w:val="es-ES"/>
        </w:rPr>
        <w:t xml:space="preserve"> to the proposed annual true-up / true-down mechanism, we have concerns about its implications for </w:t>
      </w:r>
      <w:r w:rsidRPr="00C46909">
        <w:rPr>
          <w:rFonts w:eastAsia="Calibri" w:cs="Calibri"/>
          <w:szCs w:val="24"/>
          <w:lang w:val="es-ES"/>
        </w:rPr>
        <w:t xml:space="preserve">predictability and risk </w:t>
      </w:r>
      <w:r w:rsidRPr="55B0DC5C">
        <w:rPr>
          <w:rFonts w:eastAsia="Calibri" w:cs="Calibri"/>
          <w:szCs w:val="24"/>
          <w:lang w:val="es-ES"/>
        </w:rPr>
        <w:t xml:space="preserve">allocation. While presented as a neutral reconciliation tool, in practice it would introduce year-to-year uncertainty in fee levels, with operators bearing the full downside risk of volume fluctuations, while the Secretariat bears none of the corresponding exposure. This asymmetry is particularly challenging for operators that require stable and foreseeable regulatory costs to support long-term </w:t>
      </w:r>
      <w:proofErr w:type="spellStart"/>
      <w:r w:rsidRPr="55B0DC5C">
        <w:rPr>
          <w:rFonts w:eastAsia="Calibri" w:cs="Calibri"/>
          <w:szCs w:val="24"/>
          <w:lang w:val="es-ES"/>
        </w:rPr>
        <w:t>investment</w:t>
      </w:r>
      <w:proofErr w:type="spellEnd"/>
      <w:r w:rsidRPr="55B0DC5C">
        <w:rPr>
          <w:rFonts w:eastAsia="Calibri" w:cs="Calibri"/>
          <w:szCs w:val="24"/>
          <w:lang w:val="es-ES"/>
        </w:rPr>
        <w:t xml:space="preserve"> and </w:t>
      </w:r>
      <w:proofErr w:type="spellStart"/>
      <w:r w:rsidRPr="55B0DC5C">
        <w:rPr>
          <w:rFonts w:eastAsia="Calibri" w:cs="Calibri"/>
          <w:szCs w:val="24"/>
          <w:lang w:val="es-ES"/>
        </w:rPr>
        <w:t>filing</w:t>
      </w:r>
      <w:proofErr w:type="spellEnd"/>
      <w:r w:rsidRPr="55B0DC5C">
        <w:rPr>
          <w:rFonts w:eastAsia="Calibri" w:cs="Calibri"/>
          <w:szCs w:val="24"/>
          <w:lang w:val="es-ES"/>
        </w:rPr>
        <w:t xml:space="preserve"> </w:t>
      </w:r>
      <w:proofErr w:type="spellStart"/>
      <w:r w:rsidRPr="55B0DC5C">
        <w:rPr>
          <w:rFonts w:eastAsia="Calibri" w:cs="Calibri"/>
          <w:szCs w:val="24"/>
          <w:lang w:val="es-ES"/>
        </w:rPr>
        <w:t>strategies</w:t>
      </w:r>
      <w:proofErr w:type="spellEnd"/>
      <w:r w:rsidRPr="55B0DC5C">
        <w:rPr>
          <w:rFonts w:eastAsia="Calibri" w:cs="Calibri"/>
          <w:szCs w:val="24"/>
          <w:lang w:val="es-ES"/>
        </w:rPr>
        <w:t>.</w:t>
      </w:r>
    </w:p>
    <w:p w14:paraId="008A4C17" w14:textId="539EA348" w:rsidR="00E742EF" w:rsidRDefault="24DCBA27" w:rsidP="00537D98">
      <w:pPr>
        <w:overflowPunct/>
        <w:autoSpaceDE/>
        <w:autoSpaceDN/>
        <w:adjustRightInd/>
        <w:spacing w:after="120"/>
        <w:textAlignment w:val="auto"/>
        <w:rPr>
          <w:rFonts w:eastAsia="Calibri" w:cs="Calibri"/>
          <w:szCs w:val="24"/>
          <w:lang w:val="es-ES"/>
        </w:rPr>
      </w:pPr>
      <w:r w:rsidRPr="55B0DC5C">
        <w:rPr>
          <w:rFonts w:eastAsia="Calibri" w:cs="Calibri"/>
          <w:szCs w:val="24"/>
          <w:lang w:val="es-ES"/>
        </w:rPr>
        <w:t xml:space="preserve">oreover, in a </w:t>
      </w:r>
      <w:r w:rsidRPr="00C46909">
        <w:rPr>
          <w:rFonts w:eastAsia="Calibri" w:cs="Calibri"/>
          <w:szCs w:val="24"/>
          <w:lang w:val="es-ES"/>
        </w:rPr>
        <w:t xml:space="preserve">declining-volume </w:t>
      </w:r>
      <w:r w:rsidRPr="55B0DC5C">
        <w:rPr>
          <w:rFonts w:eastAsia="Calibri" w:cs="Calibri"/>
          <w:szCs w:val="24"/>
          <w:lang w:val="es-ES"/>
        </w:rPr>
        <w:t xml:space="preserve">environment, </w:t>
      </w:r>
      <w:r w:rsidR="00DA1BD5" w:rsidRPr="00D20B7C">
        <w:t>Such volatility risks discouraging filings, particularly for smaller operators, and could trigger a downward spiral: higher fees lead to fewer filings, which in turn necessitates further fee increases</w:t>
      </w:r>
      <w:r w:rsidRPr="55B0DC5C">
        <w:rPr>
          <w:rFonts w:eastAsia="Calibri" w:cs="Calibri"/>
          <w:szCs w:val="24"/>
          <w:lang w:val="es-ES"/>
        </w:rPr>
        <w:t>effectively converting SNF fees into an open-ended cost pass-through rather than a predictable, usage-based regulatory charge.</w:t>
      </w:r>
    </w:p>
    <w:p w14:paraId="701FB7CA" w14:textId="1DB5A6DF" w:rsidR="00B21C65" w:rsidRPr="00D20B7C" w:rsidRDefault="00B21C65" w:rsidP="00537D98">
      <w:pPr>
        <w:tabs>
          <w:tab w:val="clear" w:pos="567"/>
          <w:tab w:val="clear" w:pos="1134"/>
          <w:tab w:val="clear" w:pos="1701"/>
          <w:tab w:val="clear" w:pos="2268"/>
          <w:tab w:val="clear" w:pos="2835"/>
        </w:tabs>
        <w:overflowPunct/>
        <w:autoSpaceDE/>
        <w:autoSpaceDN/>
        <w:adjustRightInd/>
        <w:spacing w:after="120"/>
        <w:textAlignment w:val="auto"/>
      </w:pPr>
      <w:r>
        <w:t>Additionally</w:t>
      </w:r>
      <w:r w:rsidRPr="00D20B7C">
        <w:t xml:space="preserve">, satellite operators require predictability in their cost planning because filings are tied to long-term investment decisions and multi-year deployment strategies. Frequent fee fluctuations would undermine financial planning and increase uncertainty for operators, potentially impacting global connectivity projects. </w:t>
      </w:r>
      <w:r>
        <w:t>From a GSOA perspective, it seems more reasonable to m</w:t>
      </w:r>
      <w:r w:rsidRPr="00D20B7C">
        <w:t xml:space="preserve">aintain the current practice of revising fees only when justified by </w:t>
      </w:r>
      <w:r w:rsidRPr="0076025F">
        <w:rPr>
          <w:spacing w:val="-2"/>
        </w:rPr>
        <w:t>substantial changes, subject to Council approval and with due involvement of the</w:t>
      </w:r>
      <w:r>
        <w:t xml:space="preserve"> EG</w:t>
      </w:r>
      <w:r w:rsidR="0076025F">
        <w:t>-DEC</w:t>
      </w:r>
      <w:r>
        <w:t>482 group</w:t>
      </w:r>
      <w:r w:rsidRPr="00D20B7C">
        <w:t>, to ensure stability and predictability for all stakeholders.</w:t>
      </w:r>
    </w:p>
    <w:p w14:paraId="743B11E0" w14:textId="2CD8A250" w:rsidR="00E742EF" w:rsidRPr="00456EE1" w:rsidRDefault="00E742EF" w:rsidP="00DD67CB">
      <w:pPr>
        <w:tabs>
          <w:tab w:val="clear" w:pos="567"/>
          <w:tab w:val="clear" w:pos="1134"/>
          <w:tab w:val="clear" w:pos="1701"/>
          <w:tab w:val="clear" w:pos="2268"/>
          <w:tab w:val="clear" w:pos="2835"/>
        </w:tabs>
        <w:overflowPunct/>
        <w:autoSpaceDE/>
        <w:autoSpaceDN/>
        <w:adjustRightInd/>
        <w:spacing w:before="480" w:after="120"/>
        <w:textAlignment w:val="auto"/>
        <w:rPr>
          <w:b/>
          <w:bCs/>
        </w:rPr>
      </w:pPr>
      <w:r w:rsidRPr="00456EE1">
        <w:rPr>
          <w:b/>
          <w:bCs/>
        </w:rPr>
        <w:t>Other comments</w:t>
      </w:r>
    </w:p>
    <w:p w14:paraId="26F209D4" w14:textId="6C8AFA65" w:rsidR="00CF0580" w:rsidRDefault="00CF0580" w:rsidP="00537D98">
      <w:pPr>
        <w:tabs>
          <w:tab w:val="clear" w:pos="567"/>
          <w:tab w:val="clear" w:pos="1134"/>
          <w:tab w:val="clear" w:pos="1701"/>
          <w:tab w:val="clear" w:pos="2268"/>
          <w:tab w:val="clear" w:pos="2835"/>
        </w:tabs>
        <w:overflowPunct/>
        <w:autoSpaceDE/>
        <w:autoSpaceDN/>
        <w:adjustRightInd/>
        <w:spacing w:after="120"/>
        <w:textAlignment w:val="auto"/>
      </w:pPr>
      <w:r>
        <w:t>More generally, we would stress that cost recovery should not be conflated with budget recovery. The objective of SNF fees is to recover the costs causally attributable to the provision of a specific regulatory service, not to guarantee revenue sufficiency against broader budgetary pressures</w:t>
      </w:r>
      <w:r w:rsidR="000A00DB">
        <w:t>.</w:t>
      </w:r>
    </w:p>
    <w:p w14:paraId="6D2F62FB" w14:textId="036114B6" w:rsidR="00551E9A" w:rsidRPr="0057256A" w:rsidRDefault="00EB0AFF" w:rsidP="00537D98">
      <w:pPr>
        <w:tabs>
          <w:tab w:val="clear" w:pos="567"/>
          <w:tab w:val="clear" w:pos="1134"/>
          <w:tab w:val="clear" w:pos="1701"/>
          <w:tab w:val="clear" w:pos="2268"/>
          <w:tab w:val="clear" w:pos="2835"/>
        </w:tabs>
        <w:overflowPunct/>
        <w:autoSpaceDE/>
        <w:autoSpaceDN/>
        <w:adjustRightInd/>
        <w:spacing w:after="120"/>
        <w:textAlignment w:val="auto"/>
      </w:pPr>
      <w:r>
        <w:t>T</w:t>
      </w:r>
      <w:r w:rsidR="00551E9A">
        <w:t>he Secretariat asserts that the current SNF cost-recovery model does not reflect operational realities, pointing to structural underfunding and processing delays of up to 14 months. However, the proposal does not specify which filing types have become more complex, it does not establish a clear link between workload growth, staffing needs, and proposed cost adjustments, and omits any analysis of recent WRC decisions that may have contributed to this complexity. Before any reform is endorsed, it seems necessary for the Secretariat to provide a comprehensive evidence base. This should include a breakdown of filings by category and complexity, quantitative data on workload increases and corresponding staffing requirements, and a root-cause analysis of delays that distinguishes systemic issues from temporary spikes.</w:t>
      </w:r>
    </w:p>
    <w:p w14:paraId="1299BBDC" w14:textId="78562A4F" w:rsidR="00CF0580" w:rsidRDefault="00CF0580" w:rsidP="00537D98">
      <w:pPr>
        <w:tabs>
          <w:tab w:val="clear" w:pos="567"/>
          <w:tab w:val="clear" w:pos="1134"/>
          <w:tab w:val="clear" w:pos="1701"/>
          <w:tab w:val="clear" w:pos="2268"/>
          <w:tab w:val="clear" w:pos="2835"/>
        </w:tabs>
        <w:overflowPunct/>
        <w:autoSpaceDE/>
        <w:autoSpaceDN/>
        <w:adjustRightInd/>
        <w:spacing w:after="120"/>
        <w:textAlignment w:val="auto"/>
      </w:pPr>
      <w:r>
        <w:lastRenderedPageBreak/>
        <w:t xml:space="preserve">We also note that the proposals do not envisage the establishment of </w:t>
      </w:r>
      <w:r w:rsidR="000A00DB">
        <w:t>an</w:t>
      </w:r>
      <w:r>
        <w:t xml:space="preserve"> expert group, despite the technical and policy sensitivity of several elements under discussion. Certain aspects—most notably the treatment of free entitlements, complexity drivers, and indirect cost allocation—would benefit from expert input, including operational, economic, and industry perspectives. Such an approach could help ensure that reforms are grounded in practical experience and reduce the risk of unintended consequences.</w:t>
      </w:r>
    </w:p>
    <w:p w14:paraId="542F15CD" w14:textId="692DC692" w:rsidR="00CF0580" w:rsidRDefault="00A93585" w:rsidP="00537D98">
      <w:pPr>
        <w:tabs>
          <w:tab w:val="clear" w:pos="567"/>
          <w:tab w:val="clear" w:pos="1134"/>
          <w:tab w:val="clear" w:pos="1701"/>
          <w:tab w:val="clear" w:pos="2268"/>
          <w:tab w:val="clear" w:pos="2835"/>
        </w:tabs>
        <w:overflowPunct/>
        <w:autoSpaceDE/>
        <w:autoSpaceDN/>
        <w:adjustRightInd/>
        <w:spacing w:after="120"/>
        <w:textAlignment w:val="auto"/>
      </w:pPr>
      <w:r w:rsidRPr="00A93585">
        <w:t>Finally, we question whether a systematic four-year review of Decision 482 is appropriate given the long planning horizons inherent in satellite systems.</w:t>
      </w:r>
      <w:r w:rsidR="0053795D" w:rsidRPr="0053795D">
        <w:t xml:space="preserve"> </w:t>
      </w:r>
      <w:r w:rsidR="0053795D" w:rsidRPr="00A93585">
        <w:t>While targeted reviews may be justified where there are demonstrable changes in scope or cost structure, a fixed review cycle could undermine predictability and confidence in the regulatory framework.</w:t>
      </w:r>
      <w:r w:rsidRPr="00A93585">
        <w:t xml:space="preserve"> From initial system design and regulatory strategy through manufacturing, launch, and entry into service, satellite programmes frequently extend well beyond four years. Regularly reopening the foundational rules governing SNF fees risks introducing uncertainty at precisely the stages when operators are making long-term, capital-intensive decisions.</w:t>
      </w:r>
    </w:p>
    <w:p w14:paraId="3D0FDD2A" w14:textId="1D3F6600" w:rsidR="00537D98" w:rsidRPr="00C46909" w:rsidRDefault="00537D98" w:rsidP="00537D98">
      <w:pPr>
        <w:tabs>
          <w:tab w:val="clear" w:pos="567"/>
          <w:tab w:val="clear" w:pos="1134"/>
          <w:tab w:val="clear" w:pos="1701"/>
          <w:tab w:val="clear" w:pos="2268"/>
          <w:tab w:val="clear" w:pos="2835"/>
        </w:tabs>
        <w:overflowPunct/>
        <w:autoSpaceDE/>
        <w:autoSpaceDN/>
        <w:adjustRightInd/>
        <w:spacing w:before="840"/>
        <w:jc w:val="center"/>
        <w:textAlignment w:val="auto"/>
      </w:pPr>
      <w:r>
        <w:t>___________________</w:t>
      </w:r>
    </w:p>
    <w:sectPr w:rsidR="00537D98" w:rsidRPr="00C46909"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9BD7" w14:textId="77777777" w:rsidR="0022277A" w:rsidRDefault="0022277A">
      <w:r>
        <w:separator/>
      </w:r>
    </w:p>
  </w:endnote>
  <w:endnote w:type="continuationSeparator" w:id="0">
    <w:p w14:paraId="7BB001E3" w14:textId="77777777" w:rsidR="0022277A" w:rsidRDefault="0022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166F9B6D"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DD67CB">
            <w:rPr>
              <w:bCs/>
            </w:rPr>
            <w:t>29</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r w:rsidRPr="003E2EF3">
              <w:rPr>
                <w:rStyle w:val="Hyperlink"/>
              </w:rPr>
              <w:t>council.itu.int/working-groups</w:t>
            </w:r>
          </w:hyperlink>
        </w:p>
      </w:tc>
      <w:tc>
        <w:tcPr>
          <w:tcW w:w="6957" w:type="dxa"/>
        </w:tcPr>
        <w:p w14:paraId="3F62E0D8" w14:textId="05FABCFF"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DD67CB">
            <w:rPr>
              <w:bCs/>
            </w:rPr>
            <w:t>29</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082B" w14:textId="77777777" w:rsidR="0022277A" w:rsidRDefault="0022277A">
      <w:r>
        <w:t>____________________</w:t>
      </w:r>
    </w:p>
  </w:footnote>
  <w:footnote w:type="continuationSeparator" w:id="0">
    <w:p w14:paraId="610C66D6" w14:textId="77777777" w:rsidR="0022277A" w:rsidRDefault="0022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1093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4E52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90E2A"/>
    <w:multiLevelType w:val="multilevel"/>
    <w:tmpl w:val="1BBE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81054"/>
    <w:multiLevelType w:val="hybridMultilevel"/>
    <w:tmpl w:val="1428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A4808"/>
    <w:multiLevelType w:val="multilevel"/>
    <w:tmpl w:val="335C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277BD"/>
    <w:multiLevelType w:val="hybridMultilevel"/>
    <w:tmpl w:val="8F9AA974"/>
    <w:lvl w:ilvl="0" w:tplc="2B04BEC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099985284">
    <w:abstractNumId w:val="2"/>
  </w:num>
  <w:num w:numId="3" w16cid:durableId="563562227">
    <w:abstractNumId w:val="3"/>
  </w:num>
  <w:num w:numId="4" w16cid:durableId="765729153">
    <w:abstractNumId w:val="1"/>
    <w:lvlOverride w:ilvl="0">
      <w:startOverride w:val="1"/>
    </w:lvlOverride>
  </w:num>
  <w:num w:numId="5" w16cid:durableId="17465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0FA"/>
    <w:rsid w:val="000210D4"/>
    <w:rsid w:val="00022A8E"/>
    <w:rsid w:val="00022B69"/>
    <w:rsid w:val="00050AD9"/>
    <w:rsid w:val="00063016"/>
    <w:rsid w:val="00066795"/>
    <w:rsid w:val="00073FB8"/>
    <w:rsid w:val="00076AF6"/>
    <w:rsid w:val="00085CF2"/>
    <w:rsid w:val="000A00DB"/>
    <w:rsid w:val="000A57A6"/>
    <w:rsid w:val="000B1705"/>
    <w:rsid w:val="000D75B2"/>
    <w:rsid w:val="000F2E84"/>
    <w:rsid w:val="000F4196"/>
    <w:rsid w:val="001121F5"/>
    <w:rsid w:val="00130599"/>
    <w:rsid w:val="001400DC"/>
    <w:rsid w:val="00140CE1"/>
    <w:rsid w:val="00155F59"/>
    <w:rsid w:val="00161A84"/>
    <w:rsid w:val="001702BB"/>
    <w:rsid w:val="001751FF"/>
    <w:rsid w:val="0017539C"/>
    <w:rsid w:val="00175AC2"/>
    <w:rsid w:val="0017609F"/>
    <w:rsid w:val="001939B9"/>
    <w:rsid w:val="0019628A"/>
    <w:rsid w:val="001A7D1D"/>
    <w:rsid w:val="001B51DD"/>
    <w:rsid w:val="001C628E"/>
    <w:rsid w:val="001E0F7B"/>
    <w:rsid w:val="001E0FBE"/>
    <w:rsid w:val="002119FD"/>
    <w:rsid w:val="002130E0"/>
    <w:rsid w:val="00215A16"/>
    <w:rsid w:val="00215A2C"/>
    <w:rsid w:val="0022277A"/>
    <w:rsid w:val="002377CE"/>
    <w:rsid w:val="002404ED"/>
    <w:rsid w:val="00244F7F"/>
    <w:rsid w:val="00260ACE"/>
    <w:rsid w:val="00264425"/>
    <w:rsid w:val="00265875"/>
    <w:rsid w:val="0027303B"/>
    <w:rsid w:val="0028109B"/>
    <w:rsid w:val="002A2188"/>
    <w:rsid w:val="002B1F58"/>
    <w:rsid w:val="002C1C7A"/>
    <w:rsid w:val="002C54E2"/>
    <w:rsid w:val="002D5DBD"/>
    <w:rsid w:val="002F27CA"/>
    <w:rsid w:val="0030160F"/>
    <w:rsid w:val="003058DA"/>
    <w:rsid w:val="00320223"/>
    <w:rsid w:val="00322D0D"/>
    <w:rsid w:val="00323A15"/>
    <w:rsid w:val="00323DDE"/>
    <w:rsid w:val="003252C4"/>
    <w:rsid w:val="003515F5"/>
    <w:rsid w:val="003518DF"/>
    <w:rsid w:val="00361465"/>
    <w:rsid w:val="00361661"/>
    <w:rsid w:val="00362B1A"/>
    <w:rsid w:val="00376A3C"/>
    <w:rsid w:val="00381AF1"/>
    <w:rsid w:val="003877F5"/>
    <w:rsid w:val="003942D4"/>
    <w:rsid w:val="003958A8"/>
    <w:rsid w:val="003B6D23"/>
    <w:rsid w:val="003C2533"/>
    <w:rsid w:val="003D55B9"/>
    <w:rsid w:val="003D5A7F"/>
    <w:rsid w:val="003E2EF3"/>
    <w:rsid w:val="004016E2"/>
    <w:rsid w:val="0040435A"/>
    <w:rsid w:val="00413349"/>
    <w:rsid w:val="00416A24"/>
    <w:rsid w:val="00431D9E"/>
    <w:rsid w:val="00433CE8"/>
    <w:rsid w:val="00434A5C"/>
    <w:rsid w:val="0044699D"/>
    <w:rsid w:val="00452DA2"/>
    <w:rsid w:val="004544D9"/>
    <w:rsid w:val="004561F8"/>
    <w:rsid w:val="00456EE1"/>
    <w:rsid w:val="00472BAD"/>
    <w:rsid w:val="0048230C"/>
    <w:rsid w:val="00484009"/>
    <w:rsid w:val="00490E72"/>
    <w:rsid w:val="00491157"/>
    <w:rsid w:val="004921C8"/>
    <w:rsid w:val="00495B0B"/>
    <w:rsid w:val="00497FAC"/>
    <w:rsid w:val="004A1B8B"/>
    <w:rsid w:val="004A4B6F"/>
    <w:rsid w:val="004C17F9"/>
    <w:rsid w:val="004C620E"/>
    <w:rsid w:val="004D1851"/>
    <w:rsid w:val="004D599D"/>
    <w:rsid w:val="004E2037"/>
    <w:rsid w:val="004E2EA5"/>
    <w:rsid w:val="004E3AEB"/>
    <w:rsid w:val="004F5EC4"/>
    <w:rsid w:val="0050223C"/>
    <w:rsid w:val="00504490"/>
    <w:rsid w:val="00516136"/>
    <w:rsid w:val="005243FF"/>
    <w:rsid w:val="005359E8"/>
    <w:rsid w:val="0053795D"/>
    <w:rsid w:val="00537D98"/>
    <w:rsid w:val="00544D74"/>
    <w:rsid w:val="00551E9A"/>
    <w:rsid w:val="005649EE"/>
    <w:rsid w:val="00564FBC"/>
    <w:rsid w:val="005800BC"/>
    <w:rsid w:val="00582442"/>
    <w:rsid w:val="005A335D"/>
    <w:rsid w:val="005E0EAA"/>
    <w:rsid w:val="005E2BD5"/>
    <w:rsid w:val="005F3269"/>
    <w:rsid w:val="006046F4"/>
    <w:rsid w:val="0061573C"/>
    <w:rsid w:val="00623AE3"/>
    <w:rsid w:val="00635CBF"/>
    <w:rsid w:val="0064737F"/>
    <w:rsid w:val="006535F1"/>
    <w:rsid w:val="0065557D"/>
    <w:rsid w:val="00660D50"/>
    <w:rsid w:val="00662984"/>
    <w:rsid w:val="0067110F"/>
    <w:rsid w:val="006716BB"/>
    <w:rsid w:val="00672B15"/>
    <w:rsid w:val="006758B8"/>
    <w:rsid w:val="00676C7D"/>
    <w:rsid w:val="0068751A"/>
    <w:rsid w:val="006B1859"/>
    <w:rsid w:val="006B498B"/>
    <w:rsid w:val="006B6680"/>
    <w:rsid w:val="006B6DCC"/>
    <w:rsid w:val="00702DEF"/>
    <w:rsid w:val="00706861"/>
    <w:rsid w:val="0075051B"/>
    <w:rsid w:val="0076025F"/>
    <w:rsid w:val="00775655"/>
    <w:rsid w:val="0077665E"/>
    <w:rsid w:val="00793188"/>
    <w:rsid w:val="007943A5"/>
    <w:rsid w:val="00794D34"/>
    <w:rsid w:val="007B76AB"/>
    <w:rsid w:val="007D42ED"/>
    <w:rsid w:val="007D6879"/>
    <w:rsid w:val="007E3FC2"/>
    <w:rsid w:val="007F30E3"/>
    <w:rsid w:val="00804EAC"/>
    <w:rsid w:val="00813E5E"/>
    <w:rsid w:val="0083581B"/>
    <w:rsid w:val="00846BB8"/>
    <w:rsid w:val="00863874"/>
    <w:rsid w:val="00864AFF"/>
    <w:rsid w:val="00865925"/>
    <w:rsid w:val="00891503"/>
    <w:rsid w:val="008964B4"/>
    <w:rsid w:val="008A4C6B"/>
    <w:rsid w:val="008B4A6A"/>
    <w:rsid w:val="008C7E27"/>
    <w:rsid w:val="008F7448"/>
    <w:rsid w:val="0090147A"/>
    <w:rsid w:val="009173EF"/>
    <w:rsid w:val="0092226B"/>
    <w:rsid w:val="00923F81"/>
    <w:rsid w:val="00932906"/>
    <w:rsid w:val="00961B0B"/>
    <w:rsid w:val="00962D33"/>
    <w:rsid w:val="00971C28"/>
    <w:rsid w:val="009B1738"/>
    <w:rsid w:val="009B2D4B"/>
    <w:rsid w:val="009B38C3"/>
    <w:rsid w:val="009B558B"/>
    <w:rsid w:val="009C253A"/>
    <w:rsid w:val="009E17BD"/>
    <w:rsid w:val="009E485A"/>
    <w:rsid w:val="009F347C"/>
    <w:rsid w:val="00A04CEC"/>
    <w:rsid w:val="00A07D34"/>
    <w:rsid w:val="00A27F92"/>
    <w:rsid w:val="00A3006D"/>
    <w:rsid w:val="00A32257"/>
    <w:rsid w:val="00A34664"/>
    <w:rsid w:val="00A36D20"/>
    <w:rsid w:val="00A419B9"/>
    <w:rsid w:val="00A467DF"/>
    <w:rsid w:val="00A514A4"/>
    <w:rsid w:val="00A52C84"/>
    <w:rsid w:val="00A55622"/>
    <w:rsid w:val="00A83502"/>
    <w:rsid w:val="00A93585"/>
    <w:rsid w:val="00A94376"/>
    <w:rsid w:val="00AA12A6"/>
    <w:rsid w:val="00AD15B3"/>
    <w:rsid w:val="00AD3606"/>
    <w:rsid w:val="00AD4A3D"/>
    <w:rsid w:val="00AE0D88"/>
    <w:rsid w:val="00AE66E7"/>
    <w:rsid w:val="00AF6E49"/>
    <w:rsid w:val="00B01BD6"/>
    <w:rsid w:val="00B04A67"/>
    <w:rsid w:val="00B0583C"/>
    <w:rsid w:val="00B21C65"/>
    <w:rsid w:val="00B238DA"/>
    <w:rsid w:val="00B358B2"/>
    <w:rsid w:val="00B40A81"/>
    <w:rsid w:val="00B44910"/>
    <w:rsid w:val="00B72267"/>
    <w:rsid w:val="00B76EB6"/>
    <w:rsid w:val="00B7737B"/>
    <w:rsid w:val="00B824C8"/>
    <w:rsid w:val="00B84B9D"/>
    <w:rsid w:val="00B92BD2"/>
    <w:rsid w:val="00BB16B6"/>
    <w:rsid w:val="00BC251A"/>
    <w:rsid w:val="00BD032B"/>
    <w:rsid w:val="00BD1693"/>
    <w:rsid w:val="00BE2640"/>
    <w:rsid w:val="00C01189"/>
    <w:rsid w:val="00C374DE"/>
    <w:rsid w:val="00C43C2E"/>
    <w:rsid w:val="00C445F6"/>
    <w:rsid w:val="00C46909"/>
    <w:rsid w:val="00C47AD4"/>
    <w:rsid w:val="00C52D81"/>
    <w:rsid w:val="00C55198"/>
    <w:rsid w:val="00CA08FD"/>
    <w:rsid w:val="00CA6393"/>
    <w:rsid w:val="00CA7CB8"/>
    <w:rsid w:val="00CB18FF"/>
    <w:rsid w:val="00CC24A8"/>
    <w:rsid w:val="00CD0C08"/>
    <w:rsid w:val="00CE03FB"/>
    <w:rsid w:val="00CE433C"/>
    <w:rsid w:val="00CF0161"/>
    <w:rsid w:val="00CF0580"/>
    <w:rsid w:val="00CF33F3"/>
    <w:rsid w:val="00D06183"/>
    <w:rsid w:val="00D22C42"/>
    <w:rsid w:val="00D34EC8"/>
    <w:rsid w:val="00D464CC"/>
    <w:rsid w:val="00D53C61"/>
    <w:rsid w:val="00D65041"/>
    <w:rsid w:val="00D7062C"/>
    <w:rsid w:val="00D86BA3"/>
    <w:rsid w:val="00DA1BD5"/>
    <w:rsid w:val="00DB00D5"/>
    <w:rsid w:val="00DB1936"/>
    <w:rsid w:val="00DB384B"/>
    <w:rsid w:val="00DD2EEB"/>
    <w:rsid w:val="00DD67CB"/>
    <w:rsid w:val="00DF0189"/>
    <w:rsid w:val="00E03C3D"/>
    <w:rsid w:val="00E06FD5"/>
    <w:rsid w:val="00E071E2"/>
    <w:rsid w:val="00E10C39"/>
    <w:rsid w:val="00E10CDA"/>
    <w:rsid w:val="00E10E80"/>
    <w:rsid w:val="00E124F0"/>
    <w:rsid w:val="00E227F3"/>
    <w:rsid w:val="00E321E1"/>
    <w:rsid w:val="00E47EDA"/>
    <w:rsid w:val="00E545C6"/>
    <w:rsid w:val="00E60F04"/>
    <w:rsid w:val="00E65B24"/>
    <w:rsid w:val="00E742EF"/>
    <w:rsid w:val="00E854E4"/>
    <w:rsid w:val="00E86DBF"/>
    <w:rsid w:val="00E9087A"/>
    <w:rsid w:val="00EB0AFF"/>
    <w:rsid w:val="00EB0D6F"/>
    <w:rsid w:val="00EB2232"/>
    <w:rsid w:val="00EC4060"/>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4DC6"/>
    <w:rsid w:val="00FB6B76"/>
    <w:rsid w:val="00FB7596"/>
    <w:rsid w:val="00FD7016"/>
    <w:rsid w:val="00FE0EDC"/>
    <w:rsid w:val="00FE4077"/>
    <w:rsid w:val="00FE500D"/>
    <w:rsid w:val="00FE7062"/>
    <w:rsid w:val="00FE77D2"/>
    <w:rsid w:val="05AD4988"/>
    <w:rsid w:val="09459444"/>
    <w:rsid w:val="12927F00"/>
    <w:rsid w:val="14A31495"/>
    <w:rsid w:val="1CCD513F"/>
    <w:rsid w:val="1E330D43"/>
    <w:rsid w:val="2061F17A"/>
    <w:rsid w:val="216E4363"/>
    <w:rsid w:val="24DCBA27"/>
    <w:rsid w:val="2BDF9622"/>
    <w:rsid w:val="43263145"/>
    <w:rsid w:val="4968CDB6"/>
    <w:rsid w:val="4DD02F27"/>
    <w:rsid w:val="5500B96F"/>
    <w:rsid w:val="55B0DC5C"/>
    <w:rsid w:val="570FE29D"/>
    <w:rsid w:val="590B0071"/>
    <w:rsid w:val="692DF2C6"/>
    <w:rsid w:val="70328BD3"/>
    <w:rsid w:val="73B616B6"/>
    <w:rsid w:val="7A39E654"/>
    <w:rsid w:val="7ECF69B3"/>
    <w:rsid w:val="7EEA2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9B18FB6-FF1A-4C8E-A71E-81F5831E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paragraph" w:styleId="NormalWeb">
    <w:name w:val="Normal (Web)"/>
    <w:basedOn w:val="Normal"/>
    <w:semiHidden/>
    <w:unhideWhenUsed/>
    <w:rsid w:val="0068751A"/>
    <w:rPr>
      <w:rFonts w:ascii="Times New Roman" w:hAnsi="Times New Roman"/>
      <w:szCs w:val="24"/>
    </w:rPr>
  </w:style>
  <w:style w:type="paragraph" w:styleId="ListParagraph">
    <w:name w:val="List Paragraph"/>
    <w:basedOn w:val="Normal"/>
    <w:uiPriority w:val="34"/>
    <w:qFormat/>
    <w:rsid w:val="0068751A"/>
    <w:pPr>
      <w:ind w:left="720"/>
      <w:contextualSpacing/>
    </w:pPr>
  </w:style>
  <w:style w:type="paragraph" w:styleId="Revision">
    <w:name w:val="Revision"/>
    <w:hidden/>
    <w:uiPriority w:val="99"/>
    <w:semiHidden/>
    <w:rsid w:val="00CF058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FHR22-C-0002/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c9ae7-bd31-4168-9806-d66902737414">
      <Terms xmlns="http://schemas.microsoft.com/office/infopath/2007/PartnerControls"/>
    </lcf76f155ced4ddcb4097134ff3c332f>
    <TaxCatchAll xmlns="e88f316e-9521-42b8-8fc0-9c15585c21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35C17EF73F9643B81E11DB966DE0DA" ma:contentTypeVersion="14" ma:contentTypeDescription="Create a new document." ma:contentTypeScope="" ma:versionID="3ddb5113f9196178729a8d0e2d71f924">
  <xsd:schema xmlns:xsd="http://www.w3.org/2001/XMLSchema" xmlns:xs="http://www.w3.org/2001/XMLSchema" xmlns:p="http://schemas.microsoft.com/office/2006/metadata/properties" xmlns:ns2="e88f316e-9521-42b8-8fc0-9c15585c2144" xmlns:ns3="593c9ae7-bd31-4168-9806-d66902737414" targetNamespace="http://schemas.microsoft.com/office/2006/metadata/properties" ma:root="true" ma:fieldsID="ab2bed80006c72f436a1344ca90e2e27" ns2:_="" ns3:_="">
    <xsd:import namespace="e88f316e-9521-42b8-8fc0-9c15585c2144"/>
    <xsd:import namespace="593c9ae7-bd31-4168-9806-d669027374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f316e-9521-42b8-8fc0-9c15585c2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a670f1-2d1a-44a5-b7ef-04c294997d80}" ma:internalName="TaxCatchAll" ma:showField="CatchAllData" ma:web="e88f316e-9521-42b8-8fc0-9c15585c2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3c9ae7-bd31-4168-9806-d669027374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11d38c-949c-4b3b-939f-49dd692953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983BD498-0D57-4EC9-9A52-4067CF92760E}">
  <ds:schemaRefs>
    <ds:schemaRef ds:uri="http://purl.org/dc/dcmitype/"/>
    <ds:schemaRef ds:uri="http://schemas.microsoft.com/office/infopath/2007/PartnerControls"/>
    <ds:schemaRef ds:uri="http://schemas.microsoft.com/office/2006/metadata/properties"/>
    <ds:schemaRef ds:uri="http://purl.org/dc/elements/1.1/"/>
    <ds:schemaRef ds:uri="e88f316e-9521-42b8-8fc0-9c15585c2144"/>
    <ds:schemaRef ds:uri="593c9ae7-bd31-4168-9806-d6690273741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630F73-6879-451D-AD6E-220D14EE1EEE}">
  <ds:schemaRefs>
    <ds:schemaRef ds:uri="http://schemas.microsoft.com/sharepoint/v3/contenttype/forms"/>
  </ds:schemaRefs>
</ds:datastoreItem>
</file>

<file path=customXml/itemProps4.xml><?xml version="1.0" encoding="utf-8"?>
<ds:datastoreItem xmlns:ds="http://schemas.openxmlformats.org/officeDocument/2006/customXml" ds:itemID="{D5D9B2B0-D5F2-4CAF-9DB4-9A8FDC6B4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f316e-9521-42b8-8fc0-9c15585c2144"/>
    <ds:schemaRef ds:uri="593c9ae7-bd31-4168-9806-d66902737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1554</Words>
  <Characters>9572</Characters>
  <Application>Microsoft Office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GSOA - SNF</dc:title>
  <dc:subject>ITU Council Working Group on Financial and Human Resources</dc:subject>
  <dc:creator>Peng Zhao</dc:creator>
  <cp:keywords>CWG-FHR; C26; Council-26</cp:keywords>
  <dc:description/>
  <cp:lastModifiedBy>GBS</cp:lastModifiedBy>
  <cp:revision>3</cp:revision>
  <dcterms:created xsi:type="dcterms:W3CDTF">2026-01-05T09:27:00Z</dcterms:created>
  <dcterms:modified xsi:type="dcterms:W3CDTF">2026-01-05T09:29:00Z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0x010100A435C17EF73F9643B81E11DB966DE0DA</vt:lpwstr>
  </property>
  <property fmtid="{D5CDD505-2E9C-101B-9397-08002B2CF9AE}" pid="4" name="MediaServiceImageTags">
    <vt:lpwstr/>
  </property>
</Properties>
</file>