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7D42ED" w14:paraId="0043AC80" w14:textId="77777777" w:rsidTr="00AD3606">
        <w:trPr>
          <w:cantSplit/>
          <w:trHeight w:val="23"/>
        </w:trPr>
        <w:tc>
          <w:tcPr>
            <w:tcW w:w="3969" w:type="dxa"/>
            <w:vMerge w:val="restart"/>
            <w:tcMar>
              <w:left w:w="0" w:type="dxa"/>
            </w:tcMar>
          </w:tcPr>
          <w:p w14:paraId="60A806D3" w14:textId="6316C87D" w:rsidR="00AD3606" w:rsidRPr="00E85629"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75A3E42D" w:rsidR="00AD3606" w:rsidRPr="007D42ED" w:rsidRDefault="00AD3606" w:rsidP="00472BAD">
            <w:pPr>
              <w:tabs>
                <w:tab w:val="left" w:pos="851"/>
              </w:tabs>
              <w:spacing w:before="0" w:line="240" w:lineRule="atLeast"/>
              <w:jc w:val="right"/>
              <w:rPr>
                <w:b/>
                <w:lang w:val="it-IT"/>
              </w:rPr>
            </w:pPr>
            <w:r w:rsidRPr="007D42ED">
              <w:rPr>
                <w:b/>
                <w:lang w:val="it-IT"/>
              </w:rPr>
              <w:t>Document C</w:t>
            </w:r>
            <w:r w:rsidR="00A52C84" w:rsidRPr="007D42ED">
              <w:rPr>
                <w:b/>
                <w:lang w:val="it-IT"/>
              </w:rPr>
              <w:t>WG-</w:t>
            </w:r>
            <w:r w:rsidR="009F347C" w:rsidRPr="007D42ED">
              <w:rPr>
                <w:b/>
                <w:lang w:val="it-IT"/>
              </w:rPr>
              <w:t>FHR</w:t>
            </w:r>
            <w:r w:rsidR="00A52C84" w:rsidRPr="007D42ED">
              <w:rPr>
                <w:b/>
                <w:lang w:val="it-IT"/>
              </w:rPr>
              <w:t>-</w:t>
            </w:r>
            <w:r w:rsidR="003E2EF3" w:rsidRPr="007D42ED">
              <w:rPr>
                <w:b/>
                <w:lang w:val="it-IT"/>
              </w:rPr>
              <w:t>22</w:t>
            </w:r>
            <w:r w:rsidRPr="007D42ED">
              <w:rPr>
                <w:b/>
                <w:lang w:val="it-IT"/>
              </w:rPr>
              <w:t>/</w:t>
            </w:r>
            <w:r w:rsidR="00A42D5D">
              <w:rPr>
                <w:b/>
                <w:lang w:val="it-IT"/>
              </w:rPr>
              <w:t>27</w:t>
            </w:r>
          </w:p>
        </w:tc>
      </w:tr>
      <w:tr w:rsidR="00AD3606" w:rsidRPr="007D42ED" w14:paraId="789B45BA" w14:textId="77777777" w:rsidTr="00AD3606">
        <w:trPr>
          <w:cantSplit/>
        </w:trPr>
        <w:tc>
          <w:tcPr>
            <w:tcW w:w="3969" w:type="dxa"/>
            <w:vMerge/>
          </w:tcPr>
          <w:p w14:paraId="3F3D4E17" w14:textId="77777777" w:rsidR="00AD3606" w:rsidRPr="007D42ED" w:rsidRDefault="00AD3606" w:rsidP="00AD3606">
            <w:pPr>
              <w:tabs>
                <w:tab w:val="left" w:pos="851"/>
              </w:tabs>
              <w:spacing w:line="240" w:lineRule="atLeast"/>
              <w:rPr>
                <w:b/>
                <w:lang w:val="it-IT"/>
              </w:rPr>
            </w:pPr>
            <w:bookmarkStart w:id="6" w:name="ddate" w:colFirst="1" w:colLast="1"/>
            <w:bookmarkEnd w:id="0"/>
            <w:bookmarkEnd w:id="1"/>
          </w:p>
        </w:tc>
        <w:tc>
          <w:tcPr>
            <w:tcW w:w="5245" w:type="dxa"/>
          </w:tcPr>
          <w:p w14:paraId="2DE9ACEA" w14:textId="63F25906" w:rsidR="00AD3606" w:rsidRPr="007D42ED" w:rsidRDefault="00737932" w:rsidP="00AD3606">
            <w:pPr>
              <w:tabs>
                <w:tab w:val="left" w:pos="851"/>
              </w:tabs>
              <w:spacing w:before="0"/>
              <w:jc w:val="right"/>
              <w:rPr>
                <w:b/>
              </w:rPr>
            </w:pPr>
            <w:r>
              <w:rPr>
                <w:b/>
              </w:rPr>
              <w:t>29 December</w:t>
            </w:r>
            <w:r w:rsidR="00B05FB0">
              <w:rPr>
                <w:b/>
              </w:rPr>
              <w:t xml:space="preserve"> 202</w:t>
            </w:r>
            <w:r>
              <w:rPr>
                <w:b/>
              </w:rPr>
              <w:t>5</w:t>
            </w:r>
          </w:p>
        </w:tc>
      </w:tr>
      <w:tr w:rsidR="00AD3606" w:rsidRPr="007D42ED" w14:paraId="58A84C4A" w14:textId="77777777" w:rsidTr="00AD3606">
        <w:trPr>
          <w:cantSplit/>
          <w:trHeight w:val="23"/>
        </w:trPr>
        <w:tc>
          <w:tcPr>
            <w:tcW w:w="3969" w:type="dxa"/>
            <w:vMerge/>
          </w:tcPr>
          <w:p w14:paraId="77CEDDAA" w14:textId="77777777" w:rsidR="00AD3606" w:rsidRPr="007D42ED" w:rsidRDefault="00AD3606" w:rsidP="00AD3606">
            <w:pPr>
              <w:tabs>
                <w:tab w:val="left" w:pos="851"/>
              </w:tabs>
              <w:spacing w:line="240" w:lineRule="atLeast"/>
              <w:rPr>
                <w:b/>
              </w:rPr>
            </w:pPr>
            <w:bookmarkStart w:id="7" w:name="dorlang" w:colFirst="1" w:colLast="1"/>
            <w:bookmarkEnd w:id="6"/>
          </w:p>
        </w:tc>
        <w:tc>
          <w:tcPr>
            <w:tcW w:w="5245" w:type="dxa"/>
          </w:tcPr>
          <w:p w14:paraId="561AAE94" w14:textId="21480245" w:rsidR="00AD3606" w:rsidRPr="007D42ED" w:rsidRDefault="00891503" w:rsidP="00AD3606">
            <w:pPr>
              <w:tabs>
                <w:tab w:val="left" w:pos="851"/>
              </w:tabs>
              <w:spacing w:before="0" w:line="240" w:lineRule="atLeast"/>
              <w:jc w:val="right"/>
              <w:rPr>
                <w:b/>
              </w:rPr>
            </w:pPr>
            <w:r w:rsidRPr="007D42ED">
              <w:rPr>
                <w:b/>
              </w:rPr>
              <w:t>English</w:t>
            </w:r>
            <w:r w:rsidR="009B2D4B" w:rsidRPr="007D42ED">
              <w:rPr>
                <w:b/>
              </w:rPr>
              <w:t xml:space="preserve"> only</w:t>
            </w:r>
          </w:p>
        </w:tc>
      </w:tr>
      <w:tr w:rsidR="00472BAD" w:rsidRPr="007D42ED" w14:paraId="12C5EF5F" w14:textId="77777777" w:rsidTr="00AD3606">
        <w:trPr>
          <w:cantSplit/>
          <w:trHeight w:val="23"/>
        </w:trPr>
        <w:tc>
          <w:tcPr>
            <w:tcW w:w="3969" w:type="dxa"/>
          </w:tcPr>
          <w:p w14:paraId="4B839BA2" w14:textId="77777777" w:rsidR="00472BAD" w:rsidRPr="007D42ED" w:rsidRDefault="00472BAD" w:rsidP="00AD3606">
            <w:pPr>
              <w:tabs>
                <w:tab w:val="left" w:pos="851"/>
              </w:tabs>
              <w:spacing w:line="240" w:lineRule="atLeast"/>
              <w:rPr>
                <w:b/>
              </w:rPr>
            </w:pPr>
          </w:p>
        </w:tc>
        <w:tc>
          <w:tcPr>
            <w:tcW w:w="5245" w:type="dxa"/>
          </w:tcPr>
          <w:p w14:paraId="12F66D25" w14:textId="77777777" w:rsidR="00472BAD" w:rsidRPr="007D42ED" w:rsidRDefault="00472BAD" w:rsidP="00AD3606">
            <w:pPr>
              <w:tabs>
                <w:tab w:val="left" w:pos="851"/>
              </w:tabs>
              <w:spacing w:before="0" w:line="240" w:lineRule="atLeast"/>
              <w:jc w:val="right"/>
              <w:rPr>
                <w:b/>
              </w:rPr>
            </w:pPr>
          </w:p>
        </w:tc>
      </w:tr>
      <w:tr w:rsidR="00AD3606" w:rsidRPr="007D42ED" w14:paraId="27000B2A" w14:textId="77777777" w:rsidTr="00AD3606">
        <w:trPr>
          <w:cantSplit/>
        </w:trPr>
        <w:tc>
          <w:tcPr>
            <w:tcW w:w="9214" w:type="dxa"/>
            <w:gridSpan w:val="2"/>
            <w:tcMar>
              <w:left w:w="0" w:type="dxa"/>
            </w:tcMar>
          </w:tcPr>
          <w:p w14:paraId="4E7CDB90" w14:textId="7C29E547" w:rsidR="00AD3606" w:rsidRPr="00250772" w:rsidRDefault="00B01BD6" w:rsidP="00250772">
            <w:pPr>
              <w:pStyle w:val="Source"/>
              <w:framePr w:hSpace="0" w:wrap="auto" w:vAnchor="margin" w:hAnchor="text" w:xAlign="left" w:yAlign="inline"/>
              <w:rPr>
                <w:lang w:val="en-US"/>
              </w:rPr>
            </w:pPr>
            <w:bookmarkStart w:id="8" w:name="dsource" w:colFirst="0" w:colLast="0"/>
            <w:bookmarkEnd w:id="7"/>
            <w:r w:rsidRPr="007D42ED">
              <w:t xml:space="preserve">Contribution </w:t>
            </w:r>
            <w:r w:rsidR="002D5DBD" w:rsidRPr="007D42ED">
              <w:t>by</w:t>
            </w:r>
            <w:r w:rsidR="000F16B7" w:rsidRPr="000F16B7">
              <w:rPr>
                <w:lang w:val="en-US"/>
              </w:rPr>
              <w:t xml:space="preserve"> </w:t>
            </w:r>
            <w:r w:rsidR="000F16B7">
              <w:rPr>
                <w:lang w:val="en-US"/>
              </w:rPr>
              <w:t>the</w:t>
            </w:r>
            <w:r w:rsidR="00250772" w:rsidRPr="000F16B7">
              <w:rPr>
                <w:lang w:val="en-US"/>
              </w:rPr>
              <w:t xml:space="preserve"> </w:t>
            </w:r>
            <w:r w:rsidR="00250772">
              <w:rPr>
                <w:lang w:val="en-US"/>
              </w:rPr>
              <w:t>Russian Federation</w:t>
            </w:r>
          </w:p>
        </w:tc>
      </w:tr>
      <w:tr w:rsidR="00AD3606" w:rsidRPr="007D42ED" w14:paraId="2340750D" w14:textId="77777777" w:rsidTr="00AD3606">
        <w:trPr>
          <w:cantSplit/>
        </w:trPr>
        <w:tc>
          <w:tcPr>
            <w:tcW w:w="9214" w:type="dxa"/>
            <w:gridSpan w:val="2"/>
            <w:tcMar>
              <w:left w:w="0" w:type="dxa"/>
            </w:tcMar>
          </w:tcPr>
          <w:p w14:paraId="47B91AA8" w14:textId="7123FA7E" w:rsidR="00AD3606" w:rsidRPr="00D4505D" w:rsidRDefault="00DE0C50" w:rsidP="00250772">
            <w:pPr>
              <w:pStyle w:val="Subtitle"/>
              <w:framePr w:hSpace="0" w:wrap="auto" w:xAlign="left" w:yAlign="inline"/>
              <w:rPr>
                <w:lang w:val="en-US"/>
              </w:rPr>
            </w:pPr>
            <w:bookmarkStart w:id="9" w:name="dtitle1" w:colFirst="0" w:colLast="0"/>
            <w:bookmarkEnd w:id="8"/>
            <w:r>
              <w:t xml:space="preserve">COMMENTS ON THE </w:t>
            </w:r>
            <w:r w:rsidRPr="00250772">
              <w:t xml:space="preserve">SATELLITE NETWORK FILINGS – METHODOLOGY </w:t>
            </w:r>
            <w:r>
              <w:rPr>
                <w:lang w:val="en-US"/>
              </w:rPr>
              <w:t>UPDATE</w:t>
            </w:r>
          </w:p>
        </w:tc>
      </w:tr>
      <w:tr w:rsidR="00AD3606" w:rsidRPr="007D42ED" w14:paraId="1F564D2D" w14:textId="77777777" w:rsidTr="00AD3606">
        <w:trPr>
          <w:cantSplit/>
        </w:trPr>
        <w:tc>
          <w:tcPr>
            <w:tcW w:w="9214" w:type="dxa"/>
            <w:gridSpan w:val="2"/>
            <w:tcBorders>
              <w:top w:val="single" w:sz="4" w:space="0" w:color="auto"/>
              <w:bottom w:val="single" w:sz="4" w:space="0" w:color="auto"/>
            </w:tcBorders>
            <w:tcMar>
              <w:left w:w="0" w:type="dxa"/>
            </w:tcMar>
          </w:tcPr>
          <w:p w14:paraId="7AD73B47" w14:textId="3A59D05A" w:rsidR="00AD3606" w:rsidRPr="007D42ED" w:rsidRDefault="00F16BAB" w:rsidP="00F16BAB">
            <w:pPr>
              <w:spacing w:before="160"/>
              <w:rPr>
                <w:b/>
                <w:bCs/>
                <w:sz w:val="26"/>
                <w:szCs w:val="26"/>
              </w:rPr>
            </w:pPr>
            <w:r w:rsidRPr="007D42ED">
              <w:rPr>
                <w:b/>
                <w:bCs/>
                <w:sz w:val="26"/>
                <w:szCs w:val="26"/>
              </w:rPr>
              <w:t>Purpose</w:t>
            </w:r>
          </w:p>
          <w:p w14:paraId="36194658" w14:textId="43E07E39" w:rsidR="00D44907" w:rsidRDefault="00D44907" w:rsidP="00D44907">
            <w:pPr>
              <w:jc w:val="both"/>
            </w:pPr>
            <w:r>
              <w:t xml:space="preserve">This document highlights areas where additional information is needed </w:t>
            </w:r>
            <w:r>
              <w:rPr>
                <w:lang w:val="en-US"/>
              </w:rPr>
              <w:t>on implementation of cost recovery for satellite network filings</w:t>
            </w:r>
            <w:r w:rsidR="00FC3318">
              <w:rPr>
                <w:lang w:val="en-US"/>
              </w:rPr>
              <w:t xml:space="preserve"> and </w:t>
            </w:r>
            <w:r w:rsidR="004C300C">
              <w:rPr>
                <w:lang w:val="en-US"/>
              </w:rPr>
              <w:t>outlines</w:t>
            </w:r>
            <w:r w:rsidR="004C300C" w:rsidRPr="004C300C">
              <w:rPr>
                <w:lang w:val="en-US"/>
              </w:rPr>
              <w:t xml:space="preserve"> the Russian Federation’s position on</w:t>
            </w:r>
            <w:r w:rsidR="003C5E58">
              <w:t xml:space="preserve"> </w:t>
            </w:r>
            <w:r w:rsidR="003C5E58" w:rsidRPr="003C5E58">
              <w:rPr>
                <w:lang w:val="en-US"/>
              </w:rPr>
              <w:t>reforming SNF</w:t>
            </w:r>
            <w:r w:rsidR="003C5E58">
              <w:rPr>
                <w:lang w:val="en-US"/>
              </w:rPr>
              <w:t xml:space="preserve"> cost recovery model.</w:t>
            </w:r>
          </w:p>
          <w:p w14:paraId="5076D5C4" w14:textId="4ED48F50" w:rsidR="00AD3606" w:rsidRPr="00250772" w:rsidRDefault="00AD3606" w:rsidP="00250772">
            <w:r w:rsidRPr="007D42ED">
              <w:rPr>
                <w:b/>
                <w:bCs/>
                <w:sz w:val="26"/>
                <w:szCs w:val="26"/>
              </w:rPr>
              <w:t>Action required</w:t>
            </w:r>
          </w:p>
          <w:p w14:paraId="53A776F1" w14:textId="7A58C1A5" w:rsidR="00891503" w:rsidRPr="007D42ED" w:rsidRDefault="002D5DBD" w:rsidP="00B3210A">
            <w:pPr>
              <w:spacing w:before="160"/>
              <w:jc w:val="both"/>
            </w:pPr>
            <w:r w:rsidRPr="007D42ED">
              <w:t xml:space="preserve">The Council Working Group on financial and human resources is invited to </w:t>
            </w:r>
            <w:r w:rsidR="00D80B82">
              <w:rPr>
                <w:b/>
                <w:bCs/>
              </w:rPr>
              <w:t xml:space="preserve">consider </w:t>
            </w:r>
            <w:r w:rsidR="00E9087A" w:rsidRPr="007D42ED">
              <w:t>this document</w:t>
            </w:r>
            <w:r w:rsidR="00250772" w:rsidRPr="00250772">
              <w:t>.</w:t>
            </w:r>
          </w:p>
          <w:p w14:paraId="6B8F565E" w14:textId="77777777" w:rsidR="000A57A6" w:rsidRPr="007D42ED" w:rsidRDefault="000A57A6">
            <w:r w:rsidRPr="007D42ED">
              <w:t>_______________</w:t>
            </w:r>
          </w:p>
          <w:p w14:paraId="00DEE14C" w14:textId="0E4EBCBB" w:rsidR="00AD3606" w:rsidRPr="00A419B9" w:rsidRDefault="00AD3606" w:rsidP="00F16BAB">
            <w:pPr>
              <w:spacing w:before="160"/>
              <w:rPr>
                <w:b/>
                <w:bCs/>
                <w:i/>
                <w:iCs/>
                <w:sz w:val="26"/>
                <w:szCs w:val="26"/>
              </w:rPr>
            </w:pPr>
            <w:r w:rsidRPr="007D42ED">
              <w:rPr>
                <w:b/>
                <w:bCs/>
                <w:sz w:val="26"/>
                <w:szCs w:val="26"/>
              </w:rPr>
              <w:t>References</w:t>
            </w:r>
          </w:p>
          <w:p w14:paraId="0175CD6C" w14:textId="519C3A61" w:rsidR="008F6A36" w:rsidRPr="00DE0C50" w:rsidRDefault="00DE0C50" w:rsidP="00F16BAB">
            <w:pPr>
              <w:spacing w:after="160"/>
              <w:rPr>
                <w:i/>
                <w:iCs/>
                <w:sz w:val="22"/>
                <w:szCs w:val="22"/>
                <w:lang w:val="ru-RU"/>
              </w:rPr>
            </w:pPr>
            <w:r w:rsidRPr="00DE0C50">
              <w:rPr>
                <w:i/>
                <w:iCs/>
                <w:sz w:val="22"/>
                <w:szCs w:val="22"/>
              </w:rPr>
              <w:t xml:space="preserve">Document </w:t>
            </w:r>
            <w:hyperlink r:id="rId11" w:history="1">
              <w:r w:rsidR="008F6A36" w:rsidRPr="00DE0C50">
                <w:rPr>
                  <w:rStyle w:val="Hyperlink"/>
                  <w:i/>
                  <w:iCs/>
                  <w:sz w:val="22"/>
                  <w:szCs w:val="22"/>
                </w:rPr>
                <w:t>CWG-FHR-22/2</w:t>
              </w:r>
            </w:hyperlink>
          </w:p>
        </w:tc>
      </w:tr>
    </w:tbl>
    <w:p w14:paraId="4CDB8B60" w14:textId="77777777" w:rsidR="00E227F3" w:rsidRPr="007D42ED" w:rsidRDefault="00E227F3">
      <w:pPr>
        <w:tabs>
          <w:tab w:val="clear" w:pos="567"/>
          <w:tab w:val="clear" w:pos="1134"/>
          <w:tab w:val="clear" w:pos="1701"/>
          <w:tab w:val="clear" w:pos="2268"/>
          <w:tab w:val="clear" w:pos="2835"/>
        </w:tabs>
        <w:overflowPunct/>
        <w:autoSpaceDE/>
        <w:autoSpaceDN/>
        <w:adjustRightInd/>
        <w:spacing w:before="0"/>
        <w:textAlignment w:val="auto"/>
        <w:rPr>
          <w:lang w:val="es-ES"/>
        </w:rPr>
      </w:pPr>
      <w:bookmarkStart w:id="10" w:name="_Hlk133421428"/>
      <w:bookmarkEnd w:id="2"/>
      <w:bookmarkEnd w:id="9"/>
    </w:p>
    <w:bookmarkEnd w:id="3"/>
    <w:bookmarkEnd w:id="4"/>
    <w:p w14:paraId="1D7ED322" w14:textId="77777777" w:rsidR="0090147A" w:rsidRPr="007D42ED" w:rsidRDefault="0090147A">
      <w:pPr>
        <w:tabs>
          <w:tab w:val="clear" w:pos="567"/>
          <w:tab w:val="clear" w:pos="1134"/>
          <w:tab w:val="clear" w:pos="1701"/>
          <w:tab w:val="clear" w:pos="2268"/>
          <w:tab w:val="clear" w:pos="2835"/>
        </w:tabs>
        <w:overflowPunct/>
        <w:autoSpaceDE/>
        <w:autoSpaceDN/>
        <w:adjustRightInd/>
        <w:spacing w:before="0"/>
        <w:textAlignment w:val="auto"/>
        <w:rPr>
          <w:b/>
          <w:lang w:val="es-ES"/>
        </w:rPr>
      </w:pPr>
      <w:r w:rsidRPr="007D42ED">
        <w:rPr>
          <w:lang w:val="es-ES"/>
        </w:rPr>
        <w:br w:type="page"/>
      </w:r>
    </w:p>
    <w:bookmarkEnd w:id="5"/>
    <w:bookmarkEnd w:id="10"/>
    <w:p w14:paraId="74853F69" w14:textId="6BC6D99F" w:rsidR="00D4505D" w:rsidRPr="0005318D" w:rsidRDefault="00283661" w:rsidP="00DE0C50">
      <w:pPr>
        <w:pStyle w:val="Heading1"/>
        <w:rPr>
          <w:lang w:val="en-US"/>
        </w:rPr>
      </w:pPr>
      <w:r w:rsidRPr="0005318D">
        <w:lastRenderedPageBreak/>
        <w:t>1</w:t>
      </w:r>
      <w:r w:rsidR="00DE0C50">
        <w:tab/>
      </w:r>
      <w:r w:rsidR="00D4505D" w:rsidRPr="0005318D">
        <w:t>Introduction</w:t>
      </w:r>
    </w:p>
    <w:p w14:paraId="78862B32" w14:textId="5645B0D2" w:rsidR="00370495" w:rsidRPr="00F37217" w:rsidRDefault="00B83A75" w:rsidP="00DE0C50">
      <w:pPr>
        <w:jc w:val="both"/>
        <w:rPr>
          <w:lang w:val="en-US"/>
        </w:rPr>
      </w:pPr>
      <w:r w:rsidRPr="00B83A75">
        <w:rPr>
          <w:lang w:val="en-US"/>
        </w:rPr>
        <w:t>The Russian Federation expresses its appreciation to the General Secretariat and the Radiocommunication Bureau for presenting the document “Satellite network filings</w:t>
      </w:r>
      <w:r w:rsidR="00937748">
        <w:rPr>
          <w:lang w:val="en-US"/>
        </w:rPr>
        <w:t> </w:t>
      </w:r>
      <w:r w:rsidRPr="00B83A75">
        <w:rPr>
          <w:lang w:val="en-US"/>
        </w:rPr>
        <w:t>– Methodology update” and for organizing the Virtual Session on Satellite Network Filings (SNF) held on 16 December 2025.</w:t>
      </w:r>
    </w:p>
    <w:p w14:paraId="5B75C274" w14:textId="19B10A4C" w:rsidR="00CE7728" w:rsidRPr="0052131C" w:rsidRDefault="00CE7728" w:rsidP="00DE0C50">
      <w:pPr>
        <w:jc w:val="both"/>
        <w:rPr>
          <w:rFonts w:asciiTheme="minorHAnsi" w:hAnsiTheme="minorHAnsi" w:cstheme="minorHAnsi"/>
          <w:lang w:val="en-US"/>
        </w:rPr>
      </w:pPr>
      <w:r w:rsidRPr="0052131C">
        <w:t xml:space="preserve">The </w:t>
      </w:r>
      <w:r w:rsidRPr="0052131C">
        <w:rPr>
          <w:rStyle w:val="ypks7kbdpwfgdykd3qb9"/>
        </w:rPr>
        <w:t>proposed</w:t>
      </w:r>
      <w:r w:rsidRPr="0052131C">
        <w:t xml:space="preserve"> </w:t>
      </w:r>
      <w:r w:rsidRPr="0052131C">
        <w:rPr>
          <w:rStyle w:val="ypks7kbdpwfgdykd3qb9"/>
        </w:rPr>
        <w:t>methodology</w:t>
      </w:r>
      <w:r w:rsidRPr="0052131C">
        <w:t xml:space="preserve"> for </w:t>
      </w:r>
      <w:r w:rsidRPr="0052131C">
        <w:rPr>
          <w:rStyle w:val="ypks7kbdpwfgdykd3qb9"/>
        </w:rPr>
        <w:t>calculating</w:t>
      </w:r>
      <w:r w:rsidRPr="0052131C">
        <w:t xml:space="preserve"> </w:t>
      </w:r>
      <w:r w:rsidRPr="0052131C">
        <w:rPr>
          <w:rStyle w:val="ypks7kbdpwfgdykd3qb9"/>
        </w:rPr>
        <w:t>the</w:t>
      </w:r>
      <w:r w:rsidRPr="0052131C">
        <w:t xml:space="preserve"> </w:t>
      </w:r>
      <w:r w:rsidRPr="0052131C">
        <w:rPr>
          <w:rStyle w:val="ypks7kbdpwfgdykd3qb9"/>
        </w:rPr>
        <w:t>SNF</w:t>
      </w:r>
      <w:r w:rsidRPr="0052131C">
        <w:t xml:space="preserve"> </w:t>
      </w:r>
      <w:r w:rsidRPr="0052131C">
        <w:rPr>
          <w:rStyle w:val="ypks7kbdpwfgdykd3qb9"/>
        </w:rPr>
        <w:t>fee</w:t>
      </w:r>
      <w:r w:rsidRPr="0052131C">
        <w:rPr>
          <w:rFonts w:asciiTheme="minorHAnsi" w:hAnsiTheme="minorHAnsi" w:cstheme="minorHAnsi"/>
          <w:lang w:val="en-US"/>
        </w:rPr>
        <w:t xml:space="preserve"> </w:t>
      </w:r>
      <w:r w:rsidR="00D80B82" w:rsidRPr="0052131C">
        <w:rPr>
          <w:rFonts w:asciiTheme="minorHAnsi" w:hAnsiTheme="minorHAnsi" w:cstheme="minorHAnsi"/>
          <w:lang w:val="en-US"/>
        </w:rPr>
        <w:t>cover</w:t>
      </w:r>
      <w:r w:rsidR="0052131C">
        <w:rPr>
          <w:rFonts w:asciiTheme="minorHAnsi" w:hAnsiTheme="minorHAnsi" w:cstheme="minorHAnsi"/>
          <w:lang w:val="en-US"/>
        </w:rPr>
        <w:t>s</w:t>
      </w:r>
      <w:r w:rsidR="00D80B82" w:rsidRPr="0052131C">
        <w:rPr>
          <w:rFonts w:asciiTheme="minorHAnsi" w:hAnsiTheme="minorHAnsi" w:cstheme="minorHAnsi"/>
          <w:lang w:val="en-US"/>
        </w:rPr>
        <w:t xml:space="preserve"> the main</w:t>
      </w:r>
      <w:r w:rsidR="00B43C0E">
        <w:rPr>
          <w:rFonts w:asciiTheme="minorHAnsi" w:hAnsiTheme="minorHAnsi" w:cstheme="minorHAnsi"/>
          <w:lang w:val="en-US"/>
        </w:rPr>
        <w:t xml:space="preserve"> SNF</w:t>
      </w:r>
      <w:r w:rsidR="00937748">
        <w:rPr>
          <w:rFonts w:asciiTheme="minorHAnsi" w:hAnsiTheme="minorHAnsi" w:cstheme="minorHAnsi"/>
          <w:lang w:val="en-US"/>
        </w:rPr>
        <w:t xml:space="preserve"> </w:t>
      </w:r>
      <w:r w:rsidR="00B43C0E">
        <w:rPr>
          <w:rFonts w:asciiTheme="minorHAnsi" w:hAnsiTheme="minorHAnsi" w:cstheme="minorHAnsi"/>
          <w:lang w:val="en-US"/>
        </w:rPr>
        <w:t>cost</w:t>
      </w:r>
      <w:r w:rsidR="00937748">
        <w:rPr>
          <w:rFonts w:asciiTheme="minorHAnsi" w:hAnsiTheme="minorHAnsi" w:cstheme="minorHAnsi"/>
          <w:lang w:val="en-US"/>
        </w:rPr>
        <w:t>-</w:t>
      </w:r>
      <w:r w:rsidR="00B43C0E">
        <w:rPr>
          <w:rFonts w:asciiTheme="minorHAnsi" w:hAnsiTheme="minorHAnsi" w:cstheme="minorHAnsi"/>
          <w:lang w:val="en-US"/>
        </w:rPr>
        <w:t>recovery</w:t>
      </w:r>
      <w:r w:rsidR="00D80B82" w:rsidRPr="0052131C">
        <w:rPr>
          <w:rFonts w:asciiTheme="minorHAnsi" w:hAnsiTheme="minorHAnsi" w:cstheme="minorHAnsi"/>
          <w:lang w:val="en-US"/>
        </w:rPr>
        <w:t xml:space="preserve"> framework, transparency principles, and full implementation timeline, but </w:t>
      </w:r>
      <w:r w:rsidR="00690A25">
        <w:rPr>
          <w:rFonts w:asciiTheme="minorHAnsi" w:hAnsiTheme="minorHAnsi" w:cstheme="minorHAnsi"/>
          <w:lang w:val="en-US"/>
        </w:rPr>
        <w:t xml:space="preserve">it is </w:t>
      </w:r>
      <w:r w:rsidR="00C65461">
        <w:rPr>
          <w:rFonts w:asciiTheme="minorHAnsi" w:hAnsiTheme="minorHAnsi" w:cstheme="minorHAnsi"/>
          <w:lang w:val="en-US"/>
        </w:rPr>
        <w:t>insufficiently detailed.</w:t>
      </w:r>
    </w:p>
    <w:p w14:paraId="263E97B2" w14:textId="06BE54F8" w:rsidR="005072DE" w:rsidRDefault="005072DE" w:rsidP="00DE0C50">
      <w:pPr>
        <w:jc w:val="both"/>
        <w:rPr>
          <w:rFonts w:asciiTheme="minorHAnsi" w:hAnsiTheme="minorHAnsi" w:cstheme="minorHAnsi"/>
          <w:lang w:val="en-US"/>
        </w:rPr>
      </w:pPr>
      <w:r>
        <w:rPr>
          <w:rFonts w:asciiTheme="minorHAnsi" w:hAnsiTheme="minorHAnsi" w:cstheme="minorHAnsi"/>
          <w:lang w:val="en-US"/>
        </w:rPr>
        <w:t>In particular</w:t>
      </w:r>
      <w:r w:rsidR="00BC610A">
        <w:rPr>
          <w:rFonts w:asciiTheme="minorHAnsi" w:hAnsiTheme="minorHAnsi" w:cstheme="minorHAnsi"/>
          <w:lang w:val="en-US"/>
        </w:rPr>
        <w:t>, t</w:t>
      </w:r>
      <w:r w:rsidR="00B074AF">
        <w:rPr>
          <w:rFonts w:asciiTheme="minorHAnsi" w:hAnsiTheme="minorHAnsi" w:cstheme="minorHAnsi"/>
          <w:lang w:val="en-US"/>
        </w:rPr>
        <w:t xml:space="preserve">he Russian Federation notes </w:t>
      </w:r>
      <w:r w:rsidR="00B074AF" w:rsidRPr="003B3480">
        <w:rPr>
          <w:rFonts w:asciiTheme="minorHAnsi" w:hAnsiTheme="minorHAnsi" w:cstheme="minorHAnsi"/>
          <w:lang w:val="en-US"/>
        </w:rPr>
        <w:t>that</w:t>
      </w:r>
      <w:r w:rsidR="00B074AF">
        <w:rPr>
          <w:rFonts w:asciiTheme="minorHAnsi" w:hAnsiTheme="minorHAnsi" w:cstheme="minorHAnsi"/>
          <w:lang w:val="en-US"/>
        </w:rPr>
        <w:t xml:space="preserve"> </w:t>
      </w:r>
      <w:r w:rsidR="00B05FB0">
        <w:rPr>
          <w:rFonts w:asciiTheme="minorHAnsi" w:hAnsiTheme="minorHAnsi" w:cstheme="minorHAnsi"/>
          <w:lang w:val="en-US"/>
        </w:rPr>
        <w:t>the Secretariat failed to provide inputs, assumptions, and, most importantly,</w:t>
      </w:r>
      <w:r w:rsidR="0052131C">
        <w:rPr>
          <w:rFonts w:asciiTheme="minorHAnsi" w:hAnsiTheme="minorHAnsi" w:cstheme="minorHAnsi"/>
          <w:lang w:val="en-US"/>
        </w:rPr>
        <w:t xml:space="preserve"> specific</w:t>
      </w:r>
      <w:r w:rsidR="00B074AF" w:rsidRPr="0052131C">
        <w:rPr>
          <w:rFonts w:asciiTheme="minorHAnsi" w:hAnsiTheme="minorHAnsi" w:cstheme="minorHAnsi"/>
          <w:lang w:val="en-US"/>
        </w:rPr>
        <w:t xml:space="preserve"> formulas</w:t>
      </w:r>
      <w:r w:rsidR="00B074AF">
        <w:rPr>
          <w:rFonts w:asciiTheme="minorHAnsi" w:hAnsiTheme="minorHAnsi" w:cstheme="minorHAnsi"/>
          <w:lang w:val="en-US"/>
        </w:rPr>
        <w:t xml:space="preserve"> for c</w:t>
      </w:r>
      <w:r w:rsidR="00B074AF" w:rsidRPr="003B3480">
        <w:rPr>
          <w:rFonts w:asciiTheme="minorHAnsi" w:hAnsiTheme="minorHAnsi" w:cstheme="minorHAnsi"/>
          <w:lang w:val="en-US"/>
        </w:rPr>
        <w:t>alculati</w:t>
      </w:r>
      <w:r w:rsidR="00BC610A">
        <w:rPr>
          <w:rFonts w:asciiTheme="minorHAnsi" w:hAnsiTheme="minorHAnsi" w:cstheme="minorHAnsi"/>
          <w:lang w:val="en-US"/>
        </w:rPr>
        <w:t>ng</w:t>
      </w:r>
      <w:r w:rsidR="00B074AF" w:rsidRPr="003B3480">
        <w:rPr>
          <w:rFonts w:asciiTheme="minorHAnsi" w:hAnsiTheme="minorHAnsi" w:cstheme="minorHAnsi"/>
          <w:lang w:val="en-US"/>
        </w:rPr>
        <w:t xml:space="preserve"> </w:t>
      </w:r>
      <w:r w:rsidR="00B074AF">
        <w:rPr>
          <w:rFonts w:asciiTheme="minorHAnsi" w:hAnsiTheme="minorHAnsi" w:cstheme="minorHAnsi"/>
          <w:lang w:val="en-US"/>
        </w:rPr>
        <w:t>direct and indirect costs.</w:t>
      </w:r>
      <w:r w:rsidR="00B074AF" w:rsidRPr="001107C8">
        <w:rPr>
          <w:rFonts w:asciiTheme="minorHAnsi" w:hAnsiTheme="minorHAnsi" w:cstheme="minorHAnsi"/>
          <w:lang w:val="en-US"/>
        </w:rPr>
        <w:t xml:space="preserve"> </w:t>
      </w:r>
      <w:r w:rsidR="003C52AE" w:rsidRPr="003C52AE">
        <w:rPr>
          <w:rFonts w:asciiTheme="minorHAnsi" w:hAnsiTheme="minorHAnsi" w:cstheme="minorHAnsi"/>
          <w:lang w:val="en-US"/>
        </w:rPr>
        <w:t xml:space="preserve">We advocate for </w:t>
      </w:r>
      <w:r w:rsidR="00C6286E" w:rsidRPr="00C6286E">
        <w:rPr>
          <w:rFonts w:asciiTheme="minorHAnsi" w:hAnsiTheme="minorHAnsi" w:cstheme="minorHAnsi"/>
          <w:lang w:val="en-US"/>
        </w:rPr>
        <w:t>clarifying the treatment of indirect costs under Resolution 91</w:t>
      </w:r>
      <w:r w:rsidR="00C6286E">
        <w:rPr>
          <w:rFonts w:asciiTheme="minorHAnsi" w:hAnsiTheme="minorHAnsi" w:cstheme="minorHAnsi"/>
          <w:lang w:val="en-US"/>
        </w:rPr>
        <w:t xml:space="preserve"> (</w:t>
      </w:r>
      <w:r w:rsidR="00C6286E" w:rsidRPr="00C6286E">
        <w:rPr>
          <w:rFonts w:asciiTheme="minorHAnsi" w:hAnsiTheme="minorHAnsi" w:cstheme="minorHAnsi"/>
          <w:lang w:val="en-US"/>
        </w:rPr>
        <w:t>Rev.</w:t>
      </w:r>
      <w:r w:rsidR="00F7629B" w:rsidRPr="00F7629B">
        <w:t xml:space="preserve"> </w:t>
      </w:r>
      <w:r w:rsidR="00F7629B" w:rsidRPr="00F7629B">
        <w:rPr>
          <w:rFonts w:asciiTheme="minorHAnsi" w:hAnsiTheme="minorHAnsi" w:cstheme="minorHAnsi"/>
          <w:lang w:val="en-US"/>
        </w:rPr>
        <w:t>Bucharest 2022</w:t>
      </w:r>
      <w:r w:rsidR="00C6286E">
        <w:rPr>
          <w:rFonts w:asciiTheme="minorHAnsi" w:hAnsiTheme="minorHAnsi" w:cstheme="minorHAnsi"/>
          <w:lang w:val="en-US"/>
        </w:rPr>
        <w:t>).</w:t>
      </w:r>
      <w:r w:rsidR="003C52AE" w:rsidRPr="003C52AE">
        <w:rPr>
          <w:rFonts w:asciiTheme="minorHAnsi" w:hAnsiTheme="minorHAnsi" w:cstheme="minorHAnsi"/>
          <w:lang w:val="en-US"/>
        </w:rPr>
        <w:t xml:space="preserve"> </w:t>
      </w:r>
      <w:r w:rsidR="00C6286E">
        <w:rPr>
          <w:rFonts w:asciiTheme="minorHAnsi" w:hAnsiTheme="minorHAnsi" w:cstheme="minorHAnsi"/>
          <w:lang w:val="en-US"/>
        </w:rPr>
        <w:t>and i</w:t>
      </w:r>
      <w:r w:rsidR="003C52AE" w:rsidRPr="003C52AE">
        <w:rPr>
          <w:rFonts w:asciiTheme="minorHAnsi" w:hAnsiTheme="minorHAnsi" w:cstheme="minorHAnsi"/>
          <w:lang w:val="en-US"/>
        </w:rPr>
        <w:t>ntroduction of a transparent</w:t>
      </w:r>
      <w:r w:rsidR="00B43C0E">
        <w:rPr>
          <w:rFonts w:asciiTheme="minorHAnsi" w:hAnsiTheme="minorHAnsi" w:cstheme="minorHAnsi"/>
          <w:lang w:val="en-US"/>
        </w:rPr>
        <w:t>,</w:t>
      </w:r>
      <w:r w:rsidR="00B43C0E" w:rsidRPr="00B43C0E">
        <w:t xml:space="preserve"> </w:t>
      </w:r>
      <w:r w:rsidR="00B43C0E" w:rsidRPr="00B43C0E">
        <w:rPr>
          <w:rFonts w:asciiTheme="minorHAnsi" w:hAnsiTheme="minorHAnsi" w:cstheme="minorHAnsi"/>
          <w:lang w:val="en-US"/>
        </w:rPr>
        <w:t>equitable, financially sustainable</w:t>
      </w:r>
      <w:r w:rsidR="00B05FB0">
        <w:rPr>
          <w:rFonts w:asciiTheme="minorHAnsi" w:hAnsiTheme="minorHAnsi" w:cstheme="minorHAnsi"/>
          <w:lang w:val="en-US"/>
        </w:rPr>
        <w:t>, and understandable mechanism for accounting specific indirect costs,</w:t>
      </w:r>
      <w:r w:rsidR="003C52AE" w:rsidRPr="003C52AE">
        <w:rPr>
          <w:rFonts w:asciiTheme="minorHAnsi" w:hAnsiTheme="minorHAnsi" w:cstheme="minorHAnsi"/>
          <w:lang w:val="en-US"/>
        </w:rPr>
        <w:t xml:space="preserve"> </w:t>
      </w:r>
      <w:r w:rsidR="00C6286E">
        <w:rPr>
          <w:rFonts w:asciiTheme="minorHAnsi" w:hAnsiTheme="minorHAnsi" w:cstheme="minorHAnsi"/>
          <w:lang w:val="en-US"/>
        </w:rPr>
        <w:t>including</w:t>
      </w:r>
      <w:r w:rsidR="003C52AE" w:rsidRPr="003C52AE">
        <w:rPr>
          <w:rFonts w:asciiTheme="minorHAnsi" w:hAnsiTheme="minorHAnsi" w:cstheme="minorHAnsi"/>
          <w:lang w:val="en-US"/>
        </w:rPr>
        <w:t xml:space="preserve"> the need to support space industry enterprises.</w:t>
      </w:r>
    </w:p>
    <w:p w14:paraId="248A25C0" w14:textId="19C23E80" w:rsidR="00FC3318" w:rsidRPr="00C2405A" w:rsidRDefault="00C2405A" w:rsidP="00DE0C50">
      <w:pPr>
        <w:jc w:val="both"/>
        <w:rPr>
          <w:rFonts w:asciiTheme="minorHAnsi" w:hAnsiTheme="minorHAnsi" w:cstheme="minorHAnsi"/>
          <w:lang w:val="en-US"/>
        </w:rPr>
      </w:pPr>
      <w:r w:rsidRPr="00C2405A">
        <w:rPr>
          <w:rFonts w:asciiTheme="minorHAnsi" w:hAnsiTheme="minorHAnsi" w:cstheme="minorHAnsi"/>
          <w:lang w:val="en-US"/>
        </w:rPr>
        <w:t xml:space="preserve">However, </w:t>
      </w:r>
      <w:r w:rsidR="003F50BE">
        <w:rPr>
          <w:rFonts w:asciiTheme="minorHAnsi" w:hAnsiTheme="minorHAnsi" w:cstheme="minorHAnsi"/>
          <w:lang w:val="en-US"/>
        </w:rPr>
        <w:t>we</w:t>
      </w:r>
      <w:r w:rsidRPr="00C2405A">
        <w:rPr>
          <w:rFonts w:asciiTheme="minorHAnsi" w:hAnsiTheme="minorHAnsi" w:cstheme="minorHAnsi"/>
          <w:lang w:val="en-US"/>
        </w:rPr>
        <w:t xml:space="preserve"> wish to remind the CWG</w:t>
      </w:r>
      <w:r w:rsidR="00B05FB0">
        <w:rPr>
          <w:rFonts w:asciiTheme="minorHAnsi" w:hAnsiTheme="minorHAnsi" w:cstheme="minorHAnsi"/>
          <w:lang w:val="en-US"/>
        </w:rPr>
        <w:t>-</w:t>
      </w:r>
      <w:r w:rsidRPr="00C2405A">
        <w:rPr>
          <w:rFonts w:asciiTheme="minorHAnsi" w:hAnsiTheme="minorHAnsi" w:cstheme="minorHAnsi"/>
          <w:lang w:val="en-US"/>
        </w:rPr>
        <w:t xml:space="preserve">FHR </w:t>
      </w:r>
      <w:r w:rsidR="00000DAC">
        <w:rPr>
          <w:rFonts w:asciiTheme="minorHAnsi" w:hAnsiTheme="minorHAnsi" w:cstheme="minorHAnsi"/>
          <w:lang w:val="en-US"/>
        </w:rPr>
        <w:t xml:space="preserve">delegates </w:t>
      </w:r>
      <w:r w:rsidRPr="00C2405A">
        <w:rPr>
          <w:rFonts w:asciiTheme="minorHAnsi" w:hAnsiTheme="minorHAnsi" w:cstheme="minorHAnsi"/>
          <w:lang w:val="en-US"/>
        </w:rPr>
        <w:t>that, pursuant to Article 1 of the ITU</w:t>
      </w:r>
      <w:r w:rsidR="00B05FB0">
        <w:rPr>
          <w:rFonts w:asciiTheme="minorHAnsi" w:hAnsiTheme="minorHAnsi" w:cstheme="minorHAnsi"/>
          <w:lang w:val="en-US"/>
        </w:rPr>
        <w:t> </w:t>
      </w:r>
      <w:r w:rsidRPr="00C2405A">
        <w:rPr>
          <w:rFonts w:asciiTheme="minorHAnsi" w:hAnsiTheme="minorHAnsi" w:cstheme="minorHAnsi"/>
          <w:lang w:val="en-US"/>
        </w:rPr>
        <w:t>Constitution, the management of satellite network filings constitu</w:t>
      </w:r>
      <w:r>
        <w:rPr>
          <w:rFonts w:asciiTheme="minorHAnsi" w:hAnsiTheme="minorHAnsi" w:cstheme="minorHAnsi"/>
          <w:lang w:val="en-US"/>
        </w:rPr>
        <w:t>t</w:t>
      </w:r>
      <w:r w:rsidRPr="00C2405A">
        <w:rPr>
          <w:rFonts w:asciiTheme="minorHAnsi" w:hAnsiTheme="minorHAnsi" w:cstheme="minorHAnsi"/>
          <w:lang w:val="en-US"/>
        </w:rPr>
        <w:t xml:space="preserve">es an activity mandated to the ITU, and as such should be financed through the </w:t>
      </w:r>
      <w:r w:rsidR="00B05FB0">
        <w:rPr>
          <w:rFonts w:asciiTheme="minorHAnsi" w:hAnsiTheme="minorHAnsi" w:cstheme="minorHAnsi"/>
          <w:lang w:val="en-US"/>
        </w:rPr>
        <w:t>ITU's</w:t>
      </w:r>
      <w:r w:rsidRPr="00C2405A">
        <w:rPr>
          <w:rFonts w:asciiTheme="minorHAnsi" w:hAnsiTheme="minorHAnsi" w:cstheme="minorHAnsi"/>
          <w:lang w:val="en-US"/>
        </w:rPr>
        <w:t xml:space="preserve"> regular budget, funded by contributions from Member States.</w:t>
      </w:r>
    </w:p>
    <w:p w14:paraId="273B5BEB" w14:textId="290D0722" w:rsidR="00000DAC" w:rsidRDefault="00ED6FC7" w:rsidP="00DE0C50">
      <w:pPr>
        <w:jc w:val="both"/>
      </w:pPr>
      <w:r>
        <w:rPr>
          <w:rFonts w:asciiTheme="minorHAnsi" w:hAnsiTheme="minorHAnsi" w:cstheme="minorHAnsi"/>
          <w:lang w:val="en-US"/>
        </w:rPr>
        <w:t>We</w:t>
      </w:r>
      <w:r w:rsidR="00C2405A" w:rsidRPr="00C2405A">
        <w:rPr>
          <w:rFonts w:asciiTheme="minorHAnsi" w:hAnsiTheme="minorHAnsi" w:cstheme="minorHAnsi"/>
          <w:lang w:val="en-US"/>
        </w:rPr>
        <w:t xml:space="preserve"> object to the prevailing ITU approach that SNF fees should be imposed</w:t>
      </w:r>
      <w:r w:rsidR="00FC3318">
        <w:rPr>
          <w:rFonts w:asciiTheme="minorHAnsi" w:hAnsiTheme="minorHAnsi" w:cstheme="minorHAnsi"/>
          <w:lang w:val="en-US"/>
        </w:rPr>
        <w:t>-or indeed increased-</w:t>
      </w:r>
      <w:r w:rsidR="00000DAC">
        <w:rPr>
          <w:rFonts w:asciiTheme="minorHAnsi" w:hAnsiTheme="minorHAnsi" w:cstheme="minorHAnsi"/>
          <w:lang w:val="en-US"/>
        </w:rPr>
        <w:t xml:space="preserve"> </w:t>
      </w:r>
      <w:r w:rsidR="00C2405A" w:rsidRPr="00C2405A">
        <w:rPr>
          <w:rFonts w:asciiTheme="minorHAnsi" w:hAnsiTheme="minorHAnsi" w:cstheme="minorHAnsi"/>
          <w:lang w:val="en-US"/>
        </w:rPr>
        <w:t>to recover all direct, indirect and capital costs of processing satellite network filings. There is no justification for funding a constitutionally mandated ITU activity through external parties</w:t>
      </w:r>
      <w:r w:rsidR="00C2405A">
        <w:rPr>
          <w:rFonts w:asciiTheme="minorHAnsi" w:hAnsiTheme="minorHAnsi" w:cstheme="minorHAnsi"/>
          <w:lang w:val="en-US"/>
        </w:rPr>
        <w:t xml:space="preserve"> </w:t>
      </w:r>
      <w:r>
        <w:rPr>
          <w:rFonts w:asciiTheme="minorHAnsi" w:hAnsiTheme="minorHAnsi" w:cstheme="minorHAnsi"/>
          <w:lang w:val="en-US"/>
        </w:rPr>
        <w:t>-</w:t>
      </w:r>
      <w:r w:rsidR="00C2405A">
        <w:rPr>
          <w:rFonts w:asciiTheme="minorHAnsi" w:hAnsiTheme="minorHAnsi" w:cstheme="minorHAnsi"/>
          <w:lang w:val="en-US"/>
        </w:rPr>
        <w:t>sa</w:t>
      </w:r>
      <w:r w:rsidR="00000DAC">
        <w:rPr>
          <w:rFonts w:asciiTheme="minorHAnsi" w:hAnsiTheme="minorHAnsi" w:cstheme="minorHAnsi"/>
          <w:lang w:val="en-US"/>
        </w:rPr>
        <w:t xml:space="preserve">tellite system operators. </w:t>
      </w:r>
      <w:r w:rsidR="00000DAC" w:rsidRPr="00000DAC">
        <w:rPr>
          <w:rFonts w:asciiTheme="minorHAnsi" w:hAnsiTheme="minorHAnsi" w:cstheme="minorHAnsi"/>
          <w:lang w:val="en-US"/>
        </w:rPr>
        <w:t xml:space="preserve">The Russian Federation understands that this position is shared by </w:t>
      </w:r>
      <w:r w:rsidR="005A3AEF" w:rsidRPr="00000DAC">
        <w:rPr>
          <w:rFonts w:asciiTheme="minorHAnsi" w:hAnsiTheme="minorHAnsi" w:cstheme="minorHAnsi"/>
          <w:lang w:val="en-US"/>
        </w:rPr>
        <w:t>several</w:t>
      </w:r>
      <w:r w:rsidR="00000DAC" w:rsidRPr="00000DAC">
        <w:rPr>
          <w:rFonts w:asciiTheme="minorHAnsi" w:hAnsiTheme="minorHAnsi" w:cstheme="minorHAnsi"/>
          <w:lang w:val="en-US"/>
        </w:rPr>
        <w:t xml:space="preserve"> Member States.</w:t>
      </w:r>
      <w:r w:rsidR="00000DAC" w:rsidRPr="00000DAC">
        <w:t xml:space="preserve"> </w:t>
      </w:r>
    </w:p>
    <w:p w14:paraId="1DE7F69F" w14:textId="47F35C79" w:rsidR="005621F8" w:rsidRDefault="00ED6FC7" w:rsidP="00DE0C50">
      <w:pPr>
        <w:jc w:val="both"/>
        <w:rPr>
          <w:rFonts w:asciiTheme="minorHAnsi" w:hAnsiTheme="minorHAnsi" w:cstheme="minorHAnsi"/>
          <w:lang w:val="en-US"/>
        </w:rPr>
      </w:pPr>
      <w:r>
        <w:rPr>
          <w:rFonts w:asciiTheme="minorHAnsi" w:hAnsiTheme="minorHAnsi" w:cstheme="minorHAnsi"/>
        </w:rPr>
        <w:t>We</w:t>
      </w:r>
      <w:r w:rsidR="00000DAC" w:rsidRPr="00000DAC">
        <w:rPr>
          <w:rFonts w:asciiTheme="minorHAnsi" w:hAnsiTheme="minorHAnsi" w:cstheme="minorHAnsi"/>
          <w:lang w:val="en-US"/>
        </w:rPr>
        <w:t xml:space="preserve"> consider that the ITU should pursue a gradual transition to funding the processing of all satellite network filings through Member States’ annual contributions/the regular budget</w:t>
      </w:r>
      <w:r w:rsidR="00000DAC">
        <w:rPr>
          <w:rFonts w:asciiTheme="minorHAnsi" w:hAnsiTheme="minorHAnsi" w:cstheme="minorHAnsi"/>
          <w:lang w:val="en-US"/>
        </w:rPr>
        <w:t>.</w:t>
      </w:r>
    </w:p>
    <w:p w14:paraId="0780CD68" w14:textId="770A3483" w:rsidR="00C2405A" w:rsidRDefault="00000DAC" w:rsidP="00DE0C50">
      <w:pPr>
        <w:jc w:val="both"/>
        <w:rPr>
          <w:rFonts w:asciiTheme="minorHAnsi" w:hAnsiTheme="minorHAnsi" w:cstheme="minorHAnsi"/>
          <w:lang w:val="en-US"/>
        </w:rPr>
      </w:pPr>
      <w:r w:rsidRPr="00000DAC">
        <w:rPr>
          <w:rFonts w:asciiTheme="minorHAnsi" w:hAnsiTheme="minorHAnsi" w:cstheme="minorHAnsi"/>
          <w:lang w:val="en-US"/>
        </w:rPr>
        <w:t>As an additional consideration, geostationary satellite network operators have recently experienced declining revenues from satellite resource sales, with payback periods extending toward the satellites’ operational lifespan. This trend is eroding the profitability of satellite constellation operators. Even major operators have pursued significant mergers (Viasat</w:t>
      </w:r>
      <w:r w:rsidR="00937748">
        <w:rPr>
          <w:rFonts w:asciiTheme="minorHAnsi" w:hAnsiTheme="minorHAnsi" w:cstheme="minorHAnsi"/>
          <w:lang w:val="en-US"/>
        </w:rPr>
        <w:noBreakHyphen/>
      </w:r>
      <w:r w:rsidRPr="00000DAC">
        <w:rPr>
          <w:rFonts w:asciiTheme="minorHAnsi" w:hAnsiTheme="minorHAnsi" w:cstheme="minorHAnsi"/>
          <w:lang w:val="en-US"/>
        </w:rPr>
        <w:t>Inmarsat, Intelsat</w:t>
      </w:r>
      <w:r w:rsidR="00937748">
        <w:rPr>
          <w:rFonts w:asciiTheme="minorHAnsi" w:hAnsiTheme="minorHAnsi" w:cstheme="minorHAnsi"/>
          <w:lang w:val="en-US"/>
        </w:rPr>
        <w:t>-</w:t>
      </w:r>
      <w:r w:rsidRPr="00000DAC">
        <w:rPr>
          <w:rFonts w:asciiTheme="minorHAnsi" w:hAnsiTheme="minorHAnsi" w:cstheme="minorHAnsi"/>
          <w:lang w:val="en-US"/>
        </w:rPr>
        <w:t>SES, etc.), while smaller national constellations face acute financial challenges. Last year, only six GEO satellites were ordered</w:t>
      </w:r>
      <w:r w:rsidR="00937748">
        <w:rPr>
          <w:rFonts w:asciiTheme="minorHAnsi" w:hAnsiTheme="minorHAnsi" w:cstheme="minorHAnsi"/>
          <w:lang w:val="en-US"/>
        </w:rPr>
        <w:t xml:space="preserve"> —</w:t>
      </w:r>
      <w:r w:rsidRPr="00000DAC">
        <w:rPr>
          <w:rFonts w:asciiTheme="minorHAnsi" w:hAnsiTheme="minorHAnsi" w:cstheme="minorHAnsi"/>
          <w:lang w:val="en-US"/>
        </w:rPr>
        <w:t>the lowest number in decades</w:t>
      </w:r>
      <w:r w:rsidR="00937748">
        <w:rPr>
          <w:rFonts w:asciiTheme="minorHAnsi" w:hAnsiTheme="minorHAnsi" w:cstheme="minorHAnsi"/>
          <w:lang w:val="en-US"/>
        </w:rPr>
        <w:t xml:space="preserve">— </w:t>
      </w:r>
      <w:r w:rsidRPr="00000DAC">
        <w:rPr>
          <w:rFonts w:asciiTheme="minorHAnsi" w:hAnsiTheme="minorHAnsi" w:cstheme="minorHAnsi"/>
          <w:lang w:val="en-US"/>
        </w:rPr>
        <w:t>reflecting a market shift toward smaller, more agile satellites and away from traditional large platforms.</w:t>
      </w:r>
      <w:r>
        <w:rPr>
          <w:rFonts w:asciiTheme="minorHAnsi" w:hAnsiTheme="minorHAnsi" w:cstheme="minorHAnsi"/>
          <w:lang w:val="en-US"/>
        </w:rPr>
        <w:t xml:space="preserve"> </w:t>
      </w:r>
      <w:r w:rsidRPr="00000DAC">
        <w:rPr>
          <w:rFonts w:asciiTheme="minorHAnsi" w:hAnsiTheme="minorHAnsi" w:cstheme="minorHAnsi"/>
          <w:lang w:val="en-US"/>
        </w:rPr>
        <w:t>The number of non-GEO system projects has also declined sharply due to reduced investor funding.</w:t>
      </w:r>
    </w:p>
    <w:p w14:paraId="1327DF7C" w14:textId="0E785EE5" w:rsidR="00ED6FC7" w:rsidRDefault="00ED6FC7" w:rsidP="00DE0C50">
      <w:pPr>
        <w:jc w:val="both"/>
        <w:rPr>
          <w:rFonts w:asciiTheme="minorHAnsi" w:hAnsiTheme="minorHAnsi" w:cstheme="minorHAnsi"/>
          <w:lang w:val="en-US"/>
        </w:rPr>
      </w:pPr>
      <w:r w:rsidRPr="00ED6FC7">
        <w:rPr>
          <w:rFonts w:asciiTheme="minorHAnsi" w:hAnsiTheme="minorHAnsi" w:cstheme="minorHAnsi"/>
          <w:lang w:val="en-US"/>
        </w:rPr>
        <w:t xml:space="preserve">We recognize that the ITU is currently in a critical situation, and extraordinary measures are being taken to cover the budget deficit. Specifically, the cost of SNF has been increased, causing irreparable harm to satellite industry companies and contradicting the original intent of introducing such a fee, eliminating </w:t>
      </w:r>
      <w:r w:rsidR="00937748">
        <w:rPr>
          <w:rFonts w:asciiTheme="minorHAnsi" w:hAnsiTheme="minorHAnsi" w:cstheme="minorHAnsi"/>
          <w:lang w:val="en-US"/>
        </w:rPr>
        <w:t>"</w:t>
      </w:r>
      <w:r w:rsidRPr="00ED6FC7">
        <w:rPr>
          <w:rFonts w:asciiTheme="minorHAnsi" w:hAnsiTheme="minorHAnsi" w:cstheme="minorHAnsi"/>
          <w:lang w:val="en-US"/>
        </w:rPr>
        <w:t xml:space="preserve">paper </w:t>
      </w:r>
      <w:r w:rsidR="005A3AEF" w:rsidRPr="00ED6FC7">
        <w:rPr>
          <w:rFonts w:asciiTheme="minorHAnsi" w:hAnsiTheme="minorHAnsi" w:cstheme="minorHAnsi"/>
          <w:lang w:val="en-US"/>
        </w:rPr>
        <w:t>applications</w:t>
      </w:r>
      <w:r w:rsidR="00D44907" w:rsidRPr="00F37217">
        <w:rPr>
          <w:rFonts w:asciiTheme="minorHAnsi" w:hAnsiTheme="minorHAnsi" w:cstheme="minorHAnsi"/>
          <w:lang w:val="en-US"/>
        </w:rPr>
        <w:t>/</w:t>
      </w:r>
      <w:r w:rsidR="00D44907">
        <w:rPr>
          <w:rFonts w:asciiTheme="minorHAnsi" w:hAnsiTheme="minorHAnsi" w:cstheme="minorHAnsi"/>
          <w:lang w:val="en-US"/>
        </w:rPr>
        <w:t>networks</w:t>
      </w:r>
      <w:r w:rsidR="00937748">
        <w:rPr>
          <w:rFonts w:asciiTheme="minorHAnsi" w:hAnsiTheme="minorHAnsi" w:cstheme="minorHAnsi"/>
          <w:lang w:val="en-US"/>
        </w:rPr>
        <w:t>"</w:t>
      </w:r>
      <w:r w:rsidR="005A3AEF" w:rsidRPr="00ED6FC7">
        <w:rPr>
          <w:rFonts w:asciiTheme="minorHAnsi" w:hAnsiTheme="minorHAnsi" w:cstheme="minorHAnsi"/>
          <w:lang w:val="en-US"/>
        </w:rPr>
        <w:t>.</w:t>
      </w:r>
    </w:p>
    <w:p w14:paraId="14A06BBE" w14:textId="4EB5DFE7" w:rsidR="00C2405A" w:rsidRPr="00F37217" w:rsidRDefault="00ED6FC7" w:rsidP="00DE0C50">
      <w:pPr>
        <w:jc w:val="both"/>
        <w:rPr>
          <w:rFonts w:asciiTheme="minorHAnsi" w:hAnsiTheme="minorHAnsi" w:cstheme="minorHAnsi"/>
          <w:lang w:val="en-US"/>
        </w:rPr>
      </w:pPr>
      <w:r>
        <w:rPr>
          <w:rFonts w:asciiTheme="minorHAnsi" w:hAnsiTheme="minorHAnsi" w:cstheme="minorHAnsi"/>
          <w:lang w:val="en-US"/>
        </w:rPr>
        <w:t>We maintain</w:t>
      </w:r>
      <w:r w:rsidRPr="00ED6FC7">
        <w:rPr>
          <w:rFonts w:asciiTheme="minorHAnsi" w:hAnsiTheme="minorHAnsi" w:cstheme="minorHAnsi"/>
          <w:lang w:val="en-US"/>
        </w:rPr>
        <w:t xml:space="preserve"> that funding for satellite network filings processing and other core mandated activities should be secured by reducing the ITU’s non-core </w:t>
      </w:r>
      <w:r w:rsidR="005A3AEF" w:rsidRPr="00ED6FC7">
        <w:rPr>
          <w:rFonts w:asciiTheme="minorHAnsi" w:hAnsiTheme="minorHAnsi" w:cstheme="minorHAnsi"/>
          <w:lang w:val="en-US"/>
        </w:rPr>
        <w:t>expenditure</w:t>
      </w:r>
      <w:r w:rsidRPr="00ED6FC7">
        <w:rPr>
          <w:rFonts w:asciiTheme="minorHAnsi" w:hAnsiTheme="minorHAnsi" w:cstheme="minorHAnsi"/>
          <w:lang w:val="en-US"/>
        </w:rPr>
        <w:t>, particularly those of the General Secretariat</w:t>
      </w:r>
      <w:r w:rsidR="005A3AEF" w:rsidRPr="005A3AEF">
        <w:rPr>
          <w:rFonts w:asciiTheme="minorHAnsi" w:hAnsiTheme="minorHAnsi" w:cstheme="minorHAnsi"/>
          <w:lang w:val="en-US"/>
        </w:rPr>
        <w:t>.</w:t>
      </w:r>
    </w:p>
    <w:p w14:paraId="417B5DE9" w14:textId="7340453B" w:rsidR="005A3AEF" w:rsidRPr="005A3AEF" w:rsidRDefault="005A3AEF" w:rsidP="00DE0C50">
      <w:pPr>
        <w:jc w:val="both"/>
        <w:rPr>
          <w:rFonts w:asciiTheme="minorHAnsi" w:hAnsiTheme="minorHAnsi" w:cstheme="minorHAnsi"/>
          <w:lang w:val="en-US"/>
        </w:rPr>
      </w:pPr>
      <w:r w:rsidRPr="005A3AEF">
        <w:rPr>
          <w:rFonts w:asciiTheme="minorHAnsi" w:hAnsiTheme="minorHAnsi" w:cstheme="minorHAnsi"/>
          <w:lang w:val="en-US"/>
        </w:rPr>
        <w:t xml:space="preserve">Finally, </w:t>
      </w:r>
      <w:r w:rsidR="003F50BE">
        <w:rPr>
          <w:rFonts w:asciiTheme="minorHAnsi" w:hAnsiTheme="minorHAnsi" w:cstheme="minorHAnsi"/>
          <w:lang w:val="en-US"/>
        </w:rPr>
        <w:t>we</w:t>
      </w:r>
      <w:r w:rsidRPr="005A3AEF">
        <w:rPr>
          <w:rFonts w:asciiTheme="minorHAnsi" w:hAnsiTheme="minorHAnsi" w:cstheme="minorHAnsi"/>
          <w:lang w:val="en-US"/>
        </w:rPr>
        <w:t xml:space="preserve"> note that developing a precise methodology for estimating the total cost of SNF registrations would ultimately facilitate their direct inclusion in the ITU's regular budget.</w:t>
      </w:r>
    </w:p>
    <w:p w14:paraId="7102D7A4" w14:textId="3E5991A8" w:rsidR="005A3AEF" w:rsidRPr="005A3AEF" w:rsidRDefault="005A3AEF" w:rsidP="00DE0C50">
      <w:pPr>
        <w:pStyle w:val="Heading1"/>
        <w:rPr>
          <w:lang w:val="en-US"/>
        </w:rPr>
      </w:pPr>
      <w:r w:rsidRPr="005A3AEF">
        <w:rPr>
          <w:lang w:val="en-US"/>
        </w:rPr>
        <w:lastRenderedPageBreak/>
        <w:t>2</w:t>
      </w:r>
      <w:r w:rsidR="00DE0C50">
        <w:rPr>
          <w:lang w:val="en-US"/>
        </w:rPr>
        <w:tab/>
      </w:r>
      <w:r w:rsidRPr="005A3AEF">
        <w:rPr>
          <w:lang w:val="en-US"/>
        </w:rPr>
        <w:t>Proposal</w:t>
      </w:r>
    </w:p>
    <w:p w14:paraId="672CB48F" w14:textId="6C4D8C21" w:rsidR="005A3AEF" w:rsidRDefault="005A3AEF" w:rsidP="00B05FB0">
      <w:pPr>
        <w:jc w:val="both"/>
        <w:rPr>
          <w:lang w:val="en-US"/>
        </w:rPr>
      </w:pPr>
      <w:r w:rsidRPr="005A3AEF">
        <w:rPr>
          <w:lang w:val="en-US"/>
        </w:rPr>
        <w:t>1</w:t>
      </w:r>
      <w:r w:rsidR="00B05FB0">
        <w:rPr>
          <w:lang w:val="en-US"/>
        </w:rPr>
        <w:tab/>
      </w:r>
      <w:r w:rsidRPr="005A3AEF">
        <w:rPr>
          <w:lang w:val="en-US"/>
        </w:rPr>
        <w:t>To instruct the Secretariat, in coordination with BR, to provide clear and detailed information</w:t>
      </w:r>
      <w:r w:rsidR="00937748">
        <w:rPr>
          <w:lang w:val="en-US"/>
        </w:rPr>
        <w:t xml:space="preserve"> —</w:t>
      </w:r>
      <w:r w:rsidRPr="005A3AEF">
        <w:rPr>
          <w:lang w:val="en-US"/>
        </w:rPr>
        <w:t>including specific formulas, inputs and assumptions</w:t>
      </w:r>
      <w:r w:rsidR="00937748">
        <w:rPr>
          <w:lang w:val="en-US"/>
        </w:rPr>
        <w:t xml:space="preserve">— </w:t>
      </w:r>
      <w:r w:rsidRPr="005A3AEF">
        <w:rPr>
          <w:lang w:val="en-US"/>
        </w:rPr>
        <w:t>for calculating direct, indirect and capital costs to be covered by ITU’s regular budget.</w:t>
      </w:r>
    </w:p>
    <w:p w14:paraId="1123289D" w14:textId="41420D33" w:rsidR="00D44907" w:rsidRDefault="00D44907" w:rsidP="00B05FB0">
      <w:pPr>
        <w:jc w:val="both"/>
        <w:rPr>
          <w:lang w:val="en-US"/>
        </w:rPr>
      </w:pPr>
      <w:r>
        <w:rPr>
          <w:lang w:val="en-US"/>
        </w:rPr>
        <w:t>2</w:t>
      </w:r>
      <w:r w:rsidR="00B05FB0">
        <w:rPr>
          <w:lang w:val="en-US"/>
        </w:rPr>
        <w:tab/>
      </w:r>
      <w:r w:rsidRPr="00D44907">
        <w:rPr>
          <w:lang w:val="en-US"/>
        </w:rPr>
        <w:t>To instruct the Secretariat to prepare appropriate measures that will ensure that the ITU budget is filled in the future without increasing the SNF fee.</w:t>
      </w:r>
    </w:p>
    <w:p w14:paraId="31C6CB07" w14:textId="77777777" w:rsidR="00B05FB0" w:rsidRDefault="00B05FB0" w:rsidP="00B05FB0">
      <w:pPr>
        <w:jc w:val="both"/>
        <w:rPr>
          <w:lang w:val="en-US"/>
        </w:rPr>
      </w:pPr>
    </w:p>
    <w:p w14:paraId="48C865BF" w14:textId="77777777" w:rsidR="00B05FB0" w:rsidRDefault="00B05FB0" w:rsidP="00B05FB0">
      <w:pPr>
        <w:jc w:val="both"/>
        <w:rPr>
          <w:lang w:val="en-US"/>
        </w:rPr>
      </w:pPr>
    </w:p>
    <w:p w14:paraId="606403F7" w14:textId="77777777" w:rsidR="00B05FB0" w:rsidRDefault="00B05FB0">
      <w:pPr>
        <w:jc w:val="center"/>
      </w:pPr>
      <w:r>
        <w:t>______________</w:t>
      </w:r>
    </w:p>
    <w:sectPr w:rsidR="00B05FB0" w:rsidSect="00AD3606">
      <w:footerReference w:type="default" r:id="rId12"/>
      <w:headerReference w:type="first" r:id="rId13"/>
      <w:footerReference w:type="first" r:id="rId14"/>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482BE" w14:textId="77777777" w:rsidR="00716B92" w:rsidRDefault="00716B92">
      <w:r>
        <w:separator/>
      </w:r>
    </w:p>
  </w:endnote>
  <w:endnote w:type="continuationSeparator" w:id="0">
    <w:p w14:paraId="354F4204" w14:textId="77777777" w:rsidR="00716B92" w:rsidRDefault="00716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xt2 W1G Medium">
    <w:panose1 w:val="020B0603020202020204"/>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07402CB9" w14:textId="77777777" w:rsidTr="0042469C">
      <w:trPr>
        <w:jc w:val="center"/>
      </w:trPr>
      <w:tc>
        <w:tcPr>
          <w:tcW w:w="1803" w:type="dxa"/>
          <w:vAlign w:val="center"/>
        </w:tcPr>
        <w:p w14:paraId="727FD637" w14:textId="0ADC8A39" w:rsidR="00EE49E8" w:rsidRDefault="00EE49E8" w:rsidP="00EE49E8">
          <w:pPr>
            <w:pStyle w:val="Header"/>
            <w:jc w:val="left"/>
            <w:rPr>
              <w:noProof/>
            </w:rPr>
          </w:pPr>
        </w:p>
      </w:tc>
      <w:tc>
        <w:tcPr>
          <w:tcW w:w="8261" w:type="dxa"/>
        </w:tcPr>
        <w:p w14:paraId="2D49E76E" w14:textId="4AD81FCF" w:rsidR="00EE49E8" w:rsidRPr="00E06FD5" w:rsidRDefault="00EE49E8" w:rsidP="00A52C84">
          <w:pPr>
            <w:pStyle w:val="Header"/>
            <w:tabs>
              <w:tab w:val="left" w:pos="6028"/>
              <w:tab w:val="right" w:pos="8505"/>
              <w:tab w:val="right" w:pos="9639"/>
            </w:tabs>
            <w:jc w:val="left"/>
            <w:rPr>
              <w:rFonts w:ascii="Arial" w:hAnsi="Arial" w:cs="Arial"/>
              <w:b/>
              <w:bCs/>
              <w:szCs w:val="18"/>
            </w:rPr>
          </w:pPr>
          <w:r>
            <w:rPr>
              <w:bCs/>
            </w:rPr>
            <w:tab/>
          </w:r>
          <w:r w:rsidR="00A52C84" w:rsidRPr="00623AE3">
            <w:rPr>
              <w:bCs/>
            </w:rPr>
            <w:t>C</w:t>
          </w:r>
          <w:r w:rsidR="00A52C84">
            <w:rPr>
              <w:bCs/>
            </w:rPr>
            <w:t>WG-</w:t>
          </w:r>
          <w:r w:rsidR="009F347C">
            <w:rPr>
              <w:bCs/>
            </w:rPr>
            <w:t>FHR</w:t>
          </w:r>
          <w:r w:rsidR="00A52C84">
            <w:rPr>
              <w:bCs/>
            </w:rPr>
            <w:t>-</w:t>
          </w:r>
          <w:r w:rsidR="003E2EF3">
            <w:rPr>
              <w:bCs/>
            </w:rPr>
            <w:t>22</w:t>
          </w:r>
          <w:r w:rsidR="00A52C84" w:rsidRPr="00623AE3">
            <w:rPr>
              <w:bCs/>
            </w:rPr>
            <w:t>/</w:t>
          </w:r>
          <w:r w:rsidR="00DE0C50">
            <w:rPr>
              <w:bCs/>
            </w:rPr>
            <w:t>27</w:t>
          </w:r>
          <w:r w:rsidR="00A52C84" w:rsidRPr="00623AE3">
            <w:rPr>
              <w:bCs/>
            </w:rPr>
            <w:t>-E</w:t>
          </w:r>
          <w:r>
            <w:rPr>
              <w:bCs/>
            </w:rPr>
            <w:tab/>
          </w:r>
          <w:r>
            <w:fldChar w:fldCharType="begin"/>
          </w:r>
          <w:r>
            <w:instrText>PAGE</w:instrText>
          </w:r>
          <w:r>
            <w:fldChar w:fldCharType="separate"/>
          </w:r>
          <w:r w:rsidR="00D44907">
            <w:rPr>
              <w:noProof/>
            </w:rPr>
            <w:t>3</w:t>
          </w:r>
          <w:r>
            <w:rPr>
              <w:noProof/>
            </w:rPr>
            <w:fldChar w:fldCharType="end"/>
          </w:r>
        </w:p>
      </w:tc>
    </w:tr>
  </w:tbl>
  <w:p w14:paraId="44006CCE"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784011" w14:paraId="4F588A4C" w14:textId="77777777" w:rsidTr="00A52C84">
      <w:trPr>
        <w:jc w:val="center"/>
      </w:trPr>
      <w:tc>
        <w:tcPr>
          <w:tcW w:w="3107" w:type="dxa"/>
          <w:vAlign w:val="center"/>
        </w:tcPr>
        <w:p w14:paraId="4E7A2825" w14:textId="4719E1F3" w:rsidR="00EE49E8" w:rsidRDefault="00A52C84" w:rsidP="00EE49E8">
          <w:pPr>
            <w:pStyle w:val="Header"/>
            <w:jc w:val="left"/>
            <w:rPr>
              <w:noProof/>
            </w:rPr>
          </w:pPr>
          <w:hyperlink r:id="rId1" w:history="1">
            <w:r w:rsidRPr="003E2EF3">
              <w:rPr>
                <w:rStyle w:val="Hyperlink"/>
              </w:rPr>
              <w:t>council.itu.int/working-groups</w:t>
            </w:r>
          </w:hyperlink>
        </w:p>
      </w:tc>
      <w:tc>
        <w:tcPr>
          <w:tcW w:w="6957" w:type="dxa"/>
        </w:tcPr>
        <w:p w14:paraId="3F62E0D8" w14:textId="0923CA53" w:rsidR="00EE49E8" w:rsidRPr="00E06FD5" w:rsidRDefault="00EE49E8" w:rsidP="00A52C84">
          <w:pPr>
            <w:pStyle w:val="Header"/>
            <w:tabs>
              <w:tab w:val="left" w:pos="4718"/>
              <w:tab w:val="right" w:pos="8505"/>
              <w:tab w:val="right" w:pos="9639"/>
            </w:tabs>
            <w:jc w:val="left"/>
            <w:rPr>
              <w:rFonts w:ascii="Arial" w:hAnsi="Arial" w:cs="Arial"/>
              <w:b/>
              <w:bCs/>
              <w:szCs w:val="18"/>
            </w:rPr>
          </w:pPr>
          <w:r>
            <w:rPr>
              <w:bCs/>
            </w:rPr>
            <w:tab/>
          </w:r>
          <w:r w:rsidRPr="00623AE3">
            <w:rPr>
              <w:bCs/>
            </w:rPr>
            <w:t>C</w:t>
          </w:r>
          <w:r w:rsidR="00A52C84">
            <w:rPr>
              <w:bCs/>
            </w:rPr>
            <w:t>WG-</w:t>
          </w:r>
          <w:r w:rsidR="009F347C">
            <w:rPr>
              <w:bCs/>
            </w:rPr>
            <w:t>FHR</w:t>
          </w:r>
          <w:r w:rsidR="00A52C84">
            <w:rPr>
              <w:bCs/>
            </w:rPr>
            <w:t>-</w:t>
          </w:r>
          <w:r w:rsidR="003E2EF3">
            <w:rPr>
              <w:bCs/>
            </w:rPr>
            <w:t>22</w:t>
          </w:r>
          <w:r w:rsidRPr="00623AE3">
            <w:rPr>
              <w:bCs/>
            </w:rPr>
            <w:t>/</w:t>
          </w:r>
          <w:r w:rsidR="00DE0C50">
            <w:rPr>
              <w:bCs/>
            </w:rPr>
            <w:t>27</w:t>
          </w:r>
          <w:r w:rsidRPr="00623AE3">
            <w:rPr>
              <w:bCs/>
            </w:rPr>
            <w:t>-E</w:t>
          </w:r>
          <w:r>
            <w:rPr>
              <w:bCs/>
            </w:rPr>
            <w:tab/>
          </w:r>
          <w:r>
            <w:fldChar w:fldCharType="begin"/>
          </w:r>
          <w:r>
            <w:instrText>PAGE</w:instrText>
          </w:r>
          <w:r>
            <w:fldChar w:fldCharType="separate"/>
          </w:r>
          <w:r w:rsidR="00D44907">
            <w:rPr>
              <w:noProof/>
            </w:rPr>
            <w:t>1</w:t>
          </w:r>
          <w:r>
            <w:rPr>
              <w:noProof/>
            </w:rPr>
            <w:fldChar w:fldCharType="end"/>
          </w:r>
        </w:p>
      </w:tc>
    </w:tr>
  </w:tbl>
  <w:p w14:paraId="12BE588F"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95589" w14:textId="77777777" w:rsidR="00716B92" w:rsidRDefault="00716B92">
      <w:r>
        <w:t>____________________</w:t>
      </w:r>
    </w:p>
  </w:footnote>
  <w:footnote w:type="continuationSeparator" w:id="0">
    <w:p w14:paraId="42B98976" w14:textId="77777777" w:rsidR="00716B92" w:rsidRDefault="00716B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6D4BB9D4" w14:textId="77777777" w:rsidTr="00F74694">
      <w:trPr>
        <w:trHeight w:val="1304"/>
        <w:jc w:val="center"/>
      </w:trPr>
      <w:tc>
        <w:tcPr>
          <w:tcW w:w="6546" w:type="dxa"/>
        </w:tcPr>
        <w:bookmarkStart w:id="11" w:name="_Hlk133422111"/>
        <w:p w14:paraId="3E21B143" w14:textId="178FA05C" w:rsidR="00AD3606" w:rsidRPr="009621F8" w:rsidRDefault="00DB00D5" w:rsidP="00130599">
          <w:pPr>
            <w:pStyle w:val="Header"/>
            <w:jc w:val="left"/>
            <w:rPr>
              <w:rFonts w:ascii="Arial" w:hAnsi="Arial" w:cs="Arial"/>
              <w:b/>
              <w:bCs/>
              <w:color w:val="009CD6"/>
              <w:sz w:val="36"/>
              <w:szCs w:val="36"/>
            </w:rPr>
          </w:pPr>
          <w:r>
            <w:rPr>
              <w:rFonts w:ascii="Arial" w:hAnsi="Arial" w:cs="Arial"/>
              <w:b/>
              <w:bCs/>
              <w:noProof/>
              <w:color w:val="009CD6"/>
              <w:szCs w:val="18"/>
              <w:lang w:val="ru-RU" w:eastAsia="ru-RU"/>
            </w:rPr>
            <mc:AlternateContent>
              <mc:Choice Requires="wps">
                <w:drawing>
                  <wp:anchor distT="0" distB="0" distL="114300" distR="114300" simplePos="0" relativeHeight="251661312" behindDoc="0" locked="0" layoutInCell="1" allowOverlap="1" wp14:anchorId="3E8A9757" wp14:editId="68E7D9A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DAAFC3" id="Rectangle 2" o:spid="_x0000_s1026" style="position:absolute;margin-left:44.9pt;margin-top:5pt;width:130.15pt;height:4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fillcolor="white [3212]" stroked="f" strokeweight="2pt"/>
                </w:pict>
              </mc:Fallback>
            </mc:AlternateContent>
          </w:r>
          <w:r w:rsidR="00AD3606">
            <w:rPr>
              <w:noProof/>
              <w:lang w:val="ru-RU" w:eastAsia="ru-RU"/>
            </w:rPr>
            <w:drawing>
              <wp:inline distT="0" distB="0" distL="0" distR="0" wp14:anchorId="4ED31E31" wp14:editId="6AF75EA6">
                <wp:extent cx="2250000" cy="62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2D9A3A2C" w14:textId="77777777" w:rsidR="00AD3606" w:rsidRDefault="00AD3606" w:rsidP="00AD3606">
          <w:pPr>
            <w:pStyle w:val="Header"/>
            <w:jc w:val="right"/>
            <w:rPr>
              <w:rFonts w:ascii="Arial" w:hAnsi="Arial" w:cs="Arial"/>
              <w:b/>
              <w:bCs/>
              <w:color w:val="009CD6"/>
              <w:szCs w:val="18"/>
            </w:rPr>
          </w:pPr>
        </w:p>
        <w:p w14:paraId="10B673DE" w14:textId="77777777" w:rsidR="00AD3606" w:rsidRDefault="00AD3606" w:rsidP="00AD3606">
          <w:pPr>
            <w:pStyle w:val="Header"/>
            <w:jc w:val="right"/>
            <w:rPr>
              <w:rFonts w:ascii="Arial" w:hAnsi="Arial" w:cs="Arial"/>
              <w:b/>
              <w:bCs/>
              <w:color w:val="009CD6"/>
              <w:szCs w:val="18"/>
            </w:rPr>
          </w:pPr>
        </w:p>
        <w:p w14:paraId="4287C2DF" w14:textId="0D65FB02"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0D24EB89" w14:textId="5739948F" w:rsidR="00AD3606" w:rsidRDefault="00DB00D5">
    <w:pPr>
      <w:pStyle w:val="Header"/>
    </w:pPr>
    <w:r w:rsidRPr="00802C2C">
      <w:rPr>
        <w:rFonts w:ascii="Avenir Nxt2 W1G Medium" w:eastAsia="Avenir Nxt2 W1G Medium" w:hAnsi="Avenir Nxt2 W1G Medium" w:cs="Avenir Nxt2 W1G Medium"/>
        <w:noProof/>
        <w:lang w:val="ru-RU" w:eastAsia="ru-RU"/>
      </w:rPr>
      <mc:AlternateContent>
        <mc:Choice Requires="wps">
          <w:drawing>
            <wp:anchor distT="0" distB="0" distL="114300" distR="114300" simplePos="0" relativeHeight="251659264" behindDoc="0" locked="0" layoutInCell="1" allowOverlap="1" wp14:anchorId="141CBB14" wp14:editId="6AD82C93">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511999"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r w:rsidRPr="00130599">
      <w:rPr>
        <w:rFonts w:ascii="Arial" w:eastAsiaTheme="minorHAnsi" w:hAnsi="Arial" w:cs="Arial"/>
        <w:b/>
        <w:bCs/>
        <w:noProof/>
        <w:color w:val="009CD6"/>
        <w:szCs w:val="18"/>
        <w:lang w:val="ru-RU" w:eastAsia="ru-RU"/>
      </w:rPr>
      <mc:AlternateContent>
        <mc:Choice Requires="wps">
          <w:drawing>
            <wp:anchor distT="0" distB="0" distL="114300" distR="114300" simplePos="0" relativeHeight="251662336" behindDoc="0" locked="0" layoutInCell="1" allowOverlap="1" wp14:anchorId="4E9A2C87" wp14:editId="3E001D8E">
              <wp:simplePos x="0" y="0"/>
              <wp:positionH relativeFrom="column">
                <wp:posOffset>306754</wp:posOffset>
              </wp:positionH>
              <wp:positionV relativeFrom="paragraph">
                <wp:posOffset>-835660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0B44A3EE" w14:textId="34A058D9"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3058DA">
                            <w:rPr>
                              <w:b/>
                              <w:bCs/>
                              <w:szCs w:val="24"/>
                            </w:rPr>
                            <w:t xml:space="preserve">financial </w:t>
                          </w:r>
                          <w:r w:rsidR="009F347C">
                            <w:rPr>
                              <w:b/>
                              <w:bCs/>
                              <w:szCs w:val="24"/>
                            </w:rPr>
                            <w:t xml:space="preserve">and </w:t>
                          </w:r>
                          <w:r w:rsidR="003058DA">
                            <w:rPr>
                              <w:b/>
                              <w:bCs/>
                              <w:szCs w:val="24"/>
                            </w:rPr>
                            <w:t>human resources</w:t>
                          </w:r>
                          <w:r>
                            <w:br/>
                          </w:r>
                          <w:r w:rsidR="003E2EF3">
                            <w:rPr>
                              <w:sz w:val="20"/>
                            </w:rPr>
                            <w:t>Twenty-second</w:t>
                          </w:r>
                          <w:r w:rsidRPr="00130599">
                            <w:rPr>
                              <w:sz w:val="20"/>
                            </w:rPr>
                            <w:t xml:space="preserve"> meeting </w:t>
                          </w:r>
                          <w:r w:rsidR="00A94376">
                            <w:rPr>
                              <w:sz w:val="20"/>
                            </w:rPr>
                            <w:t>–</w:t>
                          </w:r>
                          <w:r w:rsidR="00B358B2">
                            <w:rPr>
                              <w:sz w:val="20"/>
                            </w:rPr>
                            <w:t xml:space="preserve"> </w:t>
                          </w:r>
                          <w:r w:rsidR="00E03C3D">
                            <w:rPr>
                              <w:sz w:val="20"/>
                            </w:rPr>
                            <w:t xml:space="preserve">From </w:t>
                          </w:r>
                          <w:r w:rsidR="009B558B">
                            <w:rPr>
                              <w:sz w:val="20"/>
                            </w:rPr>
                            <w:t xml:space="preserve">14 (p.m.) to 16 </w:t>
                          </w:r>
                          <w:r w:rsidR="003E2EF3">
                            <w:rPr>
                              <w:sz w:val="20"/>
                            </w:rPr>
                            <w:t xml:space="preserve">January </w:t>
                          </w:r>
                          <w:r w:rsidR="00E03C3D">
                            <w:rPr>
                              <w:sz w:val="20"/>
                            </w:rPr>
                            <w:t>202</w:t>
                          </w:r>
                          <w:r w:rsidR="003E2EF3">
                            <w:rPr>
                              <w:sz w:val="20"/>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9A2C87" id="_x0000_t202" coordsize="21600,21600" o:spt="202" path="m,l,21600r21600,l21600,xe">
              <v:stroke joinstyle="miter"/>
              <v:path gradientshapeok="t" o:connecttype="rect"/>
            </v:shapetype>
            <v:shape id="Text Box 2" o:spid="_x0000_s1026" type="#_x0000_t202" style="position:absolute;left:0;text-align:left;margin-left:24.15pt;margin-top:-65.8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zb+gEAAM0DAAAOAAAAZHJzL2Uyb0RvYy54bWysU8tu2zAQvBfoPxC817Icu4kFy0Ga1EWB&#10;9AGk/QCaoiyiJJfl0pbcr++SchyjvRXVgVhqydmd2eHqdrCGHVRADa7m5WTKmXISGu12Nf/+bfPm&#10;hjOMwjXCgFM1Pyrkt+vXr1a9r9QMOjCNCoxAHFa9r3kXo6+KAmWnrMAJeOUo2UKwItI27IomiJ7Q&#10;rSlm0+nboofQ+ABSIdLfhzHJ1xm/bZWMX9oWVWSm5tRbzGvI6zatxXolql0QvtPy1Ib4hy6s0I6K&#10;nqEeRBRsH/RfUFbLAAhtnEiwBbStlipzIDbl9A82T53wKnMhcdCfZcL/Bys/H57818Di8A4GGmAm&#10;gf4R5A9kDu474XbqLgToOyUaKlwmyYreY3W6mqTGChPItv8EDQ1Z7CNkoKENNqlCPBmh0wCOZ9HV&#10;EJmkn1fL5XJ2RSlJufl1WV7nqRSier7tA8YPCixLQc0DDTWji8MjxtSNqJ6PpGIONtqYPFjjWF/z&#10;5WK2yBcuMlZH8p3RtuY30/SNTkgk37smX45CmzGmAsadWCeiI+U4bAc6mNhvoTkS/wCjv+g9UNBB&#10;+MVZT96qOf7ci6A4Mx8dabgs5/NkxryZL65ntAmXme1lRjhJUDWPnI3hfcwGTlzR35HWG51leOnk&#10;1Ct5Jqtz8ncy5eU+n3p5hevfAAAA//8DAFBLAwQUAAYACAAAACEAKtHHSeAAAAALAQAADwAAAGRy&#10;cy9kb3ducmV2LnhtbEyPTU/DMAyG70j8h8hI3La0bOuq0nSa+JA4cGGUu9eYpqJxqiZbu39POLGj&#10;7Uevn7fczbYXZxp951hBukxAEDdOd9wqqD9fFzkIH5A19o5JwYU87KrbmxIL7Sb+oPMhtCKGsC9Q&#10;gQlhKKT0jSGLfukG4nj7dqPFEMexlXrEKYbbXj4kSSYtdhw/GBzoyVDzczhZBSHofXqpX6x/+5rf&#10;nyeTNBuslbq/m/ePIALN4R+GP/2oDlV0OroTay96Bet8FUkFi3SVZiAikW3zFMQxrjbbNciqlNcd&#10;ql8AAAD//wMAUEsBAi0AFAAGAAgAAAAhALaDOJL+AAAA4QEAABMAAAAAAAAAAAAAAAAAAAAAAFtD&#10;b250ZW50X1R5cGVzXS54bWxQSwECLQAUAAYACAAAACEAOP0h/9YAAACUAQAACwAAAAAAAAAAAAAA&#10;AAAvAQAAX3JlbHMvLnJlbHNQSwECLQAUAAYACAAAACEAIDWs2/oBAADNAwAADgAAAAAAAAAAAAAA&#10;AAAuAgAAZHJzL2Uyb0RvYy54bWxQSwECLQAUAAYACAAAACEAKtHHSeAAAAALAQAADwAAAAAAAAAA&#10;AAAAAABUBAAAZHJzL2Rvd25yZXYueG1sUEsFBgAAAAAEAAQA8wAAAGEFAAAAAA==&#10;" filled="f" stroked="f">
              <v:textbox style="mso-fit-shape-to-text:t">
                <w:txbxContent>
                  <w:p w14:paraId="0B44A3EE" w14:textId="34A058D9"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3058DA">
                      <w:rPr>
                        <w:b/>
                        <w:bCs/>
                        <w:szCs w:val="24"/>
                      </w:rPr>
                      <w:t xml:space="preserve">financial </w:t>
                    </w:r>
                    <w:r w:rsidR="009F347C">
                      <w:rPr>
                        <w:b/>
                        <w:bCs/>
                        <w:szCs w:val="24"/>
                      </w:rPr>
                      <w:t xml:space="preserve">and </w:t>
                    </w:r>
                    <w:r w:rsidR="003058DA">
                      <w:rPr>
                        <w:b/>
                        <w:bCs/>
                        <w:szCs w:val="24"/>
                      </w:rPr>
                      <w:t>human resources</w:t>
                    </w:r>
                    <w:r>
                      <w:br/>
                    </w:r>
                    <w:r w:rsidR="003E2EF3">
                      <w:rPr>
                        <w:sz w:val="20"/>
                      </w:rPr>
                      <w:t>Twenty-second</w:t>
                    </w:r>
                    <w:r w:rsidRPr="00130599">
                      <w:rPr>
                        <w:sz w:val="20"/>
                      </w:rPr>
                      <w:t xml:space="preserve"> meeting </w:t>
                    </w:r>
                    <w:r w:rsidR="00A94376">
                      <w:rPr>
                        <w:sz w:val="20"/>
                      </w:rPr>
                      <w:t>–</w:t>
                    </w:r>
                    <w:r w:rsidR="00B358B2">
                      <w:rPr>
                        <w:sz w:val="20"/>
                      </w:rPr>
                      <w:t xml:space="preserve"> </w:t>
                    </w:r>
                    <w:r w:rsidR="00E03C3D">
                      <w:rPr>
                        <w:sz w:val="20"/>
                      </w:rPr>
                      <w:t xml:space="preserve">From </w:t>
                    </w:r>
                    <w:r w:rsidR="009B558B">
                      <w:rPr>
                        <w:sz w:val="20"/>
                      </w:rPr>
                      <w:t xml:space="preserve">14 (p.m.) to 16 </w:t>
                    </w:r>
                    <w:r w:rsidR="003E2EF3">
                      <w:rPr>
                        <w:sz w:val="20"/>
                      </w:rPr>
                      <w:t xml:space="preserve">January </w:t>
                    </w:r>
                    <w:r w:rsidR="00E03C3D">
                      <w:rPr>
                        <w:sz w:val="20"/>
                      </w:rPr>
                      <w:t>202</w:t>
                    </w:r>
                    <w:r w:rsidR="003E2EF3">
                      <w:rPr>
                        <w:sz w:val="20"/>
                      </w:rPr>
                      <w:t>6</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426A259B"/>
    <w:multiLevelType w:val="hybridMultilevel"/>
    <w:tmpl w:val="E3BAD93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16cid:durableId="1553269713">
    <w:abstractNumId w:val="0"/>
  </w:num>
  <w:num w:numId="2" w16cid:durableId="99421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6E2"/>
    <w:rsid w:val="00000DAC"/>
    <w:rsid w:val="000210D4"/>
    <w:rsid w:val="00022A8E"/>
    <w:rsid w:val="00030FAF"/>
    <w:rsid w:val="00047333"/>
    <w:rsid w:val="0005318D"/>
    <w:rsid w:val="00062E08"/>
    <w:rsid w:val="00063016"/>
    <w:rsid w:val="00066795"/>
    <w:rsid w:val="00076AF6"/>
    <w:rsid w:val="00085CF2"/>
    <w:rsid w:val="000A57A6"/>
    <w:rsid w:val="000B1705"/>
    <w:rsid w:val="000D75B2"/>
    <w:rsid w:val="000F16B7"/>
    <w:rsid w:val="001107C8"/>
    <w:rsid w:val="001121F5"/>
    <w:rsid w:val="001125D9"/>
    <w:rsid w:val="00130599"/>
    <w:rsid w:val="001400DC"/>
    <w:rsid w:val="00140CE1"/>
    <w:rsid w:val="00167853"/>
    <w:rsid w:val="001751FF"/>
    <w:rsid w:val="0017539C"/>
    <w:rsid w:val="00175AC2"/>
    <w:rsid w:val="00175F4E"/>
    <w:rsid w:val="0017609F"/>
    <w:rsid w:val="0019628A"/>
    <w:rsid w:val="001A7D1D"/>
    <w:rsid w:val="001B51DD"/>
    <w:rsid w:val="001C628E"/>
    <w:rsid w:val="001E0F7B"/>
    <w:rsid w:val="001E0FBE"/>
    <w:rsid w:val="002119FD"/>
    <w:rsid w:val="002130E0"/>
    <w:rsid w:val="00215A2C"/>
    <w:rsid w:val="002404ED"/>
    <w:rsid w:val="00244F7F"/>
    <w:rsid w:val="00250772"/>
    <w:rsid w:val="00260ACE"/>
    <w:rsid w:val="00264425"/>
    <w:rsid w:val="00265875"/>
    <w:rsid w:val="0027303B"/>
    <w:rsid w:val="0028109B"/>
    <w:rsid w:val="00283661"/>
    <w:rsid w:val="002A2188"/>
    <w:rsid w:val="002B1F58"/>
    <w:rsid w:val="002C1C7A"/>
    <w:rsid w:val="002C54E2"/>
    <w:rsid w:val="002D5DBD"/>
    <w:rsid w:val="0030160F"/>
    <w:rsid w:val="003058DA"/>
    <w:rsid w:val="00320223"/>
    <w:rsid w:val="00322D0D"/>
    <w:rsid w:val="00340A2D"/>
    <w:rsid w:val="00346820"/>
    <w:rsid w:val="003515F5"/>
    <w:rsid w:val="00361465"/>
    <w:rsid w:val="00370495"/>
    <w:rsid w:val="003877F5"/>
    <w:rsid w:val="003942D4"/>
    <w:rsid w:val="003958A8"/>
    <w:rsid w:val="003B3480"/>
    <w:rsid w:val="003B6D23"/>
    <w:rsid w:val="003C2533"/>
    <w:rsid w:val="003C52AE"/>
    <w:rsid w:val="003C5E58"/>
    <w:rsid w:val="003D55B9"/>
    <w:rsid w:val="003D5A7F"/>
    <w:rsid w:val="003E2EF3"/>
    <w:rsid w:val="003E49B5"/>
    <w:rsid w:val="003F50BE"/>
    <w:rsid w:val="004016E2"/>
    <w:rsid w:val="0040435A"/>
    <w:rsid w:val="00416A24"/>
    <w:rsid w:val="00431D9E"/>
    <w:rsid w:val="00433CE8"/>
    <w:rsid w:val="00434A5C"/>
    <w:rsid w:val="004544D9"/>
    <w:rsid w:val="00454B92"/>
    <w:rsid w:val="00472BAD"/>
    <w:rsid w:val="00484009"/>
    <w:rsid w:val="00490E72"/>
    <w:rsid w:val="00491157"/>
    <w:rsid w:val="004921C8"/>
    <w:rsid w:val="00495B0B"/>
    <w:rsid w:val="004A1B8B"/>
    <w:rsid w:val="004A3BB2"/>
    <w:rsid w:val="004C300C"/>
    <w:rsid w:val="004D1851"/>
    <w:rsid w:val="004D599D"/>
    <w:rsid w:val="004E2037"/>
    <w:rsid w:val="004E2EA5"/>
    <w:rsid w:val="004E3AEB"/>
    <w:rsid w:val="004F5EC4"/>
    <w:rsid w:val="0050223C"/>
    <w:rsid w:val="005072DE"/>
    <w:rsid w:val="0052131C"/>
    <w:rsid w:val="005243FF"/>
    <w:rsid w:val="00557CDB"/>
    <w:rsid w:val="005621F8"/>
    <w:rsid w:val="00564FBC"/>
    <w:rsid w:val="005800BC"/>
    <w:rsid w:val="00582442"/>
    <w:rsid w:val="005A335D"/>
    <w:rsid w:val="005A3AEF"/>
    <w:rsid w:val="005E2145"/>
    <w:rsid w:val="005E2BD5"/>
    <w:rsid w:val="005F3269"/>
    <w:rsid w:val="00623AE3"/>
    <w:rsid w:val="00625A18"/>
    <w:rsid w:val="00634FB9"/>
    <w:rsid w:val="0064028F"/>
    <w:rsid w:val="00642ED2"/>
    <w:rsid w:val="0064737F"/>
    <w:rsid w:val="006535F1"/>
    <w:rsid w:val="0065557D"/>
    <w:rsid w:val="00660D50"/>
    <w:rsid w:val="00662984"/>
    <w:rsid w:val="006716BB"/>
    <w:rsid w:val="00676C7D"/>
    <w:rsid w:val="006779AE"/>
    <w:rsid w:val="00690A25"/>
    <w:rsid w:val="006B1859"/>
    <w:rsid w:val="006B6680"/>
    <w:rsid w:val="006B6DCC"/>
    <w:rsid w:val="00702DEF"/>
    <w:rsid w:val="00706861"/>
    <w:rsid w:val="00716B92"/>
    <w:rsid w:val="00737932"/>
    <w:rsid w:val="0075051B"/>
    <w:rsid w:val="00775655"/>
    <w:rsid w:val="00793188"/>
    <w:rsid w:val="00794D34"/>
    <w:rsid w:val="007A3104"/>
    <w:rsid w:val="007D327F"/>
    <w:rsid w:val="007D42ED"/>
    <w:rsid w:val="007D6CA4"/>
    <w:rsid w:val="00804EAC"/>
    <w:rsid w:val="00813E5E"/>
    <w:rsid w:val="0083581B"/>
    <w:rsid w:val="008563BB"/>
    <w:rsid w:val="00863874"/>
    <w:rsid w:val="00864AFF"/>
    <w:rsid w:val="00865925"/>
    <w:rsid w:val="00891503"/>
    <w:rsid w:val="008964B4"/>
    <w:rsid w:val="008A4C6B"/>
    <w:rsid w:val="008B4A6A"/>
    <w:rsid w:val="008C7E27"/>
    <w:rsid w:val="008F6A36"/>
    <w:rsid w:val="008F7448"/>
    <w:rsid w:val="0090147A"/>
    <w:rsid w:val="009173EF"/>
    <w:rsid w:val="00932906"/>
    <w:rsid w:val="00937748"/>
    <w:rsid w:val="00961B0B"/>
    <w:rsid w:val="00962D33"/>
    <w:rsid w:val="009643F8"/>
    <w:rsid w:val="00971C28"/>
    <w:rsid w:val="009910DC"/>
    <w:rsid w:val="009B2D4B"/>
    <w:rsid w:val="009B38C3"/>
    <w:rsid w:val="009B558B"/>
    <w:rsid w:val="009C253A"/>
    <w:rsid w:val="009D4B7D"/>
    <w:rsid w:val="009E17BD"/>
    <w:rsid w:val="009E485A"/>
    <w:rsid w:val="009E6989"/>
    <w:rsid w:val="009F347C"/>
    <w:rsid w:val="009F73F0"/>
    <w:rsid w:val="00A04CEC"/>
    <w:rsid w:val="00A27F92"/>
    <w:rsid w:val="00A32257"/>
    <w:rsid w:val="00A34664"/>
    <w:rsid w:val="00A36D20"/>
    <w:rsid w:val="00A40DB6"/>
    <w:rsid w:val="00A419B9"/>
    <w:rsid w:val="00A42D5D"/>
    <w:rsid w:val="00A467DF"/>
    <w:rsid w:val="00A514A4"/>
    <w:rsid w:val="00A52C84"/>
    <w:rsid w:val="00A53D15"/>
    <w:rsid w:val="00A55622"/>
    <w:rsid w:val="00A62CD1"/>
    <w:rsid w:val="00A83502"/>
    <w:rsid w:val="00A94376"/>
    <w:rsid w:val="00AD15B3"/>
    <w:rsid w:val="00AD3606"/>
    <w:rsid w:val="00AD4A3D"/>
    <w:rsid w:val="00AE456F"/>
    <w:rsid w:val="00AF6E49"/>
    <w:rsid w:val="00B01BD6"/>
    <w:rsid w:val="00B04A67"/>
    <w:rsid w:val="00B0583C"/>
    <w:rsid w:val="00B05FB0"/>
    <w:rsid w:val="00B074AF"/>
    <w:rsid w:val="00B3210A"/>
    <w:rsid w:val="00B358B2"/>
    <w:rsid w:val="00B40A81"/>
    <w:rsid w:val="00B43C0E"/>
    <w:rsid w:val="00B44910"/>
    <w:rsid w:val="00B72267"/>
    <w:rsid w:val="00B76EB6"/>
    <w:rsid w:val="00B7737B"/>
    <w:rsid w:val="00B824C8"/>
    <w:rsid w:val="00B83A75"/>
    <w:rsid w:val="00B84B9D"/>
    <w:rsid w:val="00BC251A"/>
    <w:rsid w:val="00BC4463"/>
    <w:rsid w:val="00BC610A"/>
    <w:rsid w:val="00BD032B"/>
    <w:rsid w:val="00BD1693"/>
    <w:rsid w:val="00BE2640"/>
    <w:rsid w:val="00C01189"/>
    <w:rsid w:val="00C2405A"/>
    <w:rsid w:val="00C2484F"/>
    <w:rsid w:val="00C32CCA"/>
    <w:rsid w:val="00C374DE"/>
    <w:rsid w:val="00C47125"/>
    <w:rsid w:val="00C47AD4"/>
    <w:rsid w:val="00C52D81"/>
    <w:rsid w:val="00C55198"/>
    <w:rsid w:val="00C6286E"/>
    <w:rsid w:val="00C65461"/>
    <w:rsid w:val="00C6748E"/>
    <w:rsid w:val="00CA6393"/>
    <w:rsid w:val="00CA7CB8"/>
    <w:rsid w:val="00CB18FF"/>
    <w:rsid w:val="00CD0C08"/>
    <w:rsid w:val="00CE03FB"/>
    <w:rsid w:val="00CE433C"/>
    <w:rsid w:val="00CE7728"/>
    <w:rsid w:val="00CF0161"/>
    <w:rsid w:val="00CF33F3"/>
    <w:rsid w:val="00D06183"/>
    <w:rsid w:val="00D22C42"/>
    <w:rsid w:val="00D31FBF"/>
    <w:rsid w:val="00D44907"/>
    <w:rsid w:val="00D4505D"/>
    <w:rsid w:val="00D464CC"/>
    <w:rsid w:val="00D53C61"/>
    <w:rsid w:val="00D5648C"/>
    <w:rsid w:val="00D65041"/>
    <w:rsid w:val="00D80B82"/>
    <w:rsid w:val="00D91DAD"/>
    <w:rsid w:val="00D93313"/>
    <w:rsid w:val="00DB00D5"/>
    <w:rsid w:val="00DB1936"/>
    <w:rsid w:val="00DB384B"/>
    <w:rsid w:val="00DE0C50"/>
    <w:rsid w:val="00DF0189"/>
    <w:rsid w:val="00DF1C8F"/>
    <w:rsid w:val="00E03C3D"/>
    <w:rsid w:val="00E06FD5"/>
    <w:rsid w:val="00E10E80"/>
    <w:rsid w:val="00E124F0"/>
    <w:rsid w:val="00E15521"/>
    <w:rsid w:val="00E227F3"/>
    <w:rsid w:val="00E321E1"/>
    <w:rsid w:val="00E545C6"/>
    <w:rsid w:val="00E60F04"/>
    <w:rsid w:val="00E65B24"/>
    <w:rsid w:val="00E76260"/>
    <w:rsid w:val="00E83443"/>
    <w:rsid w:val="00E854E4"/>
    <w:rsid w:val="00E86DBF"/>
    <w:rsid w:val="00E9087A"/>
    <w:rsid w:val="00EB0D6F"/>
    <w:rsid w:val="00EB2232"/>
    <w:rsid w:val="00EC5337"/>
    <w:rsid w:val="00ED454D"/>
    <w:rsid w:val="00ED6FC7"/>
    <w:rsid w:val="00EE49E8"/>
    <w:rsid w:val="00F16BAB"/>
    <w:rsid w:val="00F2150A"/>
    <w:rsid w:val="00F231D8"/>
    <w:rsid w:val="00F37217"/>
    <w:rsid w:val="00F44C00"/>
    <w:rsid w:val="00F45D2C"/>
    <w:rsid w:val="00F46C5F"/>
    <w:rsid w:val="00F632C0"/>
    <w:rsid w:val="00F74694"/>
    <w:rsid w:val="00F7629B"/>
    <w:rsid w:val="00F94A63"/>
    <w:rsid w:val="00FA1C28"/>
    <w:rsid w:val="00FA2C0E"/>
    <w:rsid w:val="00FA5870"/>
    <w:rsid w:val="00FA78AF"/>
    <w:rsid w:val="00FB1279"/>
    <w:rsid w:val="00FB6B76"/>
    <w:rsid w:val="00FB7596"/>
    <w:rsid w:val="00FC3318"/>
    <w:rsid w:val="00FD7016"/>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15:docId w15:val="{6AFD6FE7-3023-4D35-BFD3-6707FB5F7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250772"/>
    <w:pPr>
      <w:framePr w:hSpace="180" w:wrap="around" w:vAnchor="page" w:hAnchor="page" w:x="1821" w:y="2317"/>
      <w:spacing w:before="840"/>
      <w:jc w:val="both"/>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customStyle="1" w:styleId="1">
    <w:name w:val="Неразрешенное упоминание1"/>
    <w:basedOn w:val="DefaultParagraphFont"/>
    <w:uiPriority w:val="99"/>
    <w:semiHidden/>
    <w:unhideWhenUsed/>
    <w:rsid w:val="00FD7016"/>
    <w:rPr>
      <w:color w:val="605E5C"/>
      <w:shd w:val="clear" w:color="auto" w:fill="E1DFDD"/>
    </w:rPr>
  </w:style>
  <w:style w:type="paragraph" w:customStyle="1" w:styleId="Reasons">
    <w:name w:val="Reasons"/>
    <w:basedOn w:val="Normal"/>
    <w:qFormat/>
    <w:rsid w:val="000A57A6"/>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character" w:styleId="PlaceholderText">
    <w:name w:val="Placeholder Text"/>
    <w:basedOn w:val="DefaultParagraphFont"/>
    <w:uiPriority w:val="99"/>
    <w:semiHidden/>
    <w:rsid w:val="007D42ED"/>
    <w:rPr>
      <w:color w:val="666666"/>
    </w:rPr>
  </w:style>
  <w:style w:type="paragraph" w:styleId="BalloonText">
    <w:name w:val="Balloon Text"/>
    <w:basedOn w:val="Normal"/>
    <w:link w:val="BalloonTextChar"/>
    <w:semiHidden/>
    <w:unhideWhenUsed/>
    <w:rsid w:val="00370495"/>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370495"/>
    <w:rPr>
      <w:rFonts w:ascii="Segoe UI" w:hAnsi="Segoe UI" w:cs="Segoe UI"/>
      <w:sz w:val="18"/>
      <w:szCs w:val="18"/>
      <w:lang w:val="en-GB" w:eastAsia="en-US"/>
    </w:rPr>
  </w:style>
  <w:style w:type="character" w:customStyle="1" w:styleId="ypks7kbdpwfgdykd3qb9">
    <w:name w:val="ypks7kbdpwfgdykd3qb9"/>
    <w:basedOn w:val="DefaultParagraphFont"/>
    <w:rsid w:val="00B074AF"/>
  </w:style>
  <w:style w:type="paragraph" w:styleId="Revision">
    <w:name w:val="Revision"/>
    <w:hidden/>
    <w:uiPriority w:val="99"/>
    <w:semiHidden/>
    <w:rsid w:val="00FC3318"/>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67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md/S26-CWGFHR22-C-0002/e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1A5AED0024D4C4B908559843DB30158" ma:contentTypeVersion="2" ma:contentTypeDescription="Create a new document." ma:contentTypeScope="" ma:versionID="31a26b5e6a84297540fb9bcd5875ca00">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d648448f94c3d58177b40b5933f2d41a"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90A469-3162-48B4-8824-FD1B95A950DB}">
  <ds:schemaRefs>
    <ds:schemaRef ds:uri="http://schemas.openxmlformats.org/officeDocument/2006/bibliography"/>
  </ds:schemaRefs>
</ds:datastoreItem>
</file>

<file path=customXml/itemProps2.xml><?xml version="1.0" encoding="utf-8"?>
<ds:datastoreItem xmlns:ds="http://schemas.openxmlformats.org/officeDocument/2006/customXml" ds:itemID="{983BD498-0D57-4EC9-9A52-4067CF92760E}">
  <ds:schemaRefs>
    <ds:schemaRef ds:uri="http://schemas.openxmlformats.org/package/2006/metadata/core-properties"/>
    <ds:schemaRef ds:uri="http://www.w3.org/XML/1998/namespace"/>
    <ds:schemaRef ds:uri="http://schemas.microsoft.com/sharepoint/v3"/>
    <ds:schemaRef ds:uri="http://purl.org/dc/elements/1.1/"/>
    <ds:schemaRef ds:uri="http://schemas.microsoft.com/office/2006/metadata/properties"/>
    <ds:schemaRef ds:uri="1aaea1ea-72e4-4374-b05e-72e2f16fb7ae"/>
    <ds:schemaRef ds:uri="http://schemas.microsoft.com/office/2006/documentManagement/types"/>
    <ds:schemaRef ds:uri="http://purl.org/dc/term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C2630F73-6879-451D-AD6E-220D14EE1EEE}">
  <ds:schemaRefs>
    <ds:schemaRef ds:uri="http://schemas.microsoft.com/sharepoint/v3/contenttype/forms"/>
  </ds:schemaRefs>
</ds:datastoreItem>
</file>

<file path=customXml/itemProps4.xml><?xml version="1.0" encoding="utf-8"?>
<ds:datastoreItem xmlns:ds="http://schemas.openxmlformats.org/officeDocument/2006/customXml" ds:itemID="{FCEEC66B-F427-4DD7-A919-87366E1B7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ea1ea-72e4-4374-b05e-72e2f16fb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637</Words>
  <Characters>3782</Characters>
  <Application>Microsoft Office Word</Application>
  <DocSecurity>0</DocSecurity>
  <Lines>64</Lines>
  <Paragraphs>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Comments on the satellite network filings – Methodology update</vt:lpstr>
      <vt:lpstr/>
    </vt:vector>
  </TitlesOfParts>
  <Manager/>
  <Company/>
  <LinksUpToDate>false</LinksUpToDate>
  <CharactersWithSpaces>4398</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Comments on the satellite network filings – Methodology update</dc:title>
  <dc:subject>ITU Council Working Group on Financial and Human Resources</dc:subject>
  <cp:keywords>CWG-FHR; C26; Council-26</cp:keywords>
  <dc:description/>
  <dcterms:created xsi:type="dcterms:W3CDTF">2026-01-05T10:38:00Z</dcterms:created>
  <dcterms:modified xsi:type="dcterms:W3CDTF">2026-01-05T11:05:00Z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1669004f-1849-4979-b589-882412e26261</vt:lpwstr>
  </property>
  <property fmtid="{D5CDD505-2E9C-101B-9397-08002B2CF9AE}" pid="3" name="ContentTypeId">
    <vt:lpwstr>0x01010041A5AED0024D4C4B908559843DB30158</vt:lpwstr>
  </property>
</Properties>
</file>