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010E21" w:rsidRPr="00B82905" w14:paraId="62987D4A" w14:textId="77777777">
        <w:trPr>
          <w:cantSplit/>
          <w:trHeight w:val="23"/>
        </w:trPr>
        <w:tc>
          <w:tcPr>
            <w:tcW w:w="3969" w:type="dxa"/>
            <w:vMerge w:val="restart"/>
            <w:tcMar>
              <w:left w:w="0" w:type="dxa"/>
            </w:tcMar>
          </w:tcPr>
          <w:p w14:paraId="019066E5" w14:textId="77777777" w:rsidR="00010E21" w:rsidRPr="00B82905" w:rsidRDefault="00010E21">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2370"/>
            <w:bookmarkStart w:id="4" w:name="_Hlk133421856"/>
            <w:bookmarkStart w:id="5" w:name="_Hlk133586559"/>
          </w:p>
        </w:tc>
        <w:tc>
          <w:tcPr>
            <w:tcW w:w="5245" w:type="dxa"/>
          </w:tcPr>
          <w:p w14:paraId="1BC7FF43" w14:textId="4BE267FA" w:rsidR="00010E21" w:rsidRPr="00B82905" w:rsidRDefault="00592F18">
            <w:pPr>
              <w:tabs>
                <w:tab w:val="left" w:pos="851"/>
              </w:tabs>
              <w:spacing w:before="0" w:line="240" w:lineRule="atLeast"/>
              <w:jc w:val="right"/>
              <w:rPr>
                <w:b/>
              </w:rPr>
            </w:pPr>
            <w:r w:rsidRPr="00B82905">
              <w:rPr>
                <w:b/>
              </w:rPr>
              <w:t>Document CWG-FHR-22/</w:t>
            </w:r>
            <w:r w:rsidR="004569EC" w:rsidRPr="00B82905">
              <w:rPr>
                <w:b/>
              </w:rPr>
              <w:t>25</w:t>
            </w:r>
          </w:p>
        </w:tc>
      </w:tr>
      <w:tr w:rsidR="00010E21" w:rsidRPr="00B82905" w14:paraId="6B8B8303" w14:textId="77777777">
        <w:trPr>
          <w:cantSplit/>
        </w:trPr>
        <w:tc>
          <w:tcPr>
            <w:tcW w:w="3969" w:type="dxa"/>
            <w:vMerge/>
          </w:tcPr>
          <w:p w14:paraId="0F0B5DF5" w14:textId="77777777" w:rsidR="00010E21" w:rsidRPr="00B82905" w:rsidRDefault="00010E21">
            <w:pPr>
              <w:tabs>
                <w:tab w:val="left" w:pos="851"/>
              </w:tabs>
              <w:spacing w:line="240" w:lineRule="atLeast"/>
              <w:rPr>
                <w:b/>
              </w:rPr>
            </w:pPr>
            <w:bookmarkStart w:id="6" w:name="ddate" w:colFirst="1" w:colLast="1"/>
            <w:bookmarkEnd w:id="0"/>
            <w:bookmarkEnd w:id="1"/>
          </w:p>
        </w:tc>
        <w:tc>
          <w:tcPr>
            <w:tcW w:w="5245" w:type="dxa"/>
          </w:tcPr>
          <w:p w14:paraId="42204889" w14:textId="3A10C41A" w:rsidR="00010E21" w:rsidRPr="00B82905" w:rsidRDefault="00DF56BE">
            <w:pPr>
              <w:tabs>
                <w:tab w:val="left" w:pos="851"/>
              </w:tabs>
              <w:wordWrap w:val="0"/>
              <w:spacing w:before="0"/>
              <w:jc w:val="right"/>
              <w:rPr>
                <w:b/>
              </w:rPr>
            </w:pPr>
            <w:r>
              <w:rPr>
                <w:b/>
              </w:rPr>
              <w:t>29</w:t>
            </w:r>
            <w:r w:rsidR="00AE10C2" w:rsidRPr="00B82905">
              <w:rPr>
                <w:b/>
              </w:rPr>
              <w:t xml:space="preserve"> </w:t>
            </w:r>
            <w:r>
              <w:rPr>
                <w:b/>
              </w:rPr>
              <w:t xml:space="preserve">December </w:t>
            </w:r>
            <w:r w:rsidR="007F4EC9" w:rsidRPr="00B82905">
              <w:rPr>
                <w:b/>
              </w:rPr>
              <w:t>202</w:t>
            </w:r>
            <w:r>
              <w:rPr>
                <w:b/>
              </w:rPr>
              <w:t>5</w:t>
            </w:r>
          </w:p>
        </w:tc>
      </w:tr>
      <w:tr w:rsidR="00010E21" w:rsidRPr="00B82905" w14:paraId="0CC6F98C" w14:textId="77777777">
        <w:trPr>
          <w:cantSplit/>
          <w:trHeight w:val="23"/>
        </w:trPr>
        <w:tc>
          <w:tcPr>
            <w:tcW w:w="3969" w:type="dxa"/>
            <w:vMerge/>
          </w:tcPr>
          <w:p w14:paraId="622E02B9" w14:textId="77777777" w:rsidR="00010E21" w:rsidRPr="00B82905" w:rsidRDefault="00010E21">
            <w:pPr>
              <w:tabs>
                <w:tab w:val="left" w:pos="851"/>
              </w:tabs>
              <w:spacing w:line="240" w:lineRule="atLeast"/>
              <w:rPr>
                <w:b/>
              </w:rPr>
            </w:pPr>
            <w:bookmarkStart w:id="7" w:name="dorlang" w:colFirst="1" w:colLast="1"/>
            <w:bookmarkEnd w:id="6"/>
          </w:p>
        </w:tc>
        <w:tc>
          <w:tcPr>
            <w:tcW w:w="5245" w:type="dxa"/>
          </w:tcPr>
          <w:p w14:paraId="1A2B5E22" w14:textId="77777777" w:rsidR="00010E21" w:rsidRPr="00B82905" w:rsidRDefault="00592F18">
            <w:pPr>
              <w:tabs>
                <w:tab w:val="left" w:pos="851"/>
              </w:tabs>
              <w:spacing w:before="0" w:line="240" w:lineRule="atLeast"/>
              <w:jc w:val="right"/>
              <w:rPr>
                <w:b/>
              </w:rPr>
            </w:pPr>
            <w:r w:rsidRPr="00B82905">
              <w:rPr>
                <w:b/>
              </w:rPr>
              <w:t>English only</w:t>
            </w:r>
          </w:p>
        </w:tc>
      </w:tr>
      <w:tr w:rsidR="00010E21" w:rsidRPr="00B82905" w14:paraId="186DD9A1" w14:textId="77777777">
        <w:trPr>
          <w:cantSplit/>
          <w:trHeight w:val="23"/>
        </w:trPr>
        <w:tc>
          <w:tcPr>
            <w:tcW w:w="3969" w:type="dxa"/>
          </w:tcPr>
          <w:p w14:paraId="4860365E" w14:textId="77777777" w:rsidR="00010E21" w:rsidRPr="00B82905" w:rsidRDefault="00010E21">
            <w:pPr>
              <w:tabs>
                <w:tab w:val="left" w:pos="851"/>
              </w:tabs>
              <w:spacing w:line="240" w:lineRule="atLeast"/>
              <w:rPr>
                <w:b/>
              </w:rPr>
            </w:pPr>
          </w:p>
        </w:tc>
        <w:tc>
          <w:tcPr>
            <w:tcW w:w="5245" w:type="dxa"/>
          </w:tcPr>
          <w:p w14:paraId="2E128B11" w14:textId="77777777" w:rsidR="00010E21" w:rsidRPr="00B82905" w:rsidRDefault="00010E21">
            <w:pPr>
              <w:tabs>
                <w:tab w:val="left" w:pos="851"/>
              </w:tabs>
              <w:spacing w:before="0" w:line="240" w:lineRule="atLeast"/>
              <w:jc w:val="right"/>
              <w:rPr>
                <w:b/>
              </w:rPr>
            </w:pPr>
          </w:p>
        </w:tc>
      </w:tr>
      <w:tr w:rsidR="00010E21" w:rsidRPr="00B82905" w14:paraId="1E5E71A3" w14:textId="77777777">
        <w:trPr>
          <w:cantSplit/>
        </w:trPr>
        <w:tc>
          <w:tcPr>
            <w:tcW w:w="9214" w:type="dxa"/>
            <w:gridSpan w:val="2"/>
            <w:tcMar>
              <w:left w:w="0" w:type="dxa"/>
            </w:tcMar>
          </w:tcPr>
          <w:p w14:paraId="4942AFC8" w14:textId="77777777" w:rsidR="00010E21" w:rsidRPr="00B82905" w:rsidRDefault="00592F18">
            <w:pPr>
              <w:pStyle w:val="Source"/>
              <w:framePr w:hSpace="0" w:wrap="auto" w:vAnchor="margin" w:hAnchor="text" w:xAlign="left" w:yAlign="inline"/>
            </w:pPr>
            <w:bookmarkStart w:id="8" w:name="dsource" w:colFirst="0" w:colLast="0"/>
            <w:bookmarkEnd w:id="7"/>
            <w:r w:rsidRPr="00B82905">
              <w:t>Contribution by the Russian Federation</w:t>
            </w:r>
          </w:p>
        </w:tc>
      </w:tr>
      <w:tr w:rsidR="00010E21" w:rsidRPr="00B82905" w14:paraId="5C3102E0" w14:textId="77777777">
        <w:trPr>
          <w:cantSplit/>
        </w:trPr>
        <w:tc>
          <w:tcPr>
            <w:tcW w:w="9214" w:type="dxa"/>
            <w:gridSpan w:val="2"/>
            <w:tcMar>
              <w:left w:w="0" w:type="dxa"/>
            </w:tcMar>
          </w:tcPr>
          <w:p w14:paraId="283A35DC" w14:textId="35C76326" w:rsidR="00010E21" w:rsidRPr="00B82905" w:rsidRDefault="007F4EC9">
            <w:pPr>
              <w:pStyle w:val="Subtitle"/>
              <w:framePr w:hSpace="0" w:wrap="auto" w:xAlign="left" w:yAlign="inline"/>
            </w:pPr>
            <w:bookmarkStart w:id="9" w:name="dtitle1" w:colFirst="0" w:colLast="0"/>
            <w:bookmarkEnd w:id="8"/>
            <w:r w:rsidRPr="00B82905">
              <w:t>MEASURES TO ENSURE CORE MANDATE ALIGNMENT IN RESOURCE ALLOCATION</w:t>
            </w:r>
          </w:p>
        </w:tc>
      </w:tr>
      <w:tr w:rsidR="00010E21" w:rsidRPr="00B82905" w14:paraId="05CB021B" w14:textId="77777777">
        <w:trPr>
          <w:cantSplit/>
        </w:trPr>
        <w:tc>
          <w:tcPr>
            <w:tcW w:w="9214" w:type="dxa"/>
            <w:gridSpan w:val="2"/>
            <w:tcBorders>
              <w:top w:val="single" w:sz="4" w:space="0" w:color="auto"/>
              <w:bottom w:val="single" w:sz="4" w:space="0" w:color="auto"/>
            </w:tcBorders>
            <w:tcMar>
              <w:left w:w="0" w:type="dxa"/>
            </w:tcMar>
          </w:tcPr>
          <w:p w14:paraId="5F482FED" w14:textId="77777777" w:rsidR="00010E21" w:rsidRPr="00B82905" w:rsidRDefault="00592F18">
            <w:pPr>
              <w:widowControl w:val="0"/>
              <w:kinsoku w:val="0"/>
              <w:snapToGrid w:val="0"/>
              <w:spacing w:before="0" w:afterLines="50" w:after="120"/>
              <w:rPr>
                <w:b/>
                <w:bCs/>
                <w:sz w:val="26"/>
                <w:szCs w:val="26"/>
              </w:rPr>
            </w:pPr>
            <w:r w:rsidRPr="00B82905">
              <w:rPr>
                <w:b/>
                <w:bCs/>
                <w:sz w:val="26"/>
                <w:szCs w:val="26"/>
              </w:rPr>
              <w:t>Purpose</w:t>
            </w:r>
          </w:p>
          <w:p w14:paraId="6F638E28" w14:textId="77777777" w:rsidR="00010E21" w:rsidRPr="00B82905" w:rsidRDefault="00592F18" w:rsidP="007F4EC9">
            <w:pPr>
              <w:rPr>
                <w:rFonts w:eastAsia="Helvetica Neue"/>
                <w:sz w:val="32"/>
                <w:szCs w:val="32"/>
              </w:rPr>
            </w:pPr>
            <w:r w:rsidRPr="00B82905">
              <w:rPr>
                <w:rFonts w:eastAsia="Helvetica Neue"/>
              </w:rPr>
              <w:t>As the United Nations specialized agency for information and communication technologies, the ITU is mandated by Article 1 of its Constitution to coordinate global radio spectrum, develop international telecommunications standards, e</w:t>
            </w:r>
            <w:r w:rsidR="008676B0" w:rsidRPr="00B82905">
              <w:rPr>
                <w:rFonts w:eastAsia="Helvetica Neue"/>
              </w:rPr>
              <w:t>nsure network interoperability</w:t>
            </w:r>
            <w:r w:rsidRPr="00B82905">
              <w:rPr>
                <w:rFonts w:eastAsia="Helvetica Neue"/>
              </w:rPr>
              <w:t>, and promote the advancement of telecommunications technologies worldwide.</w:t>
            </w:r>
          </w:p>
          <w:p w14:paraId="5951866C" w14:textId="77777777" w:rsidR="00010E21" w:rsidRPr="00B82905" w:rsidRDefault="00592F18" w:rsidP="007F4EC9">
            <w:pPr>
              <w:rPr>
                <w:rFonts w:eastAsia="Helvetica Neue"/>
              </w:rPr>
            </w:pPr>
            <w:r w:rsidRPr="00B82905">
              <w:rPr>
                <w:rFonts w:eastAsia="Helvetica Neue"/>
              </w:rPr>
              <w:t>However, the ITU’s Regular Budget increasingly supports activities only marginally related to these core functions. This trend diverts limited resources, dilutes specialized expertise, and creates duplication with other UN agencies and industry organizations. Underfunding core areas weakens the ITU’s effectiveness and responsiveness, underscoring the need for strict “back-to-basics” budgetary guidelines.</w:t>
            </w:r>
          </w:p>
          <w:p w14:paraId="279EBAAC" w14:textId="77777777" w:rsidR="00010E21" w:rsidRPr="00B82905" w:rsidRDefault="00592F18" w:rsidP="007F4EC9">
            <w:r w:rsidRPr="00B82905">
              <w:rPr>
                <w:rFonts w:eastAsia="Helvetica Neue"/>
              </w:rPr>
              <w:t>The proposal calls for a comprehensive program evaluation and mandate compliance review to realign resources with the ITU’s core mandate and drive actionable reforms. The objective is to strategically refocus the ITU on its core comparative advantages and non-reducible core activities, including:</w:t>
            </w:r>
          </w:p>
          <w:p w14:paraId="0F6C1F5F" w14:textId="2F3F5B25" w:rsidR="00010E21" w:rsidRPr="00B82905" w:rsidRDefault="00AE10C2" w:rsidP="00B82905">
            <w:pPr>
              <w:ind w:left="567" w:hanging="567"/>
              <w:jc w:val="both"/>
            </w:pPr>
            <w:r w:rsidRPr="00B82905">
              <w:rPr>
                <w:rFonts w:eastAsia="Helvetica Neue"/>
              </w:rPr>
              <w:t>–</w:t>
            </w:r>
            <w:r w:rsidRPr="00B82905">
              <w:rPr>
                <w:rFonts w:eastAsia="Helvetica Neue"/>
              </w:rPr>
              <w:tab/>
            </w:r>
            <w:r w:rsidR="008676B0" w:rsidRPr="00B82905">
              <w:rPr>
                <w:rFonts w:eastAsia="Helvetica Neue"/>
              </w:rPr>
              <w:t>International coordination, r</w:t>
            </w:r>
            <w:r w:rsidR="00592F18" w:rsidRPr="00B82905">
              <w:rPr>
                <w:rFonts w:eastAsia="Helvetica Neue"/>
              </w:rPr>
              <w:t>adio-frequency spectrum management and satellite orbit coordination (ITU-R, WRC, RA)</w:t>
            </w:r>
          </w:p>
          <w:p w14:paraId="41FC2C8B" w14:textId="4A29F9AD" w:rsidR="00010E21" w:rsidRPr="00B82905" w:rsidRDefault="00AE10C2" w:rsidP="00B82905">
            <w:pPr>
              <w:ind w:left="567" w:hanging="567"/>
              <w:jc w:val="both"/>
            </w:pPr>
            <w:r w:rsidRPr="00B82905">
              <w:rPr>
                <w:rFonts w:eastAsia="Helvetica Neue"/>
              </w:rPr>
              <w:t>–</w:t>
            </w:r>
            <w:r w:rsidRPr="00B82905">
              <w:rPr>
                <w:rFonts w:eastAsia="Helvetica Neue"/>
              </w:rPr>
              <w:tab/>
            </w:r>
            <w:r w:rsidR="00592F18" w:rsidRPr="00B82905">
              <w:rPr>
                <w:rFonts w:eastAsia="Helvetica Neue"/>
              </w:rPr>
              <w:t>Global ICT interoperability standards (ITU-T, WTSA)</w:t>
            </w:r>
          </w:p>
          <w:p w14:paraId="0245B0B5" w14:textId="3ADA648C" w:rsidR="00010E21" w:rsidRPr="00B82905" w:rsidRDefault="00AE10C2" w:rsidP="00B82905">
            <w:pPr>
              <w:ind w:left="567" w:hanging="567"/>
              <w:jc w:val="both"/>
              <w:rPr>
                <w:rFonts w:eastAsia="Helvetica Neue"/>
              </w:rPr>
            </w:pPr>
            <w:r w:rsidRPr="00B82905">
              <w:rPr>
                <w:rFonts w:eastAsia="Helvetica Neue"/>
              </w:rPr>
              <w:t>–</w:t>
            </w:r>
            <w:r w:rsidRPr="00B82905">
              <w:rPr>
                <w:rFonts w:eastAsia="Helvetica Neue"/>
              </w:rPr>
              <w:tab/>
            </w:r>
            <w:r w:rsidR="008676B0" w:rsidRPr="00B82905">
              <w:rPr>
                <w:rFonts w:eastAsia="Helvetica Neue"/>
              </w:rPr>
              <w:t>Affordable connectivity, enabling policy and regulatory environment</w:t>
            </w:r>
            <w:r w:rsidR="00592F18" w:rsidRPr="00B82905">
              <w:rPr>
                <w:rFonts w:eastAsia="Helvetica Neue"/>
              </w:rPr>
              <w:t xml:space="preserve">, </w:t>
            </w:r>
            <w:r w:rsidR="00592F18" w:rsidRPr="00B82905">
              <w:t>t</w:t>
            </w:r>
            <w:r w:rsidR="00592F18" w:rsidRPr="00B82905">
              <w:rPr>
                <w:rFonts w:eastAsia="Helvetica Neue"/>
              </w:rPr>
              <w:t>elecom infrastructure and narrowly defined regulatory capacity-building (ITU-D</w:t>
            </w:r>
            <w:r w:rsidR="008676B0" w:rsidRPr="00B82905">
              <w:rPr>
                <w:rFonts w:eastAsia="Helvetica Neue"/>
              </w:rPr>
              <w:t>, WTDC</w:t>
            </w:r>
            <w:r w:rsidR="00592F18" w:rsidRPr="00B82905">
              <w:rPr>
                <w:rFonts w:eastAsia="Helvetica Neue"/>
              </w:rPr>
              <w:t>).</w:t>
            </w:r>
          </w:p>
          <w:p w14:paraId="4698CBEC" w14:textId="77777777" w:rsidR="00010E21" w:rsidRPr="00B82905" w:rsidRDefault="00592F18">
            <w:pPr>
              <w:widowControl w:val="0"/>
              <w:kinsoku w:val="0"/>
              <w:snapToGrid w:val="0"/>
              <w:spacing w:before="0" w:afterLines="50" w:after="120"/>
              <w:rPr>
                <w:b/>
                <w:bCs/>
                <w:sz w:val="26"/>
                <w:szCs w:val="26"/>
              </w:rPr>
            </w:pPr>
            <w:r w:rsidRPr="00B82905">
              <w:rPr>
                <w:b/>
                <w:bCs/>
                <w:sz w:val="26"/>
                <w:szCs w:val="26"/>
              </w:rPr>
              <w:t>Action required</w:t>
            </w:r>
          </w:p>
          <w:p w14:paraId="6ED3F11A" w14:textId="77777777" w:rsidR="00010E21" w:rsidRPr="00B82905" w:rsidRDefault="00592F18" w:rsidP="00AE10C2">
            <w:pPr>
              <w:widowControl w:val="0"/>
              <w:kinsoku w:val="0"/>
              <w:snapToGrid w:val="0"/>
              <w:spacing w:before="0" w:afterLines="50" w:after="120"/>
              <w:jc w:val="both"/>
            </w:pPr>
            <w:r w:rsidRPr="00B82905">
              <w:t xml:space="preserve">The Council Working Group on financial and human resources is invited to </w:t>
            </w:r>
            <w:r w:rsidRPr="00B82905">
              <w:rPr>
                <w:b/>
                <w:bCs/>
              </w:rPr>
              <w:t xml:space="preserve">review </w:t>
            </w:r>
            <w:r w:rsidRPr="00B82905">
              <w:t xml:space="preserve">this document, </w:t>
            </w:r>
            <w:r w:rsidRPr="00B82905">
              <w:rPr>
                <w:b/>
                <w:bCs/>
              </w:rPr>
              <w:t>provide any necessary comments</w:t>
            </w:r>
            <w:r w:rsidRPr="00B82905">
              <w:t xml:space="preserve"> and </w:t>
            </w:r>
            <w:r w:rsidRPr="00B82905">
              <w:rPr>
                <w:b/>
                <w:bCs/>
              </w:rPr>
              <w:t>approve it for consideration</w:t>
            </w:r>
            <w:r w:rsidRPr="00B82905">
              <w:t xml:space="preserve"> by the Council.</w:t>
            </w:r>
          </w:p>
          <w:p w14:paraId="3F56F392" w14:textId="77777777" w:rsidR="00010E21" w:rsidRPr="00B82905" w:rsidRDefault="00010E21">
            <w:pPr>
              <w:spacing w:after="160"/>
              <w:rPr>
                <w:i/>
                <w:iCs/>
                <w:sz w:val="22"/>
                <w:szCs w:val="22"/>
              </w:rPr>
            </w:pPr>
          </w:p>
        </w:tc>
      </w:tr>
    </w:tbl>
    <w:p w14:paraId="581C8605" w14:textId="77777777" w:rsidR="00010E21" w:rsidRPr="00B82905" w:rsidRDefault="00592F18">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rsidRPr="00B82905">
        <w:br w:type="page"/>
      </w:r>
    </w:p>
    <w:bookmarkEnd w:id="5"/>
    <w:bookmarkEnd w:id="10"/>
    <w:p w14:paraId="594E6134" w14:textId="07D47319" w:rsidR="00010E21" w:rsidRPr="00B82905" w:rsidRDefault="00592F18" w:rsidP="00B82905">
      <w:pPr>
        <w:pStyle w:val="Heading1"/>
        <w:rPr>
          <w:rFonts w:eastAsia="Helvetica Neue"/>
        </w:rPr>
      </w:pPr>
      <w:r w:rsidRPr="00B82905">
        <w:rPr>
          <w:rFonts w:eastAsia="Helvetica Neue"/>
        </w:rPr>
        <w:lastRenderedPageBreak/>
        <w:t>1</w:t>
      </w:r>
      <w:r w:rsidR="00B82905" w:rsidRPr="00B82905">
        <w:rPr>
          <w:rFonts w:eastAsia="Helvetica Neue"/>
        </w:rPr>
        <w:tab/>
      </w:r>
      <w:r w:rsidRPr="00B82905">
        <w:rPr>
          <w:rFonts w:eastAsia="Helvetica Neue"/>
        </w:rPr>
        <w:t>Background</w:t>
      </w:r>
    </w:p>
    <w:p w14:paraId="2EF3FD9B" w14:textId="73A07471" w:rsidR="00010E21" w:rsidRPr="00B82905" w:rsidRDefault="00592F18" w:rsidP="00B82905">
      <w:pPr>
        <w:jc w:val="both"/>
        <w:rPr>
          <w:rFonts w:eastAsia="Helvetica Neue"/>
        </w:rPr>
      </w:pPr>
      <w:r w:rsidRPr="00B82905">
        <w:rPr>
          <w:rFonts w:eastAsia="Helvetica Neue"/>
        </w:rPr>
        <w:t xml:space="preserve">China, Cuba, and the Russian Federation, in contribution </w:t>
      </w:r>
      <w:r w:rsidR="002F38E2" w:rsidRPr="00B82905">
        <w:rPr>
          <w:rFonts w:eastAsia="Helvetica Neue"/>
        </w:rPr>
        <w:t xml:space="preserve">Document </w:t>
      </w:r>
      <w:hyperlink r:id="rId12" w:tgtFrame="/Users/macos/Desktop/2 ITU/0 CWG–FHR JAN 2026/x/_blank" w:history="1">
        <w:r w:rsidRPr="00B82905">
          <w:rPr>
            <w:rStyle w:val="Hyperlink"/>
            <w:rFonts w:asciiTheme="minorHAnsi" w:eastAsia="unset" w:hAnsiTheme="minorHAnsi" w:cs="unset"/>
            <w:spacing w:val="2"/>
            <w:u w:val="none"/>
          </w:rPr>
          <w:t>C25/86</w:t>
        </w:r>
      </w:hyperlink>
      <w:r w:rsidRPr="00B82905">
        <w:rPr>
          <w:rFonts w:eastAsia="Helvetica Neue"/>
        </w:rPr>
        <w:t>, raised significant concerns regarding the ITU’s financial stability and the growing divergence of its activities from its core mandate.</w:t>
      </w:r>
    </w:p>
    <w:p w14:paraId="6154E47F" w14:textId="77777777" w:rsidR="00010E21" w:rsidRPr="00B82905" w:rsidRDefault="00592F18" w:rsidP="00B82905">
      <w:pPr>
        <w:jc w:val="both"/>
        <w:rPr>
          <w:rFonts w:eastAsia="Helvetica Neue"/>
        </w:rPr>
      </w:pPr>
      <w:r w:rsidRPr="00B82905">
        <w:rPr>
          <w:rFonts w:eastAsia="Helvetica Neue"/>
        </w:rPr>
        <w:t>While adaptation to digitalization trends is necessary, the ITU’s expansion into areas only loosely connected to its core functions is problematic. Such non-core mandates include, but are not limited to, initiatives in environmental policy, climate advocacy, gender and youth issues, AI ethics and governance, telehealth, tele-education, e-commerce, and social inclusion advocacy programs.</w:t>
      </w:r>
    </w:p>
    <w:p w14:paraId="10CEB707" w14:textId="77777777" w:rsidR="00010E21" w:rsidRPr="00B82905" w:rsidRDefault="00592F18" w:rsidP="00B82905">
      <w:pPr>
        <w:jc w:val="both"/>
        <w:rPr>
          <w:rFonts w:eastAsia="Helvetica Neue"/>
        </w:rPr>
      </w:pPr>
      <w:r w:rsidRPr="00B82905">
        <w:rPr>
          <w:rFonts w:eastAsia="Helvetica Neue"/>
        </w:rPr>
        <w:t>These non-core mandates originate mainly from conference resolutions rather than the ITU Constitution, and often address areas where ICT serves only as an enabling tool, not the primary subject, and where other agencies lead policy and implementation. This mission creep has become entrenched in the Regular Budget, making it difficult to challenge or defund, and inevitably leads to a degradation of the ITU’s core functions.</w:t>
      </w:r>
    </w:p>
    <w:p w14:paraId="655047AE" w14:textId="11B3EDB7" w:rsidR="00010E21" w:rsidRPr="00B82905" w:rsidRDefault="00592F18" w:rsidP="00B82905">
      <w:pPr>
        <w:jc w:val="both"/>
        <w:rPr>
          <w:rFonts w:eastAsia="Helvetica Neue"/>
        </w:rPr>
      </w:pPr>
      <w:r w:rsidRPr="00B82905">
        <w:rPr>
          <w:rFonts w:eastAsia="Helvetica Neue"/>
        </w:rPr>
        <w:t>A recent example of this degradation is highlighted in the Summary of Decisions from the 100</w:t>
      </w:r>
      <w:r w:rsidRPr="00251650">
        <w:rPr>
          <w:rFonts w:eastAsia="Helvetica Neue"/>
          <w:vertAlign w:val="superscript"/>
        </w:rPr>
        <w:t>th</w:t>
      </w:r>
      <w:r w:rsidRPr="00B82905">
        <w:rPr>
          <w:rFonts w:eastAsia="Helvetica Neue"/>
        </w:rPr>
        <w:t xml:space="preserve"> RRB meeting (10</w:t>
      </w:r>
      <w:r w:rsidR="00251650">
        <w:rPr>
          <w:rFonts w:eastAsia="Helvetica Neue"/>
        </w:rPr>
        <w:t>-</w:t>
      </w:r>
      <w:r w:rsidRPr="00B82905">
        <w:rPr>
          <w:rFonts w:eastAsia="Helvetica Neue"/>
        </w:rPr>
        <w:t>14 November 2025), which notes slow progress in reducing backlogs</w:t>
      </w:r>
      <w:r w:rsidR="00251650">
        <w:rPr>
          <w:rFonts w:eastAsia="Helvetica Neue"/>
        </w:rPr>
        <w:t xml:space="preserve"> </w:t>
      </w:r>
      <w:r w:rsidRPr="00B82905">
        <w:rPr>
          <w:rFonts w:eastAsia="Helvetica Neue"/>
        </w:rPr>
        <w:t>—now reaching up to 14 months—</w:t>
      </w:r>
      <w:r w:rsidR="00251650">
        <w:rPr>
          <w:rFonts w:eastAsia="Helvetica Neue"/>
        </w:rPr>
        <w:t xml:space="preserve"> </w:t>
      </w:r>
      <w:r w:rsidRPr="00B82905">
        <w:rPr>
          <w:rFonts w:eastAsia="Helvetica Neue"/>
        </w:rPr>
        <w:t>due to aging systems and increased filing complexity. The RRB expressed concern that the current budgetary situation could result in insufficient resources for processing satellite network filings, emphasizing the need for Bureau funding consistent with its duties under the Radio Regulations.</w:t>
      </w:r>
    </w:p>
    <w:p w14:paraId="53DACAA2" w14:textId="6F9026D4" w:rsidR="00010E21" w:rsidRPr="00B82905" w:rsidRDefault="00592F18" w:rsidP="00B82905">
      <w:pPr>
        <w:jc w:val="both"/>
        <w:rPr>
          <w:rFonts w:eastAsia="Helvetica Neue"/>
        </w:rPr>
      </w:pPr>
      <w:r w:rsidRPr="00B82905">
        <w:rPr>
          <w:rFonts w:eastAsia="Helvetica Neue"/>
        </w:rPr>
        <w:t>Conference agendas have become highly complex, making it difficult to complete deliberations on all items and placing excessive strain on small delegations from developing countries. Lengthy, politicized debates (e.g. “spectrum for climate”) delay decisions on effective and equitable spectrum access for 5G/6G, aviation, and terrestrial and satellite services.</w:t>
      </w:r>
    </w:p>
    <w:p w14:paraId="0B9C7C53" w14:textId="77777777" w:rsidR="00010E21" w:rsidRPr="00B82905" w:rsidRDefault="00592F18" w:rsidP="00B82905">
      <w:pPr>
        <w:jc w:val="both"/>
        <w:rPr>
          <w:rFonts w:eastAsia="Helvetica Neue"/>
        </w:rPr>
      </w:pPr>
      <w:r w:rsidRPr="00B82905">
        <w:rPr>
          <w:rFonts w:eastAsia="Helvetica Neue"/>
        </w:rPr>
        <w:t>As the ITU expands its scope without clear alignment to its core mandates and urgent priorities, stakeholder trust and confidence are visibly eroding.</w:t>
      </w:r>
    </w:p>
    <w:p w14:paraId="59E1AE24" w14:textId="15544916" w:rsidR="00010E21" w:rsidRPr="00B82905" w:rsidRDefault="00592F18" w:rsidP="00B82905">
      <w:pPr>
        <w:pStyle w:val="Heading1"/>
        <w:rPr>
          <w:rFonts w:eastAsia="Helvetica Neue"/>
        </w:rPr>
      </w:pPr>
      <w:r w:rsidRPr="00B82905">
        <w:rPr>
          <w:rFonts w:eastAsia="Helvetica Neue"/>
        </w:rPr>
        <w:t>2</w:t>
      </w:r>
      <w:r w:rsidR="00B82905" w:rsidRPr="00B82905">
        <w:rPr>
          <w:rFonts w:eastAsia="Helvetica Neue"/>
        </w:rPr>
        <w:tab/>
      </w:r>
      <w:r w:rsidRPr="00B82905">
        <w:rPr>
          <w:rFonts w:eastAsia="Helvetica Neue"/>
        </w:rPr>
        <w:t>Proposals</w:t>
      </w:r>
    </w:p>
    <w:p w14:paraId="41E26FD2" w14:textId="66554049" w:rsidR="00010E21" w:rsidRPr="00B82905" w:rsidRDefault="00592F18" w:rsidP="00B82905">
      <w:pPr>
        <w:jc w:val="both"/>
      </w:pPr>
      <w:r w:rsidRPr="00B82905">
        <w:rPr>
          <w:rFonts w:eastAsia="Helvetica Neue"/>
        </w:rPr>
        <w:t>To address inefficiencies in resource allocation, it is proposed that the General Secretariat provide to PP</w:t>
      </w:r>
      <w:r w:rsidR="008D1128">
        <w:rPr>
          <w:rFonts w:eastAsia="Helvetica Neue"/>
        </w:rPr>
        <w:t>-</w:t>
      </w:r>
      <w:r w:rsidRPr="00B82905">
        <w:rPr>
          <w:rFonts w:eastAsia="Helvetica Neue"/>
        </w:rPr>
        <w:t>26 a list of all ITU activities, classified into treaty-mandated core activities, ICT-enabling activities, and application-level policy activities. Treaty-level activities shall be protected, ICT-enabling activities may continue only if strictly limited to ICT-layer contributions, and application-level activities shall be terminated, scaled down, transferred, or converted to coordination-only status.</w:t>
      </w:r>
    </w:p>
    <w:p w14:paraId="26E8B5D7" w14:textId="77777777" w:rsidR="00010E21" w:rsidRPr="00B82905" w:rsidRDefault="00592F18" w:rsidP="00B82905">
      <w:pPr>
        <w:jc w:val="both"/>
        <w:rPr>
          <w:rFonts w:eastAsia="Helvetica Neue"/>
        </w:rPr>
      </w:pPr>
      <w:r w:rsidRPr="00B82905">
        <w:rPr>
          <w:rFonts w:eastAsia="Helvetica Neue"/>
        </w:rPr>
        <w:t>It is further proposed that the Council or PP, as appropriate, adopt a decision specifying that:</w:t>
      </w:r>
    </w:p>
    <w:p w14:paraId="4894B7D2" w14:textId="6F64664E" w:rsidR="00010E21" w:rsidRPr="00B82905" w:rsidRDefault="00592F18" w:rsidP="00B82905">
      <w:pPr>
        <w:pStyle w:val="enumlev1"/>
        <w:jc w:val="both"/>
      </w:pPr>
      <w:r w:rsidRPr="00B82905">
        <w:t>–</w:t>
      </w:r>
      <w:r w:rsidR="00B82905" w:rsidRPr="00B82905">
        <w:tab/>
      </w:r>
      <w:r w:rsidRPr="00B82905">
        <w:rPr>
          <w:rFonts w:eastAsia="Helvetica Neue"/>
        </w:rPr>
        <w:t>WRC agenda items must demonstrate a direct and exclusive link to spectrum regulation;</w:t>
      </w:r>
    </w:p>
    <w:p w14:paraId="0C5CCE68" w14:textId="4D279CC6" w:rsidR="00010E21" w:rsidRPr="00B82905" w:rsidRDefault="00592F18" w:rsidP="00B82905">
      <w:pPr>
        <w:pStyle w:val="enumlev1"/>
        <w:jc w:val="both"/>
        <w:rPr>
          <w:rFonts w:eastAsia="Helvetica Neue"/>
        </w:rPr>
      </w:pPr>
      <w:r w:rsidRPr="00B82905">
        <w:rPr>
          <w:rFonts w:eastAsia="Helvetica Neue"/>
        </w:rPr>
        <w:t>–</w:t>
      </w:r>
      <w:r w:rsidR="00B82905" w:rsidRPr="00B82905">
        <w:rPr>
          <w:rFonts w:eastAsia="Helvetica Neue"/>
        </w:rPr>
        <w:tab/>
      </w:r>
      <w:r w:rsidRPr="00B82905">
        <w:rPr>
          <w:rFonts w:eastAsia="Helvetica Neue"/>
        </w:rPr>
        <w:t>WTSA agendas should address technical interoperability only;</w:t>
      </w:r>
    </w:p>
    <w:p w14:paraId="5F671A76" w14:textId="7E0DB657" w:rsidR="00010E21" w:rsidRPr="00B82905" w:rsidRDefault="00592F18" w:rsidP="00B82905">
      <w:pPr>
        <w:pStyle w:val="enumlev1"/>
        <w:jc w:val="both"/>
      </w:pPr>
      <w:r w:rsidRPr="00B82905">
        <w:rPr>
          <w:rFonts w:eastAsia="Helvetica Neue"/>
        </w:rPr>
        <w:t>–</w:t>
      </w:r>
      <w:r w:rsidR="00B82905" w:rsidRPr="00B82905">
        <w:rPr>
          <w:rFonts w:eastAsia="Helvetica Neue"/>
        </w:rPr>
        <w:tab/>
      </w:r>
      <w:r w:rsidRPr="00B82905">
        <w:rPr>
          <w:rFonts w:eastAsia="Helvetica Neue"/>
        </w:rPr>
        <w:t>WTDC should prioritize broadband deployment, spectrum licensing, universal service frameworks, and telecom regulatory capacity building.</w:t>
      </w:r>
    </w:p>
    <w:p w14:paraId="116F00EE" w14:textId="77777777" w:rsidR="00010E21" w:rsidRPr="00B82905" w:rsidRDefault="00592F18" w:rsidP="00B82905">
      <w:pPr>
        <w:jc w:val="both"/>
        <w:rPr>
          <w:rFonts w:eastAsia="Helvetica Neue"/>
        </w:rPr>
      </w:pPr>
      <w:r w:rsidRPr="00B82905">
        <w:rPr>
          <w:rFonts w:eastAsia="Helvetica Neue"/>
        </w:rPr>
        <w:lastRenderedPageBreak/>
        <w:t>Agenda items primarily serving environmental, humanitarian, or climate policy objectives, ethical, social, or governance frameworks, societal impact assessments, governance models, AI ethics, health policy, education, and inclusion should be excluded or referred to relevant UN agencies.</w:t>
      </w:r>
    </w:p>
    <w:p w14:paraId="6A8358B0" w14:textId="77777777" w:rsidR="00010E21" w:rsidRPr="00B82905" w:rsidRDefault="00592F18" w:rsidP="00B82905">
      <w:pPr>
        <w:jc w:val="both"/>
        <w:rPr>
          <w:rFonts w:eastAsia="Helvetica Neue"/>
        </w:rPr>
      </w:pPr>
      <w:r w:rsidRPr="00B82905">
        <w:rPr>
          <w:rFonts w:eastAsia="Helvetica Neue"/>
        </w:rPr>
        <w:t>A rule should be adopted that all non-core PP resolutions expire after four years. Renewal should require a mandate compliance statement, an obligatory resource impact assessment, identification of the lead UN agency, and proof of non-duplication.</w:t>
      </w:r>
    </w:p>
    <w:p w14:paraId="4BEE5AE9" w14:textId="77777777" w:rsidR="00010E21" w:rsidRPr="00B82905" w:rsidRDefault="00592F18" w:rsidP="00B82905">
      <w:pPr>
        <w:jc w:val="both"/>
        <w:rPr>
          <w:rFonts w:eastAsia="Helvetica Neue"/>
        </w:rPr>
      </w:pPr>
      <w:r w:rsidRPr="00B82905">
        <w:rPr>
          <w:rFonts w:eastAsia="Helvetica Neue"/>
          <w:lang w:eastAsia="zh-CN" w:bidi="ar"/>
        </w:rPr>
        <w:t>Every four years, the Council shall review all activities to determine whether they should be protected, continued, narrowed, terminated, or reframed, and submit the results of this review to the next Plenipotentiary Conference for appropriate action.</w:t>
      </w:r>
    </w:p>
    <w:p w14:paraId="5213A318" w14:textId="35576BD1" w:rsidR="00010E21" w:rsidRPr="00B82905" w:rsidRDefault="00592F18" w:rsidP="00B82905">
      <w:pPr>
        <w:pStyle w:val="Heading1"/>
        <w:rPr>
          <w:rFonts w:eastAsia="Helvetica Neue"/>
        </w:rPr>
      </w:pPr>
      <w:r w:rsidRPr="00B82905">
        <w:rPr>
          <w:rFonts w:eastAsia="Helvetica Neue"/>
        </w:rPr>
        <w:t>3</w:t>
      </w:r>
      <w:r w:rsidR="00B82905" w:rsidRPr="00B82905">
        <w:rPr>
          <w:rFonts w:eastAsia="Helvetica Neue"/>
        </w:rPr>
        <w:tab/>
      </w:r>
      <w:r w:rsidRPr="00B82905">
        <w:rPr>
          <w:rFonts w:eastAsia="Helvetica Neue"/>
        </w:rPr>
        <w:t>Conclusion</w:t>
      </w:r>
    </w:p>
    <w:p w14:paraId="5664ABCE" w14:textId="77777777" w:rsidR="00010E21" w:rsidRPr="00B82905" w:rsidRDefault="00592F18" w:rsidP="00B82905">
      <w:pPr>
        <w:jc w:val="both"/>
        <w:rPr>
          <w:rFonts w:eastAsia="Helvetica Neue"/>
        </w:rPr>
      </w:pPr>
      <w:r w:rsidRPr="00B82905">
        <w:rPr>
          <w:rFonts w:eastAsia="Helvetica Neue"/>
          <w:lang w:eastAsia="zh-CN" w:bidi="ar"/>
        </w:rPr>
        <w:t>Mission creep, driven by a pursuit of relevance and funding, undermines the ITU’s capacity to deliver clear, timely, and expert global coordination for the digital economy. Marginal activities are effectively funded at the cost of excellence in the ITU’s core functions, leading to their degradation, delayed innovation, increased regulatory risk, and the potential for harmful interference.</w:t>
      </w:r>
    </w:p>
    <w:p w14:paraId="6F1FE0BD" w14:textId="77777777" w:rsidR="00010E21" w:rsidRPr="00B82905" w:rsidRDefault="00592F18" w:rsidP="00B82905">
      <w:pPr>
        <w:jc w:val="both"/>
        <w:rPr>
          <w:rFonts w:eastAsia="Helvetica Neue"/>
        </w:rPr>
      </w:pPr>
      <w:r w:rsidRPr="00B82905">
        <w:rPr>
          <w:rFonts w:eastAsia="Helvetica Neue"/>
        </w:rPr>
        <w:t>The proposed program evaluation and mandate compliance review would be a powerful, evidence-based tool for meaningful reform, bolstering the ITU’s reputation as the competent and indispensable technical coordinator of global communications.</w:t>
      </w:r>
    </w:p>
    <w:p w14:paraId="34FDA9DF" w14:textId="77777777" w:rsidR="00010E21" w:rsidRPr="00B82905" w:rsidRDefault="00010E21" w:rsidP="00B82905">
      <w:pPr>
        <w:rPr>
          <w:rFonts w:eastAsia="Helvetica Neue"/>
        </w:rPr>
      </w:pPr>
    </w:p>
    <w:p w14:paraId="026AA98E" w14:textId="77777777" w:rsidR="00010E21" w:rsidRPr="00B82905" w:rsidRDefault="00592F18">
      <w:pPr>
        <w:widowControl w:val="0"/>
        <w:tabs>
          <w:tab w:val="clear" w:pos="567"/>
          <w:tab w:val="clear" w:pos="1134"/>
          <w:tab w:val="clear" w:pos="1701"/>
          <w:tab w:val="clear" w:pos="2268"/>
          <w:tab w:val="clear" w:pos="2835"/>
        </w:tabs>
        <w:kinsoku w:val="0"/>
        <w:snapToGrid w:val="0"/>
        <w:spacing w:before="0" w:line="252" w:lineRule="auto"/>
        <w:jc w:val="center"/>
        <w:textAlignment w:val="auto"/>
        <w:rPr>
          <w:rFonts w:asciiTheme="minorHAnsi" w:eastAsia="Helvetica Neue" w:hAnsiTheme="minorHAnsi" w:cs="Helvetica Neue"/>
          <w:spacing w:val="2"/>
          <w:szCs w:val="24"/>
        </w:rPr>
      </w:pPr>
      <w:r w:rsidRPr="00B82905">
        <w:rPr>
          <w:rFonts w:asciiTheme="minorHAnsi" w:hAnsiTheme="minorHAnsi"/>
          <w:szCs w:val="24"/>
        </w:rPr>
        <w:t>______________</w:t>
      </w:r>
    </w:p>
    <w:sectPr w:rsidR="00010E21" w:rsidRPr="00B82905">
      <w:footerReference w:type="default" r:id="rId13"/>
      <w:headerReference w:type="first" r:id="rId14"/>
      <w:footerReference w:type="first" r:id="rId15"/>
      <w:pgSz w:w="11907" w:h="16834"/>
      <w:pgMar w:top="1411" w:right="1411" w:bottom="1411" w:left="1699" w:header="720" w:footer="720" w:gutter="0"/>
      <w:paperSrc w:first="286" w:other="286"/>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EC2B" w14:textId="77777777" w:rsidR="006C0929" w:rsidRDefault="00592F18">
      <w:pPr>
        <w:spacing w:before="0"/>
      </w:pPr>
      <w:r>
        <w:separator/>
      </w:r>
    </w:p>
  </w:endnote>
  <w:endnote w:type="continuationSeparator" w:id="0">
    <w:p w14:paraId="56682B9C" w14:textId="77777777" w:rsidR="006C0929" w:rsidRDefault="00592F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sig w:usb0="E50002FF" w:usb1="500079DB" w:usb2="00000010" w:usb3="00000000" w:csb0="00000000" w:csb1="00000000"/>
  </w:font>
  <w:font w:name="unset">
    <w:altName w:val="苹方-简"/>
    <w:charset w:val="00"/>
    <w:family w:val="auto"/>
    <w:pitch w:val="default"/>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10E21" w14:paraId="16F9F365" w14:textId="77777777">
      <w:trPr>
        <w:jc w:val="center"/>
      </w:trPr>
      <w:tc>
        <w:tcPr>
          <w:tcW w:w="1803" w:type="dxa"/>
          <w:vAlign w:val="center"/>
        </w:tcPr>
        <w:p w14:paraId="1BA4AF29" w14:textId="77777777" w:rsidR="00010E21" w:rsidRDefault="00010E21">
          <w:pPr>
            <w:pStyle w:val="Header"/>
            <w:jc w:val="left"/>
            <w:rPr>
              <w:rFonts w:eastAsiaTheme="minorHAnsi"/>
            </w:rPr>
          </w:pPr>
        </w:p>
      </w:tc>
      <w:tc>
        <w:tcPr>
          <w:tcW w:w="8261" w:type="dxa"/>
        </w:tcPr>
        <w:p w14:paraId="17E067C7" w14:textId="309FAEC0" w:rsidR="00010E21" w:rsidRDefault="00592F18">
          <w:pPr>
            <w:pStyle w:val="Header"/>
            <w:tabs>
              <w:tab w:val="left" w:pos="6028"/>
              <w:tab w:val="right" w:pos="8505"/>
              <w:tab w:val="right" w:pos="9639"/>
            </w:tabs>
            <w:jc w:val="left"/>
            <w:rPr>
              <w:rFonts w:ascii="Arial" w:eastAsiaTheme="minorHAnsi" w:hAnsi="Arial" w:cs="Arial"/>
              <w:b/>
              <w:bCs/>
              <w:szCs w:val="18"/>
            </w:rPr>
          </w:pPr>
          <w:r>
            <w:rPr>
              <w:rFonts w:eastAsiaTheme="minorHAnsi"/>
              <w:bCs/>
            </w:rPr>
            <w:tab/>
            <w:t>CWG-FHR-22/</w:t>
          </w:r>
          <w:r w:rsidR="00AE10C2">
            <w:rPr>
              <w:rFonts w:eastAsiaTheme="minorHAnsi"/>
              <w:bCs/>
            </w:rPr>
            <w:t>25</w:t>
          </w:r>
          <w:r>
            <w:rPr>
              <w:rFonts w:eastAsiaTheme="minorHAnsi"/>
              <w:bCs/>
            </w:rPr>
            <w:t>-E</w:t>
          </w:r>
          <w:r>
            <w:rPr>
              <w:rFonts w:eastAsiaTheme="minorHAnsi"/>
              <w:bCs/>
            </w:rPr>
            <w:tab/>
          </w:r>
          <w:r>
            <w:rPr>
              <w:rFonts w:eastAsiaTheme="minorHAnsi"/>
            </w:rPr>
            <w:fldChar w:fldCharType="begin"/>
          </w:r>
          <w:r>
            <w:rPr>
              <w:rFonts w:eastAsiaTheme="minorHAnsi"/>
            </w:rPr>
            <w:instrText>PAGE</w:instrText>
          </w:r>
          <w:r>
            <w:rPr>
              <w:rFonts w:eastAsiaTheme="minorHAnsi"/>
            </w:rPr>
            <w:fldChar w:fldCharType="separate"/>
          </w:r>
          <w:r w:rsidR="00F273A7">
            <w:rPr>
              <w:rFonts w:eastAsiaTheme="minorHAnsi"/>
              <w:noProof/>
            </w:rPr>
            <w:t>3</w:t>
          </w:r>
          <w:r>
            <w:rPr>
              <w:rFonts w:eastAsiaTheme="minorHAnsi"/>
            </w:rPr>
            <w:fldChar w:fldCharType="end"/>
          </w:r>
        </w:p>
      </w:tc>
    </w:tr>
  </w:tbl>
  <w:p w14:paraId="0DFB22B7" w14:textId="77777777" w:rsidR="00010E21" w:rsidRDefault="00010E21">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010E21" w14:paraId="506C72D7" w14:textId="77777777">
      <w:trPr>
        <w:jc w:val="center"/>
      </w:trPr>
      <w:tc>
        <w:tcPr>
          <w:tcW w:w="3107" w:type="dxa"/>
          <w:vAlign w:val="center"/>
        </w:tcPr>
        <w:p w14:paraId="27C3F602" w14:textId="77777777" w:rsidR="00010E21" w:rsidRDefault="00592F18">
          <w:pPr>
            <w:pStyle w:val="Header"/>
            <w:jc w:val="left"/>
            <w:rPr>
              <w:rFonts w:eastAsiaTheme="minorHAnsi"/>
            </w:rPr>
          </w:pPr>
          <w:hyperlink r:id="rId1" w:history="1">
            <w:r>
              <w:rPr>
                <w:rStyle w:val="Hyperlink"/>
                <w:rFonts w:eastAsiaTheme="minorHAnsi"/>
              </w:rPr>
              <w:t>council.itu.int/working-groups</w:t>
            </w:r>
          </w:hyperlink>
        </w:p>
      </w:tc>
      <w:tc>
        <w:tcPr>
          <w:tcW w:w="6957" w:type="dxa"/>
        </w:tcPr>
        <w:p w14:paraId="23C179DA" w14:textId="490FDF1E" w:rsidR="00010E21" w:rsidRDefault="00592F18">
          <w:pPr>
            <w:pStyle w:val="Header"/>
            <w:tabs>
              <w:tab w:val="left" w:pos="4718"/>
              <w:tab w:val="right" w:pos="8505"/>
              <w:tab w:val="right" w:pos="9639"/>
            </w:tabs>
            <w:jc w:val="left"/>
            <w:rPr>
              <w:rFonts w:ascii="Arial" w:eastAsiaTheme="minorHAnsi" w:hAnsi="Arial" w:cs="Arial"/>
              <w:b/>
              <w:bCs/>
              <w:szCs w:val="18"/>
            </w:rPr>
          </w:pPr>
          <w:r>
            <w:rPr>
              <w:rFonts w:eastAsiaTheme="minorHAnsi"/>
              <w:bCs/>
            </w:rPr>
            <w:tab/>
            <w:t>CWG-FHR-22/</w:t>
          </w:r>
          <w:r w:rsidR="00AE10C2">
            <w:rPr>
              <w:rFonts w:eastAsiaTheme="minorHAnsi"/>
              <w:bCs/>
            </w:rPr>
            <w:t>25</w:t>
          </w:r>
          <w:r>
            <w:rPr>
              <w:rFonts w:eastAsiaTheme="minorHAnsi"/>
              <w:bCs/>
            </w:rPr>
            <w:t>-E</w:t>
          </w:r>
          <w:r>
            <w:rPr>
              <w:rFonts w:eastAsiaTheme="minorHAnsi"/>
              <w:bCs/>
            </w:rPr>
            <w:tab/>
          </w:r>
          <w:r>
            <w:rPr>
              <w:rFonts w:eastAsiaTheme="minorHAnsi"/>
            </w:rPr>
            <w:fldChar w:fldCharType="begin"/>
          </w:r>
          <w:r>
            <w:rPr>
              <w:rFonts w:eastAsiaTheme="minorHAnsi"/>
            </w:rPr>
            <w:instrText>PAGE</w:instrText>
          </w:r>
          <w:r>
            <w:rPr>
              <w:rFonts w:eastAsiaTheme="minorHAnsi"/>
            </w:rPr>
            <w:fldChar w:fldCharType="separate"/>
          </w:r>
          <w:r w:rsidR="00F273A7">
            <w:rPr>
              <w:rFonts w:eastAsiaTheme="minorHAnsi"/>
              <w:noProof/>
            </w:rPr>
            <w:t>1</w:t>
          </w:r>
          <w:r>
            <w:rPr>
              <w:rFonts w:eastAsiaTheme="minorHAnsi"/>
            </w:rPr>
            <w:fldChar w:fldCharType="end"/>
          </w:r>
        </w:p>
      </w:tc>
    </w:tr>
  </w:tbl>
  <w:p w14:paraId="6B7E895B" w14:textId="77777777" w:rsidR="00010E21" w:rsidRDefault="00010E21">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337A" w14:textId="77777777" w:rsidR="00010E21" w:rsidRDefault="00592F18">
      <w:pPr>
        <w:spacing w:before="0"/>
      </w:pPr>
      <w:r>
        <w:separator/>
      </w:r>
    </w:p>
  </w:footnote>
  <w:footnote w:type="continuationSeparator" w:id="0">
    <w:p w14:paraId="04EECA80" w14:textId="77777777" w:rsidR="00010E21" w:rsidRDefault="00592F1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010E21" w14:paraId="13AEAD15" w14:textId="77777777">
      <w:trPr>
        <w:trHeight w:val="1304"/>
        <w:jc w:val="center"/>
      </w:trPr>
      <w:tc>
        <w:tcPr>
          <w:tcW w:w="6546" w:type="dxa"/>
        </w:tcPr>
        <w:bookmarkStart w:id="11" w:name="_Hlk133422111"/>
        <w:p w14:paraId="2EF6CE8C" w14:textId="77777777" w:rsidR="00010E21" w:rsidRDefault="00592F18">
          <w:pPr>
            <w:pStyle w:val="Header"/>
            <w:jc w:val="left"/>
            <w:rPr>
              <w:rFonts w:ascii="Arial" w:eastAsiaTheme="minorHAnsi" w:hAnsi="Arial" w:cs="Arial"/>
              <w:b/>
              <w:bCs/>
              <w:color w:val="009CD6"/>
              <w:sz w:val="36"/>
              <w:szCs w:val="36"/>
              <w14:textFill>
                <w14:solidFill>
                  <w14:srgbClr w14:val="009CD6">
                    <w14:lumMod w14:val="50000"/>
                    <w14:lumOff w14:val="50000"/>
                  </w14:srgbClr>
                </w14:solidFill>
              </w14:textFill>
            </w:rPr>
          </w:pPr>
          <w:r>
            <w:rPr>
              <w:rFonts w:ascii="Arial" w:eastAsiaTheme="minorHAnsi" w:hAnsi="Arial" w:cs="Arial"/>
              <w:b/>
              <w:bCs/>
              <w:noProof/>
              <w:color w:val="009CD6"/>
              <w:szCs w:val="18"/>
              <w:lang w:val="ru-RU" w:eastAsia="ru-RU"/>
              <w14:textFill>
                <w14:solidFill>
                  <w14:srgbClr w14:val="009CD6">
                    <w14:lumMod w14:val="50000"/>
                    <w14:lumOff w14:val="50000"/>
                  </w14:srgbClr>
                </w14:solidFill>
              </w14:textFill>
            </w:rPr>
            <mc:AlternateContent>
              <mc:Choice Requires="wps">
                <w:drawing>
                  <wp:anchor distT="0" distB="0" distL="114300" distR="114300" simplePos="0" relativeHeight="251660288" behindDoc="0" locked="0" layoutInCell="1" allowOverlap="1" wp14:anchorId="0F4FAB92" wp14:editId="7E75BE27">
                    <wp:simplePos x="0" y="0"/>
                    <wp:positionH relativeFrom="column">
                      <wp:posOffset>569595</wp:posOffset>
                    </wp:positionH>
                    <wp:positionV relativeFrom="paragraph">
                      <wp:posOffset>62865</wp:posOffset>
                    </wp:positionV>
                    <wp:extent cx="1652905" cy="541020"/>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44.85pt;margin-top:4.95pt;height:42.6pt;width:130.15pt;z-index:251660288;v-text-anchor:middle;mso-width-relative:page;mso-height-relative:page;" fillcolor="#FFFFFF [3212]" filled="t" stroked="f" coordsize="21600,21600" o:gfxdata="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2/oSDTAAAABwEAAA8AAAAA&#10;AAAAAQAgAAAAIgAAAGRycy9kb3ducmV2LnhtbFBLAQIUABQAAAAIAIdO4kCqEfNLUgIAALcEAAAO&#10;AAAAAAAAAAEAIAAAACIBAABkcnMvZTJvRG9jLnhtbFBLBQYAAAAABgAGAFkBAADmBQAAAAA=&#10;">
                    <v:fill on="t" focussize="0,0"/>
                    <v:stroke on="f" weight="2pt"/>
                    <v:imagedata o:title=""/>
                    <o:lock v:ext="edit" aspectratio="f"/>
                  </v:rect>
                </w:pict>
              </mc:Fallback>
            </mc:AlternateContent>
          </w:r>
          <w:r>
            <w:rPr>
              <w:rFonts w:eastAsiaTheme="minorHAnsi"/>
              <w:noProof/>
              <w:lang w:val="ru-RU" w:eastAsia="ru-RU"/>
            </w:rPr>
            <w:drawing>
              <wp:inline distT="0" distB="0" distL="0" distR="0" wp14:anchorId="060CCE44" wp14:editId="3451AFFD">
                <wp:extent cx="2249805" cy="62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4D5E9485" w14:textId="77777777" w:rsidR="00010E21" w:rsidRDefault="00010E21">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40748CFB" w14:textId="77777777" w:rsidR="00010E21" w:rsidRDefault="00010E21">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52514AC8" w14:textId="77777777" w:rsidR="00010E21" w:rsidRDefault="00592F18">
          <w:pPr>
            <w:pStyle w:val="Header"/>
            <w:jc w:val="right"/>
            <w:rPr>
              <w:rFonts w:ascii="Arial" w:eastAsiaTheme="minorHAnsi" w:hAnsi="Arial" w:cs="Arial"/>
              <w:color w:val="009CD6"/>
              <w:szCs w:val="18"/>
              <w14:textFill>
                <w14:solidFill>
                  <w14:srgbClr w14:val="009CD6">
                    <w14:lumMod w14:val="50000"/>
                    <w14:lumOff w14:val="50000"/>
                  </w14:srgbClr>
                </w14:solidFill>
              </w14:textFill>
            </w:rPr>
          </w:pPr>
          <w:r>
            <w:rPr>
              <w:rFonts w:ascii="Arial" w:eastAsiaTheme="minorHAnsi" w:hAnsi="Arial" w:cs="Arial"/>
              <w:b/>
              <w:bCs/>
              <w:color w:val="009CD6"/>
              <w:szCs w:val="18"/>
              <w14:textFill>
                <w14:solidFill>
                  <w14:srgbClr w14:val="009CD6">
                    <w14:lumMod w14:val="50000"/>
                    <w14:lumOff w14:val="50000"/>
                  </w14:srgbClr>
                </w14:solidFill>
              </w14:textFill>
            </w:rPr>
            <w:t xml:space="preserve"> </w:t>
          </w:r>
        </w:p>
      </w:tc>
    </w:tr>
  </w:tbl>
  <w:bookmarkEnd w:id="11"/>
  <w:p w14:paraId="2F32AA9D" w14:textId="77777777" w:rsidR="00010E21" w:rsidRDefault="00592F18">
    <w:pPr>
      <w:pStyle w:val="Header"/>
    </w:pPr>
    <w:r>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3CD959F9" wp14:editId="795D6FDC">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1.15pt;margin-top:43.75pt;height:34pt;width:7.35pt;mso-position-horizontal-relative:page;mso-position-vertical-relative:page;z-index:251659264;mso-width-relative:page;mso-height-relative:page;" fillcolor="#009CD5" filled="t" stroked="f" coordsize="21600,21600" o:gfxdata="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9XYxTXAAAABwEAAA8AAAAAAAAA&#10;AQAgAAAAIgAAAGRycy9kb3ducmV2LnhtbFBLAQIUABQAAAAIAIdO4kBR2/FNEgIAACcEAAAOAAAA&#10;AAAAAAEAIAAAACYBAABkcnMvZTJvRG9jLnhtbFBLBQYAAAAABgAGAFkBAACqBQAAAAA=&#10;">
              <v:fill on="t" focussize="0,0"/>
              <v:stroke on="f"/>
              <v:imagedata o:title=""/>
              <o:lock v:ext="edit" aspectratio="f"/>
            </v:rect>
          </w:pict>
        </mc:Fallback>
      </mc:AlternateContent>
    </w:r>
    <w:r>
      <w:rPr>
        <w:rFonts w:ascii="Arial" w:eastAsiaTheme="minorHAnsi" w:hAnsi="Arial" w:cs="Arial"/>
        <w:b/>
        <w:bCs/>
        <w:noProof/>
        <w:color w:val="009CD6"/>
        <w:szCs w:val="18"/>
        <w:lang w:val="ru-RU" w:eastAsia="ru-RU"/>
        <w14:textFill>
          <w14:solidFill>
            <w14:srgbClr w14:val="009CD6">
              <w14:lumMod w14:val="50000"/>
              <w14:lumOff w14:val="50000"/>
            </w14:srgbClr>
          </w14:solidFill>
        </w14:textFill>
      </w:rPr>
      <mc:AlternateContent>
        <mc:Choice Requires="wps">
          <w:drawing>
            <wp:anchor distT="0" distB="0" distL="114300" distR="114300" simplePos="0" relativeHeight="251661312" behindDoc="0" locked="0" layoutInCell="1" allowOverlap="1" wp14:anchorId="109932ED" wp14:editId="60436611">
              <wp:simplePos x="0" y="0"/>
              <wp:positionH relativeFrom="column">
                <wp:posOffset>306705</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ln>
                    </wps:spPr>
                    <wps:txbx>
                      <w:txbxContent>
                        <w:p w14:paraId="14AF8E51" w14:textId="77777777" w:rsidR="00010E21" w:rsidRDefault="00592F18">
                          <w:pPr>
                            <w:spacing w:before="0"/>
                          </w:pPr>
                          <w:r>
                            <w:rPr>
                              <w:b/>
                              <w:bCs/>
                              <w:szCs w:val="24"/>
                            </w:rPr>
                            <w:t xml:space="preserve">Council Working Group </w:t>
                          </w:r>
                          <w:r>
                            <w:rPr>
                              <w:b/>
                              <w:bCs/>
                              <w:szCs w:val="24"/>
                            </w:rPr>
                            <w:br/>
                            <w:t>on financial and human resources</w:t>
                          </w:r>
                          <w:r>
                            <w:br/>
                          </w:r>
                          <w:r>
                            <w:rPr>
                              <w:sz w:val="20"/>
                            </w:rPr>
                            <w:t>Twenty-second meeting – From 14 to 16 January 2026</w:t>
                          </w:r>
                        </w:p>
                      </w:txbxContent>
                    </wps:txbx>
                    <wps:bodyPr rot="0" vert="horz" wrap="square" lIns="91440" tIns="45720" rIns="91440" bIns="45720" anchor="t" anchorCtr="0">
                      <a:spAutoFit/>
                    </wps:bodyPr>
                  </wps:wsp>
                </a:graphicData>
              </a:graphic>
            </wp:anchor>
          </w:drawing>
        </mc:Choice>
        <mc:Fallback>
          <w:pict>
            <v:shapetype w14:anchorId="109932ED"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" filled="f" stroked="f">
              <v:textbox style="mso-fit-shape-to-text:t">
                <w:txbxContent>
                  <w:p w14:paraId="14AF8E51" w14:textId="77777777" w:rsidR="00010E21" w:rsidRDefault="00592F18">
                    <w:pPr>
                      <w:spacing w:before="0"/>
                    </w:pPr>
                    <w:r>
                      <w:rPr>
                        <w:b/>
                        <w:bCs/>
                        <w:szCs w:val="24"/>
                      </w:rPr>
                      <w:t xml:space="preserve">Council Working Group </w:t>
                    </w:r>
                    <w:r>
                      <w:rPr>
                        <w:b/>
                        <w:bCs/>
                        <w:szCs w:val="24"/>
                      </w:rPr>
                      <w:br/>
                      <w:t>on financial and human resources</w:t>
                    </w:r>
                    <w:r>
                      <w:br/>
                    </w:r>
                    <w:r>
                      <w:rPr>
                        <w:sz w:val="20"/>
                      </w:rPr>
                      <w:t>Twenty-second meeting – From 14 to 16 January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6598"/>
    <w:multiLevelType w:val="hybridMultilevel"/>
    <w:tmpl w:val="8F7CE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06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86ABF6C7"/>
    <w:rsid w:val="975DC686"/>
    <w:rsid w:val="9DDB56BD"/>
    <w:rsid w:val="9EEBDD53"/>
    <w:rsid w:val="9F3BAB8C"/>
    <w:rsid w:val="ADFF4975"/>
    <w:rsid w:val="AEFF847B"/>
    <w:rsid w:val="AF976DFB"/>
    <w:rsid w:val="B3FF05EB"/>
    <w:rsid w:val="B4FF4548"/>
    <w:rsid w:val="B9DFC8D3"/>
    <w:rsid w:val="BB3FDBFC"/>
    <w:rsid w:val="BBEF7CC6"/>
    <w:rsid w:val="BD7AD7F3"/>
    <w:rsid w:val="BD7C4D19"/>
    <w:rsid w:val="BF7F7D17"/>
    <w:rsid w:val="BFFFEF32"/>
    <w:rsid w:val="C9F535A8"/>
    <w:rsid w:val="CB5EEDB0"/>
    <w:rsid w:val="CD9FEABA"/>
    <w:rsid w:val="CEEED7FB"/>
    <w:rsid w:val="D5BD722F"/>
    <w:rsid w:val="D5DFCB69"/>
    <w:rsid w:val="D7BF8FC9"/>
    <w:rsid w:val="DCEFD440"/>
    <w:rsid w:val="DD5F5E73"/>
    <w:rsid w:val="DEB6E7DB"/>
    <w:rsid w:val="DEF6D0EA"/>
    <w:rsid w:val="DEFF2746"/>
    <w:rsid w:val="DFEFFD86"/>
    <w:rsid w:val="DFFC1EC4"/>
    <w:rsid w:val="DFFF25C4"/>
    <w:rsid w:val="DFFFBBBE"/>
    <w:rsid w:val="E7DBB184"/>
    <w:rsid w:val="E9EDF7A2"/>
    <w:rsid w:val="EB947F46"/>
    <w:rsid w:val="EBBF12B7"/>
    <w:rsid w:val="EBF57E49"/>
    <w:rsid w:val="EDFF665F"/>
    <w:rsid w:val="EFFA6F82"/>
    <w:rsid w:val="F4D12B41"/>
    <w:rsid w:val="F57FED9D"/>
    <w:rsid w:val="F5F68C7F"/>
    <w:rsid w:val="F6D79711"/>
    <w:rsid w:val="F7BB0C62"/>
    <w:rsid w:val="F7BD6453"/>
    <w:rsid w:val="F7FF15BB"/>
    <w:rsid w:val="F8F77074"/>
    <w:rsid w:val="FB7FC15F"/>
    <w:rsid w:val="FBB703DD"/>
    <w:rsid w:val="FBFD8732"/>
    <w:rsid w:val="FBFF4FDB"/>
    <w:rsid w:val="FC9FA8BB"/>
    <w:rsid w:val="FCF94453"/>
    <w:rsid w:val="FCFF1CC5"/>
    <w:rsid w:val="FCFF628C"/>
    <w:rsid w:val="FDE73218"/>
    <w:rsid w:val="FDF97CD6"/>
    <w:rsid w:val="FE3DD4E3"/>
    <w:rsid w:val="FE6F762E"/>
    <w:rsid w:val="FE9DE1BB"/>
    <w:rsid w:val="FEF71B8D"/>
    <w:rsid w:val="FF0F77E9"/>
    <w:rsid w:val="FF7F8FC5"/>
    <w:rsid w:val="FF8E2B34"/>
    <w:rsid w:val="FFADE921"/>
    <w:rsid w:val="FFDCA590"/>
    <w:rsid w:val="FFEFA551"/>
    <w:rsid w:val="FFF56D13"/>
    <w:rsid w:val="FFFF46A8"/>
    <w:rsid w:val="00010E21"/>
    <w:rsid w:val="000210D4"/>
    <w:rsid w:val="00022A8E"/>
    <w:rsid w:val="00063016"/>
    <w:rsid w:val="00066795"/>
    <w:rsid w:val="00076AF6"/>
    <w:rsid w:val="00085CF2"/>
    <w:rsid w:val="000A57A6"/>
    <w:rsid w:val="000B1705"/>
    <w:rsid w:val="000D75B2"/>
    <w:rsid w:val="001121F5"/>
    <w:rsid w:val="00130599"/>
    <w:rsid w:val="001400DC"/>
    <w:rsid w:val="00140CE1"/>
    <w:rsid w:val="001751FF"/>
    <w:rsid w:val="0017539C"/>
    <w:rsid w:val="00175AC2"/>
    <w:rsid w:val="0017609F"/>
    <w:rsid w:val="0019628A"/>
    <w:rsid w:val="001A7D1D"/>
    <w:rsid w:val="001B51DD"/>
    <w:rsid w:val="001C628E"/>
    <w:rsid w:val="001E0F7B"/>
    <w:rsid w:val="001E0FBE"/>
    <w:rsid w:val="00202929"/>
    <w:rsid w:val="002119FD"/>
    <w:rsid w:val="002130E0"/>
    <w:rsid w:val="00215A2C"/>
    <w:rsid w:val="002404ED"/>
    <w:rsid w:val="00244F7F"/>
    <w:rsid w:val="00251650"/>
    <w:rsid w:val="00260ACE"/>
    <w:rsid w:val="00264425"/>
    <w:rsid w:val="00265875"/>
    <w:rsid w:val="0027303B"/>
    <w:rsid w:val="0028109B"/>
    <w:rsid w:val="002A2188"/>
    <w:rsid w:val="002B1F58"/>
    <w:rsid w:val="002C1C7A"/>
    <w:rsid w:val="002C54E2"/>
    <w:rsid w:val="002D5DBD"/>
    <w:rsid w:val="002F38E2"/>
    <w:rsid w:val="0030160F"/>
    <w:rsid w:val="003058DA"/>
    <w:rsid w:val="00320223"/>
    <w:rsid w:val="00322D0D"/>
    <w:rsid w:val="003515F5"/>
    <w:rsid w:val="00361465"/>
    <w:rsid w:val="003877F5"/>
    <w:rsid w:val="003942D4"/>
    <w:rsid w:val="003958A8"/>
    <w:rsid w:val="003B6D23"/>
    <w:rsid w:val="003C2533"/>
    <w:rsid w:val="003D55B9"/>
    <w:rsid w:val="003D5A7F"/>
    <w:rsid w:val="003E2EF3"/>
    <w:rsid w:val="004016E2"/>
    <w:rsid w:val="0040435A"/>
    <w:rsid w:val="00416A24"/>
    <w:rsid w:val="00431D9E"/>
    <w:rsid w:val="00433CE8"/>
    <w:rsid w:val="00434A5C"/>
    <w:rsid w:val="004544D9"/>
    <w:rsid w:val="004569EC"/>
    <w:rsid w:val="00472BAD"/>
    <w:rsid w:val="00484009"/>
    <w:rsid w:val="00490E72"/>
    <w:rsid w:val="00491157"/>
    <w:rsid w:val="004921C8"/>
    <w:rsid w:val="00495B0B"/>
    <w:rsid w:val="004A1B8B"/>
    <w:rsid w:val="004D1851"/>
    <w:rsid w:val="004D599D"/>
    <w:rsid w:val="004E2037"/>
    <w:rsid w:val="004E2EA5"/>
    <w:rsid w:val="004E3AEB"/>
    <w:rsid w:val="004F5EC4"/>
    <w:rsid w:val="0050223C"/>
    <w:rsid w:val="005243FF"/>
    <w:rsid w:val="00564FBC"/>
    <w:rsid w:val="005800BC"/>
    <w:rsid w:val="00582442"/>
    <w:rsid w:val="00592F18"/>
    <w:rsid w:val="005A335D"/>
    <w:rsid w:val="005E2BD5"/>
    <w:rsid w:val="005F3269"/>
    <w:rsid w:val="00623AE3"/>
    <w:rsid w:val="0064737F"/>
    <w:rsid w:val="006535F1"/>
    <w:rsid w:val="0065557D"/>
    <w:rsid w:val="00660D50"/>
    <w:rsid w:val="00662984"/>
    <w:rsid w:val="006716BB"/>
    <w:rsid w:val="00676C7D"/>
    <w:rsid w:val="006B1859"/>
    <w:rsid w:val="006B6680"/>
    <w:rsid w:val="006B6DCC"/>
    <w:rsid w:val="006C0929"/>
    <w:rsid w:val="00702DEF"/>
    <w:rsid w:val="00706861"/>
    <w:rsid w:val="0075051B"/>
    <w:rsid w:val="00775655"/>
    <w:rsid w:val="0078318B"/>
    <w:rsid w:val="00793188"/>
    <w:rsid w:val="00794D34"/>
    <w:rsid w:val="007D42ED"/>
    <w:rsid w:val="007F4EC9"/>
    <w:rsid w:val="00804EAC"/>
    <w:rsid w:val="00813E5E"/>
    <w:rsid w:val="0083581B"/>
    <w:rsid w:val="00863874"/>
    <w:rsid w:val="00864AFF"/>
    <w:rsid w:val="00865925"/>
    <w:rsid w:val="008676B0"/>
    <w:rsid w:val="00891503"/>
    <w:rsid w:val="008964B4"/>
    <w:rsid w:val="008A4C6B"/>
    <w:rsid w:val="008B4A6A"/>
    <w:rsid w:val="008C7E27"/>
    <w:rsid w:val="008D1128"/>
    <w:rsid w:val="008F7448"/>
    <w:rsid w:val="0090147A"/>
    <w:rsid w:val="009173EF"/>
    <w:rsid w:val="00932906"/>
    <w:rsid w:val="00961B0B"/>
    <w:rsid w:val="00962D33"/>
    <w:rsid w:val="00971C28"/>
    <w:rsid w:val="009B2D4B"/>
    <w:rsid w:val="009B38C3"/>
    <w:rsid w:val="009B558B"/>
    <w:rsid w:val="009C253A"/>
    <w:rsid w:val="009E17BD"/>
    <w:rsid w:val="009E485A"/>
    <w:rsid w:val="009F347C"/>
    <w:rsid w:val="00A04CEC"/>
    <w:rsid w:val="00A27F92"/>
    <w:rsid w:val="00A32257"/>
    <w:rsid w:val="00A34664"/>
    <w:rsid w:val="00A36D20"/>
    <w:rsid w:val="00A419B9"/>
    <w:rsid w:val="00A467DF"/>
    <w:rsid w:val="00A514A4"/>
    <w:rsid w:val="00A52C84"/>
    <w:rsid w:val="00A53D15"/>
    <w:rsid w:val="00A55622"/>
    <w:rsid w:val="00A83502"/>
    <w:rsid w:val="00A94376"/>
    <w:rsid w:val="00AD15B3"/>
    <w:rsid w:val="00AD3606"/>
    <w:rsid w:val="00AD4A3D"/>
    <w:rsid w:val="00AE10C2"/>
    <w:rsid w:val="00AF6E49"/>
    <w:rsid w:val="00B01BD6"/>
    <w:rsid w:val="00B04A67"/>
    <w:rsid w:val="00B0583C"/>
    <w:rsid w:val="00B358B2"/>
    <w:rsid w:val="00B40A81"/>
    <w:rsid w:val="00B44910"/>
    <w:rsid w:val="00B72267"/>
    <w:rsid w:val="00B76EB6"/>
    <w:rsid w:val="00B7737B"/>
    <w:rsid w:val="00B824C8"/>
    <w:rsid w:val="00B82905"/>
    <w:rsid w:val="00B84B9D"/>
    <w:rsid w:val="00BC251A"/>
    <w:rsid w:val="00BD032B"/>
    <w:rsid w:val="00BD1693"/>
    <w:rsid w:val="00BE2640"/>
    <w:rsid w:val="00C01189"/>
    <w:rsid w:val="00C374DE"/>
    <w:rsid w:val="00C47AD4"/>
    <w:rsid w:val="00C52D81"/>
    <w:rsid w:val="00C55198"/>
    <w:rsid w:val="00CA6393"/>
    <w:rsid w:val="00CA7CB8"/>
    <w:rsid w:val="00CB18FF"/>
    <w:rsid w:val="00CD0C08"/>
    <w:rsid w:val="00CE03FB"/>
    <w:rsid w:val="00CE433C"/>
    <w:rsid w:val="00CF0161"/>
    <w:rsid w:val="00CF33F3"/>
    <w:rsid w:val="00D06183"/>
    <w:rsid w:val="00D22C42"/>
    <w:rsid w:val="00D464CC"/>
    <w:rsid w:val="00D53C61"/>
    <w:rsid w:val="00D65041"/>
    <w:rsid w:val="00DB00D5"/>
    <w:rsid w:val="00DB1936"/>
    <w:rsid w:val="00DB384B"/>
    <w:rsid w:val="00DF0189"/>
    <w:rsid w:val="00DF56BE"/>
    <w:rsid w:val="00E03C3D"/>
    <w:rsid w:val="00E06FD5"/>
    <w:rsid w:val="00E10E80"/>
    <w:rsid w:val="00E124F0"/>
    <w:rsid w:val="00E227F3"/>
    <w:rsid w:val="00E321E1"/>
    <w:rsid w:val="00E545C6"/>
    <w:rsid w:val="00E60F04"/>
    <w:rsid w:val="00E65B24"/>
    <w:rsid w:val="00E854E4"/>
    <w:rsid w:val="00E86DBF"/>
    <w:rsid w:val="00E9087A"/>
    <w:rsid w:val="00EB0D6F"/>
    <w:rsid w:val="00EB2232"/>
    <w:rsid w:val="00EC5337"/>
    <w:rsid w:val="00ED1E3E"/>
    <w:rsid w:val="00ED454D"/>
    <w:rsid w:val="00EE49E8"/>
    <w:rsid w:val="00F16BAB"/>
    <w:rsid w:val="00F2150A"/>
    <w:rsid w:val="00F231D8"/>
    <w:rsid w:val="00F273A7"/>
    <w:rsid w:val="00F44C00"/>
    <w:rsid w:val="00F45D2C"/>
    <w:rsid w:val="00F46C5F"/>
    <w:rsid w:val="00F632C0"/>
    <w:rsid w:val="00F74694"/>
    <w:rsid w:val="00F94A63"/>
    <w:rsid w:val="00FA1C28"/>
    <w:rsid w:val="00FB1279"/>
    <w:rsid w:val="00FB6B76"/>
    <w:rsid w:val="00FB7596"/>
    <w:rsid w:val="00FD7016"/>
    <w:rsid w:val="00FE4077"/>
    <w:rsid w:val="00FE500D"/>
    <w:rsid w:val="00FE77D2"/>
    <w:rsid w:val="13057F1C"/>
    <w:rsid w:val="1FFA5BFC"/>
    <w:rsid w:val="25F3186F"/>
    <w:rsid w:val="3BFB7943"/>
    <w:rsid w:val="3DDF1668"/>
    <w:rsid w:val="3EFA4A78"/>
    <w:rsid w:val="3FA9AC17"/>
    <w:rsid w:val="3FFFA481"/>
    <w:rsid w:val="4FFF9069"/>
    <w:rsid w:val="4FFFF1A0"/>
    <w:rsid w:val="507B6D33"/>
    <w:rsid w:val="574FE138"/>
    <w:rsid w:val="57FBA1DA"/>
    <w:rsid w:val="57FEB50F"/>
    <w:rsid w:val="5BFECAA9"/>
    <w:rsid w:val="5BFF2943"/>
    <w:rsid w:val="5C51C195"/>
    <w:rsid w:val="5DE729B8"/>
    <w:rsid w:val="5DF638CD"/>
    <w:rsid w:val="5EB9AAC0"/>
    <w:rsid w:val="5EFF0581"/>
    <w:rsid w:val="5F753D5A"/>
    <w:rsid w:val="5FBE372B"/>
    <w:rsid w:val="5FD9D911"/>
    <w:rsid w:val="5FEBE96A"/>
    <w:rsid w:val="5FEF0160"/>
    <w:rsid w:val="5FFF1CA4"/>
    <w:rsid w:val="65E9DD18"/>
    <w:rsid w:val="667F2BE2"/>
    <w:rsid w:val="6E5B9595"/>
    <w:rsid w:val="6F2B25CA"/>
    <w:rsid w:val="6F6A5F3C"/>
    <w:rsid w:val="6FBEB06B"/>
    <w:rsid w:val="6FD9DAE2"/>
    <w:rsid w:val="6FFF695C"/>
    <w:rsid w:val="727D5779"/>
    <w:rsid w:val="73ED32E0"/>
    <w:rsid w:val="74B7B1BA"/>
    <w:rsid w:val="74EBD501"/>
    <w:rsid w:val="751E7DC1"/>
    <w:rsid w:val="75F62667"/>
    <w:rsid w:val="76EE72EC"/>
    <w:rsid w:val="76FC4639"/>
    <w:rsid w:val="79394C21"/>
    <w:rsid w:val="7ABFEC6D"/>
    <w:rsid w:val="7BAB625E"/>
    <w:rsid w:val="7BD3F133"/>
    <w:rsid w:val="7D2D113F"/>
    <w:rsid w:val="7D5EF93C"/>
    <w:rsid w:val="7DED4D52"/>
    <w:rsid w:val="7DFEF96B"/>
    <w:rsid w:val="7DFF4590"/>
    <w:rsid w:val="7EF12131"/>
    <w:rsid w:val="7EFB34D8"/>
    <w:rsid w:val="7EFBBEFB"/>
    <w:rsid w:val="7F7E6E76"/>
    <w:rsid w:val="7FDB36C0"/>
    <w:rsid w:val="7FFED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6EC8F"/>
  <w15:docId w15:val="{FE09A121-CE23-41AE-80B7-06BCD5FD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8" w:semiHidden="1" w:unhideWhenUsed="1"/>
    <w:lsdException w:name="index 9" w:semiHidden="1" w:unhideWhenUsed="1"/>
    <w:lsdException w:name="toc 5" w:qFormat="1"/>
    <w:lsdException w:name="toc 7" w:qFormat="1"/>
    <w:lsdException w:name="toc 8" w:qFormat="1"/>
    <w:lsdException w:name="toc 9" w:qFormat="1"/>
    <w:lsdException w:name="footnote text" w:qFormat="1"/>
    <w:lsdException w:name="annotation text" w:semiHidden="1" w:unhideWhenUsed="1"/>
    <w:lsdException w:name="header" w:uiPriority="99" w:qFormat="1"/>
    <w:lsdException w:name="footer"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lear" w:pos="567"/>
        <w:tab w:val="clear" w:pos="1134"/>
        <w:tab w:val="clear" w:pos="1701"/>
        <w:tab w:val="clear" w:pos="2268"/>
        <w:tab w:val="clear" w:pos="2835"/>
        <w:tab w:val="left" w:pos="5954"/>
        <w:tab w:val="right" w:pos="9639"/>
      </w:tabs>
      <w:spacing w:before="0"/>
    </w:pPr>
    <w:rPr>
      <w:caps/>
      <w:sz w:val="16"/>
    </w:rPr>
  </w:style>
  <w:style w:type="character" w:styleId="FootnoteReference">
    <w:name w:val="footnote reference"/>
    <w:basedOn w:val="DefaultParagraphFont"/>
    <w:qFormat/>
    <w:rPr>
      <w:rFonts w:ascii="Calibri" w:hAnsi="Calibri"/>
      <w:position w:val="6"/>
      <w:sz w:val="16"/>
    </w:rPr>
  </w:style>
  <w:style w:type="paragraph" w:styleId="FootnoteText">
    <w:name w:val="footnote text"/>
    <w:basedOn w:val="Normal"/>
    <w:qFormat/>
    <w:pPr>
      <w:keepLines/>
      <w:tabs>
        <w:tab w:val="left" w:pos="256"/>
      </w:tabs>
      <w:ind w:left="256" w:hanging="256"/>
    </w:p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Hyperlink">
    <w:name w:val="Hyperlink"/>
    <w:basedOn w:val="DefaultParagraphFont"/>
    <w:qFormat/>
    <w:rPr>
      <w:color w:val="0563C1"/>
      <w:u w:val="single"/>
    </w:rPr>
  </w:style>
  <w:style w:type="paragraph" w:styleId="Index1">
    <w:name w:val="index 1"/>
    <w:basedOn w:val="Normal"/>
    <w:next w:val="Normal"/>
    <w:qFormat/>
  </w:style>
  <w:style w:type="paragraph" w:styleId="Index2">
    <w:name w:val="index 2"/>
    <w:basedOn w:val="Normal"/>
    <w:next w:val="Normal"/>
    <w:qFormat/>
    <w:pPr>
      <w:ind w:left="283"/>
    </w:pPr>
  </w:style>
  <w:style w:type="paragraph" w:styleId="Index3">
    <w:name w:val="index 3"/>
    <w:basedOn w:val="Normal"/>
    <w:next w:val="Normal"/>
    <w:qFormat/>
    <w:pPr>
      <w:ind w:left="566"/>
    </w:pPr>
  </w:style>
  <w:style w:type="paragraph" w:styleId="Index4">
    <w:name w:val="index 4"/>
    <w:basedOn w:val="Normal"/>
    <w:next w:val="Normal"/>
    <w:qFormat/>
    <w:pPr>
      <w:ind w:left="849"/>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qFormat/>
  </w:style>
  <w:style w:type="paragraph" w:styleId="List">
    <w:name w:val="List"/>
    <w:basedOn w:val="Normal"/>
    <w:pPr>
      <w:tabs>
        <w:tab w:val="left" w:pos="2127"/>
      </w:tabs>
      <w:ind w:left="2127" w:hanging="2127"/>
    </w:pPr>
  </w:style>
  <w:style w:type="paragraph" w:styleId="NormalWeb">
    <w:name w:val="Normal (Web)"/>
    <w:basedOn w:val="Normal"/>
    <w:semiHidden/>
    <w:unhideWhenUsed/>
    <w:qFormat/>
    <w:rPr>
      <w:szCs w:val="24"/>
    </w:rPr>
  </w:style>
  <w:style w:type="paragraph" w:styleId="NormalIndent">
    <w:name w:val="Normal Indent"/>
    <w:basedOn w:val="Normal"/>
    <w:pPr>
      <w:ind w:left="567"/>
    </w:pPr>
  </w:style>
  <w:style w:type="character" w:styleId="PageNumber">
    <w:name w:val="page number"/>
    <w:basedOn w:val="DefaultParagraphFont"/>
    <w:rPr>
      <w:rFonts w:ascii="Calibri" w:hAnsi="Calibri"/>
    </w:rPr>
  </w:style>
  <w:style w:type="table" w:styleId="TableGrid">
    <w:name w:val="Table Grid"/>
    <w:basedOn w:val="TableNormal"/>
    <w:uiPriority w:val="3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2">
    <w:name w:val="toc 2"/>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pPr>
      <w:tabs>
        <w:tab w:val="clear" w:pos="567"/>
        <w:tab w:val="clear" w:pos="1134"/>
        <w:tab w:val="clear" w:pos="1701"/>
        <w:tab w:val="clear" w:pos="2268"/>
        <w:tab w:val="clear" w:pos="2835"/>
        <w:tab w:val="left" w:pos="964"/>
        <w:tab w:val="left" w:pos="8789"/>
        <w:tab w:val="right" w:pos="9639"/>
      </w:tabs>
      <w:ind w:left="964" w:hanging="964"/>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qFormat/>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pPr>
      <w:ind w:left="1701"/>
    </w:pPr>
  </w:style>
  <w:style w:type="paragraph" w:customStyle="1" w:styleId="Normalaftertitle">
    <w:name w:val="Normal after title"/>
    <w:basedOn w:val="Normal"/>
    <w:next w:val="Normal"/>
    <w:pPr>
      <w:spacing w:before="240"/>
    </w:pPr>
  </w:style>
  <w:style w:type="character" w:customStyle="1" w:styleId="HeaderChar">
    <w:name w:val="Header Char"/>
    <w:basedOn w:val="DefaultParagraphFont"/>
    <w:link w:val="Header"/>
    <w:uiPriority w:val="99"/>
    <w:qFormat/>
    <w:rPr>
      <w:rFonts w:ascii="Calibri" w:hAnsi="Calibri"/>
      <w:color w:val="7F7F7F" w:themeColor="text1" w:themeTint="80"/>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pPr>
      <w:framePr w:hSpace="180" w:wrap="around" w:vAnchor="page" w:hAnchor="page" w:x="1821" w:y="2317"/>
      <w:spacing w:before="840"/>
    </w:pPr>
    <w:rPr>
      <w:b/>
      <w:sz w:val="32"/>
      <w:szCs w:val="32"/>
    </w:rPr>
  </w:style>
  <w:style w:type="paragraph" w:customStyle="1" w:styleId="Title1">
    <w:name w:val="Title 1"/>
    <w:basedOn w:val="Source"/>
    <w:next w:val="Title2"/>
    <w:pPr>
      <w:framePr w:wrap="around"/>
      <w:spacing w:before="240"/>
    </w:pPr>
    <w:rPr>
      <w:b w:val="0"/>
    </w:rPr>
  </w:style>
  <w:style w:type="paragraph" w:customStyle="1" w:styleId="Title2">
    <w:name w:val="Title 2"/>
    <w:basedOn w:val="Source"/>
    <w:next w:val="Title3"/>
    <w:pPr>
      <w:framePr w:wrap="around"/>
      <w:spacing w:before="240"/>
    </w:pPr>
    <w:rPr>
      <w:b w:val="0"/>
      <w:caps/>
    </w:rPr>
  </w:style>
  <w:style w:type="paragraph" w:customStyle="1" w:styleId="Title3">
    <w:name w:val="Title 3"/>
    <w:basedOn w:val="Title2"/>
    <w:next w:val="Normalaftertitle"/>
    <w:pPr>
      <w:framePr w:wrap="around"/>
    </w:pPr>
    <w:rPr>
      <w:caps w:val="0"/>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FirstFooter">
    <w:name w:val="FirstFooter"/>
    <w:basedOn w:val="Footer"/>
    <w:rPr>
      <w:caps w:val="0"/>
    </w:rPr>
  </w:style>
  <w:style w:type="paragraph" w:customStyle="1" w:styleId="Note">
    <w:name w:val="Note"/>
    <w:basedOn w:val="Normal"/>
    <w:pPr>
      <w:tabs>
        <w:tab w:val="clear" w:pos="567"/>
        <w:tab w:val="left" w:pos="851"/>
      </w:tabs>
    </w:pPr>
  </w:style>
  <w:style w:type="paragraph" w:customStyle="1" w:styleId="Headingb">
    <w:name w:val="Heading_b"/>
    <w:basedOn w:val="Heading3"/>
    <w:next w:val="Normal"/>
    <w:pPr>
      <w:spacing w:before="160"/>
      <w:outlineLvl w:val="0"/>
    </w:pPr>
  </w:style>
  <w:style w:type="paragraph" w:customStyle="1" w:styleId="Title4">
    <w:name w:val="Title 4"/>
    <w:basedOn w:val="Title3"/>
    <w:next w:val="Heading1"/>
    <w:pPr>
      <w:framePr w:wrap="around"/>
    </w:pPr>
    <w:rPr>
      <w:b/>
    </w:rPr>
  </w:style>
  <w:style w:type="paragraph" w:customStyle="1" w:styleId="dnum">
    <w:name w:val="dnum"/>
    <w:basedOn w:val="Normal"/>
    <w:pPr>
      <w:framePr w:hSpace="181" w:wrap="around" w:vAnchor="page" w:hAnchor="margin" w:y="852"/>
      <w:shd w:val="solid" w:color="FFFFFF" w:fill="FFFFFF"/>
      <w:tabs>
        <w:tab w:val="left" w:pos="1871"/>
      </w:tabs>
    </w:pPr>
    <w:rPr>
      <w:b/>
      <w:bCs/>
    </w:rPr>
  </w:style>
  <w:style w:type="paragraph" w:customStyle="1" w:styleId="ddate">
    <w:name w:val="ddate"/>
    <w:basedOn w:val="Normal"/>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text"/>
      <w:spacing w:before="120" w:after="160"/>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outlineLvl w:val="0"/>
    </w:pPr>
    <w:rPr>
      <w:rFonts w:asciiTheme="minorHAnsi" w:hAnsiTheme="minorHAnsi"/>
      <w:b w:val="0"/>
      <w:i/>
    </w:rPr>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qFormat/>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asons">
    <w:name w:val="Reasons"/>
    <w:basedOn w:val="Normal"/>
    <w:qFormat/>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tu.int/md/S25-CL-C-00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ma:contentTypeName="Document" ma:_="" ma:contentTypeID="0x01010041A5AED0024D4C4B908559843DB30158" ma:contentTypeVersion="2" ct:_="" ma:contentTypeScope="" ma:versionID="31a26b5e6a84297540fb9bcd5875ca00" ma:contentTypeDescription="Create a new document.">
  <xsd:schema xmlns:xsd="http://www.w3.org/2001/XMLSchema" xmlns:ns2="1aaea1ea-72e4-4374-b05e-72e2f16fb7ae" xmlns:p="http://schemas.microsoft.com/office/2006/metadata/properties" xmlns:ns1="http://schemas.microsoft.com/sharepoint/v3" xmlns:xs="http://www.w3.org/2001/XMLSchema" ns1:_="" targetNamespace="http://schemas.microsoft.com/office/2006/metadata/properties" ma:root="true" ns2:_="" ma:fieldsID="d648448f94c3d58177b40b5933f2d41a">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pc="http://schemas.microsoft.com/office/infopath/2007/PartnerControls" xmlns:xsd="http://www.w3.org/2001/XMLSchema" xmlns:dms="http://schemas.microsoft.com/office/2006/documentManagement/types" xmlns:xs="http://www.w3.org/2001/XMLSchema" targetNamespace="http://schemas.microsoft.com/sharepoint/v3" elementFormDefault="qualified">
    <xsd:import namespace="http://schemas.microsoft.com/office/2006/documentManagement/types"/>
    <xsd:import namespace="http://schemas.microsoft.com/office/infopath/2007/PartnerControls"/>
    <xsd:element ma:displayName="Scheduling Start Date" nillable="true" ma:hidden="true" ma:description="Scheduling Start Date is a site column created by the Publishing feature. It is used to specify the date and time on which this page will first appear to site visitors." ma:index="8" ma:internalName="PublishingStartDate" name="PublishingStartDate">
      <xsd:simpleType>
        <xsd:restriction base="dms:Unknown"/>
      </xsd:simpleType>
    </xsd:element>
    <xsd:element ma:displayName="Scheduling End Date" nillable="true" ma:hidden="true" ma:description="Scheduling End Date is a site column created by the Publishing feature. It is used to specify the date and time on which this page will no longer appear to site visitors." ma:index="9" ma:internalName="PublishingExpirationDate" name="PublishingExpirationDate">
      <xsd:simpleType>
        <xsd:restriction base="dms:Unknown"/>
      </xsd:simpleType>
    </xsd:element>
  </xsd:schema>
  <xsd:schema xmlns:pc="http://schemas.microsoft.com/office/infopath/2007/PartnerControls" xmlns:xsd="http://www.w3.org/2001/XMLSchema" xmlns:dms="http://schemas.microsoft.com/office/2006/documentManagement/types" xmlns:xs="http://www.w3.org/2001/XMLSchema" targetNamespace="1aaea1ea-72e4-4374-b05e-72e2f16fb7ae" elementFormDefault="qualified">
    <xsd:import namespace="http://schemas.microsoft.com/office/2006/documentManagement/types"/>
    <xsd:import namespace="http://schemas.microsoft.com/office/infopath/2007/PartnerControls"/>
    <xsd:element ma:displayName="Shared With" nillable="true" ma:index="10" ma:readOnly="true" ma:internalName="SharedWithUsers" name="SharedWithUsers">
      <xsd:complexType>
        <xsd:complexContent>
          <xsd:extension base="dms:UserMulti">
            <xsd:sequence>
              <xsd:element minOccurs="0" name="UserInfo" maxOccurs="unbounded">
                <xsd:complexType>
                  <xsd:sequence>
                    <xsd:element minOccurs="0" type="xsd:string" name="DisplayName"/>
                    <xsd:element nillable="true" minOccurs="0" type="dms:UserId" name="AccountId"/>
                    <xsd:element minOccurs="0" type="xsd:string" name="AccountType"/>
                  </xsd:sequence>
                </xsd:complexType>
              </xsd:element>
            </xsd:sequence>
          </xsd:extension>
        </xsd:complexContent>
      </xsd:complexType>
    </xsd:element>
  </xsd:schema>
  <xsd:schema xmlns:xsi="http://www.w3.org/2001/XMLSchema-instance" xmlns:dcterms="http://purl.org/dc/terms/" xmlns="http://schemas.openxmlformats.org/package/2006/metadata/core-properties" xmlns:dc="http://purl.org/dc/elements/1.1/" xmlns:xsd="http://www.w3.org/2001/XMLSchema" xmlns:odoc="http://schemas.microsoft.com/internal/obd" targetNamespace="http://schemas.openxmlformats.org/package/2006/metadata/core-properties" elementFormDefault="qualified" blockDefault="#all"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inOccurs="0" maxOccurs="1"/>
        <xsd:element ref="dcterms:created" minOccurs="0" maxOccurs="1"/>
        <xsd:element ref="dc:identifier" minOccurs="0" maxOccurs="1"/>
        <xsd:element ma:displayName="Content Type" ma:index="0" minOccurs="0" type="xsd:string" name="contentType" maxOccurs="1"/>
        <xsd:element ma:displayName="Title" ref="dc:title" ma:index="4" minOccurs="0" maxOccurs="1"/>
        <xsd:element ref="dc:subject" minOccurs="0" maxOccurs="1"/>
        <xsd:element ref="dc:description" minOccurs="0" maxOccurs="1"/>
        <xsd:element minOccurs="0" type="xsd:string" name="keywords" maxOccurs="1"/>
        <xsd:element ref="dc:language" minOccurs="0" maxOccurs="1"/>
        <xsd:element minOccurs="0" type="xsd:string" name="category" maxOccurs="1"/>
        <xsd:element minOccurs="0" type="xsd:string" name="version" maxOccurs="1"/>
        <xsd:element minOccurs="0" type="xsd:string" name="revision" maxOccurs="1">
          <xsd:annotation>
            <xsd:documentation>
                        This value indicates the number of saves or revisions. The application is responsible for updating this value after each revision.
                    </xsd:documentation>
          </xsd:annotation>
        </xsd:element>
        <xsd:element minOccurs="0" type="xsd:string" name="lastModifiedBy" maxOccurs="1"/>
        <xsd:element ref="dcterms:modified" minOccurs="0" maxOccurs="1"/>
        <xsd:element minOccurs="0" type="xsd:string" name="contentStatus" maxOccurs="1"/>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b:Sources xmlns="http://schemas.openxmlformats.org/officeDocument/2006/bibliography"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xsi="http://www.w3.org/2001/XMLSchema-instance" xmlns:pc="http://schemas.microsoft.com/office/infopath/2007/PartnerControls" xmlns:p="http://schemas.microsoft.com/office/2006/metadata/propertie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EC66B-F427-4DD7-A919-87366E1B7016}">
  <ds:schemaRefs/>
</ds:datastoreItem>
</file>

<file path=customXml/itemProps3.xml><?xml version="1.0" encoding="utf-8"?>
<ds:datastoreItem xmlns:ds="http://schemas.openxmlformats.org/officeDocument/2006/customXml" ds:itemID="{E3F44171-66A6-4C30-BB71-803A078F017B}">
  <ds:schemaRefs>
    <ds:schemaRef ds:uri="http://schemas.openxmlformats.org/officeDocument/2006/bibliography"/>
  </ds:schemaRefs>
</ds:datastoreItem>
</file>

<file path=customXml/itemProps4.xml><?xml version="1.0" encoding="utf-8"?>
<ds:datastoreItem xmlns:ds="http://schemas.openxmlformats.org/officeDocument/2006/customXml" ds:itemID="{C2630F73-6879-451D-AD6E-220D14EE1EEE}">
  <ds:schemaRefs/>
</ds:datastoreItem>
</file>

<file path=customXml/itemProps5.xml><?xml version="1.0" encoding="utf-8"?>
<ds:datastoreItem xmlns:ds="http://schemas.openxmlformats.org/officeDocument/2006/customXml" ds:itemID="{983BD498-0D57-4EC9-9A52-4067CF92760E}">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aaea1ea-72e4-4374-b05e-72e2f16fb7a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826</Words>
  <Characters>5447</Characters>
  <Application>Microsoft Office Word</Application>
  <DocSecurity>0</DocSecurity>
  <Lines>92</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ITU</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to ensure core mandate alignment in resource allocation</dc:title>
  <dc:subject>ITU Council Working Group on Financial and Human Resources</dc:subject>
  <dc:creator/>
  <cp:keywords>CWG-FHR; C26; Council-26</cp:keywords>
  <dcterms:created xsi:type="dcterms:W3CDTF">2026-01-05T09:16:00Z</dcterms:created>
  <dcterms:modified xsi:type="dcterms:W3CDTF">2026-01-05T11:03:00Z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y fmtid="{D5CDD505-2E9C-101B-9397-08002B2CF9AE}" pid="3" name="ContentTypeId">
    <vt:lpwstr>0x01010041A5AED0024D4C4B908559843DB30158</vt:lpwstr>
  </property>
  <property fmtid="{D5CDD505-2E9C-101B-9397-08002B2CF9AE}" pid="4" name="KSOProductBuildVer">
    <vt:lpwstr>1033-6.11.0.8608</vt:lpwstr>
  </property>
  <property fmtid="{D5CDD505-2E9C-101B-9397-08002B2CF9AE}" pid="5" name="ICV">
    <vt:lpwstr>9A77B281F717FB5B33364D69A99D19E3_43</vt:lpwstr>
  </property>
</Properties>
</file>